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54984334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B261CA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Zakup traktora z osprzętem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B261CA">
        <w:rPr>
          <w:rFonts w:ascii="Calibri" w:hAnsi="Calibri" w:cs="Calibri"/>
          <w:sz w:val="24"/>
          <w:szCs w:val="24"/>
          <w:lang w:val="pl-PL"/>
        </w:rPr>
        <w:t>1</w:t>
      </w:r>
      <w:r w:rsidR="001B1EA6">
        <w:rPr>
          <w:rFonts w:ascii="Calibri" w:hAnsi="Calibri" w:cs="Calibri"/>
          <w:sz w:val="24"/>
          <w:szCs w:val="24"/>
          <w:lang w:val="pl-PL"/>
        </w:rPr>
        <w:t>9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633F4B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</w:t>
      </w:r>
      <w:r w:rsidR="003B4E88">
        <w:rPr>
          <w:rFonts w:ascii="Calibri" w:hAnsi="Calibri" w:cs="Calibri"/>
          <w:sz w:val="24"/>
          <w:szCs w:val="24"/>
          <w:lang w:val="pl-PL"/>
        </w:rPr>
        <w:t xml:space="preserve">tekst jedn.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Dz. U. z 20</w:t>
      </w:r>
      <w:r w:rsidR="003B4E88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3B4E88">
        <w:rPr>
          <w:rFonts w:ascii="Calibri" w:hAnsi="Calibri" w:cs="Calibri"/>
          <w:sz w:val="24"/>
          <w:szCs w:val="24"/>
          <w:lang w:val="pl-PL"/>
        </w:rPr>
        <w:t>11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28FC1797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B1EA6">
        <w:rPr>
          <w:rFonts w:ascii="Calibri" w:hAnsi="Calibri" w:cs="Calibri"/>
        </w:rPr>
      </w:r>
      <w:r w:rsidR="001B1EA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B1EA6">
        <w:rPr>
          <w:rFonts w:ascii="Calibri" w:hAnsi="Calibri" w:cs="Calibri"/>
        </w:rPr>
      </w:r>
      <w:r w:rsidR="001B1EA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1B1EA6">
        <w:rPr>
          <w:rFonts w:ascii="Calibri" w:hAnsi="Calibri" w:cs="Calibri"/>
        </w:rPr>
      </w:r>
      <w:r w:rsidR="001B1EA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AFF" w:rsidRDefault="00450E13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3">
    <w:p w14:paraId="4F4545E6" w14:textId="4693C6A1" w:rsidR="00E85382" w:rsidRPr="008A0AFF" w:rsidRDefault="00E85382" w:rsidP="00BE4611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4">
    <w:p w14:paraId="187D0BC1" w14:textId="77777777" w:rsidR="008A0AFF" w:rsidRPr="008A0AFF" w:rsidRDefault="008A0AFF" w:rsidP="00BE4611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BE4611" w:rsidRDefault="004C31A2" w:rsidP="004C31A2">
    <w:pPr>
      <w:pStyle w:val="Nagwek"/>
      <w:spacing w:after="120"/>
      <w:jc w:val="right"/>
    </w:pPr>
    <w:r w:rsidRPr="00BE4611">
      <w:rPr>
        <w:rFonts w:ascii="Calibri" w:hAnsi="Calibri" w:cs="Calibri"/>
        <w:sz w:val="22"/>
        <w:szCs w:val="22"/>
      </w:rPr>
      <w:t xml:space="preserve">Formularz </w:t>
    </w:r>
    <w:r w:rsidR="009A625F" w:rsidRPr="00BE4611">
      <w:rPr>
        <w:rFonts w:ascii="Calibri" w:hAnsi="Calibri" w:cs="Calibri"/>
        <w:sz w:val="22"/>
        <w:szCs w:val="22"/>
        <w:lang w:val="pl-PL"/>
      </w:rPr>
      <w:t xml:space="preserve">nr </w:t>
    </w:r>
    <w:r w:rsidRPr="00BE4611">
      <w:rPr>
        <w:rFonts w:ascii="Calibri" w:hAnsi="Calibri" w:cs="Calibri"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AD/dMz4c3WsZT3Wy8MhQf8vjXHORKGGXRhmdPbsJSN4jf4KmEzf2sbmFD7GMoLwhpQkwD2hs2nwc9lXucDAQ==" w:salt="LxicEieSzmHdlj81ff5sc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1EA6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4E88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1CA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4611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6991ACD-094F-423B-87AE-03185B8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0608-32C2-419C-A2DD-7510FD19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2773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42</cp:revision>
  <cp:lastPrinted>2021-07-13T10:18:00Z</cp:lastPrinted>
  <dcterms:created xsi:type="dcterms:W3CDTF">2020-03-31T10:02:00Z</dcterms:created>
  <dcterms:modified xsi:type="dcterms:W3CDTF">2021-09-09T06:04:00Z</dcterms:modified>
</cp:coreProperties>
</file>