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735EDE0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WYKAZ 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29BD40A9" w:rsidR="001D2DAB" w:rsidRPr="00282F11" w:rsidRDefault="003F367A" w:rsidP="009162D6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„</w:t>
      </w:r>
      <w:r w:rsidR="00CE60E8" w:rsidRPr="00CE60E8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”, znak PZD.I.252.1.</w:t>
      </w:r>
      <w:r w:rsidR="007F69A9">
        <w:rPr>
          <w:rFonts w:ascii="Calibri" w:hAnsi="Calibri" w:cs="Calibri"/>
          <w:sz w:val="24"/>
          <w:szCs w:val="24"/>
          <w:lang w:val="pl-PL"/>
        </w:rPr>
        <w:t>6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.2021, prowadzonym w trybie podstawowym bez negocjacji o wartości nie przekraczającej progów unijnych, o jakim mowa art. 275 pkt 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dnia 11 września 2019 r. Prawo zamówień publicznych (Dz. U. z 2019 r. poz. 2019),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okresie ostatnich 3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warunkiem określonym w SWZ, następujące usługi: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1787682D" w:rsidR="001D2DAB" w:rsidRPr="0081712A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4750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(np. podstawa prawna)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14A16C5F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usługi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0FAEEBB0" w:rsidR="00552A3C" w:rsidRPr="00CE60E8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 w:rsidRPr="00EA4F61">
        <w:rPr>
          <w:rFonts w:asciiTheme="minorHAnsi" w:hAnsiTheme="minorHAnsi" w:cstheme="minorHAnsi"/>
          <w:sz w:val="18"/>
          <w:szCs w:val="18"/>
        </w:rPr>
        <w:t xml:space="preserve"> </w:t>
      </w:r>
      <w:r w:rsidR="00695218">
        <w:rPr>
          <w:rFonts w:asciiTheme="minorHAnsi" w:hAnsiTheme="minorHAnsi" w:cstheme="minorHAnsi"/>
          <w:sz w:val="18"/>
          <w:szCs w:val="18"/>
        </w:rPr>
        <w:t xml:space="preserve">Formularz składa się na wezwanie Zamawiającego. </w:t>
      </w:r>
      <w:r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Pr="00282F1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co najmniej </w:t>
      </w:r>
      <w:r w:rsidR="00CE60E8" w:rsidRPr="00CE60E8">
        <w:rPr>
          <w:rFonts w:asciiTheme="minorHAnsi" w:hAnsiTheme="minorHAnsi" w:cstheme="minorHAnsi"/>
          <w:b/>
          <w:bCs/>
          <w:i/>
          <w:iCs/>
          <w:sz w:val="18"/>
          <w:szCs w:val="18"/>
        </w:rPr>
        <w:t>jedno zamówienie polegające na opracowaniu dokumentacji geodezyjnej na podstawie art. 73 ustawy z dnia 13 października 1998</w:t>
      </w:r>
      <w:r w:rsidR="00695218">
        <w:rPr>
          <w:rFonts w:asciiTheme="minorHAnsi" w:hAnsiTheme="minorHAnsi" w:cstheme="minorHAnsi"/>
          <w:b/>
          <w:bCs/>
          <w:i/>
          <w:iCs/>
          <w:sz w:val="18"/>
          <w:szCs w:val="18"/>
        </w:rPr>
        <w:t> </w:t>
      </w:r>
      <w:r w:rsidR="00CE60E8" w:rsidRPr="00CE60E8">
        <w:rPr>
          <w:rFonts w:asciiTheme="minorHAnsi" w:hAnsiTheme="minorHAnsi" w:cstheme="minorHAnsi"/>
          <w:b/>
          <w:bCs/>
          <w:i/>
          <w:iCs/>
          <w:sz w:val="18"/>
          <w:szCs w:val="18"/>
        </w:rPr>
        <w:t>r. Przepisy wprowadzające ustawy reformujące administrację publiczną</w:t>
      </w:r>
      <w:r w:rsidR="00CE60E8" w:rsidRPr="00CE60E8">
        <w:rPr>
          <w:rFonts w:asciiTheme="minorHAnsi" w:hAnsiTheme="minorHAnsi" w:cstheme="minorHAnsi"/>
          <w:i/>
          <w:iCs/>
          <w:sz w:val="18"/>
          <w:szCs w:val="18"/>
        </w:rPr>
        <w:t xml:space="preserve"> (Dz. U. Nr 133, poz. 872 z późn. zm.)</w:t>
      </w:r>
      <w:r w:rsidRPr="00CE60E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13127526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52A3C">
        <w:rPr>
          <w:rStyle w:val="Odwoanieprzypisudolnego"/>
          <w:rFonts w:asciiTheme="minorHAnsi" w:hAnsiTheme="minorHAnsi" w:cstheme="minorHAnsi"/>
        </w:rPr>
        <w:footnoteRef/>
      </w:r>
      <w:r w:rsidRPr="00552A3C">
        <w:rPr>
          <w:rFonts w:asciiTheme="minorHAnsi" w:hAnsiTheme="minorHAnsi" w:cstheme="minorHAnsi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czy wymienione w wykazie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lSds/sRXEVLUrZ+utKpQEht/VGspgRRD/bpbF6tOED2wH5Y7Z27jaOnlByW4BIfpuXOiyjMSiuO3jVa5nhLfw==" w:salt="ckvk197IRYYgE0POYMdaX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95218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69A9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1791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26</cp:revision>
  <cp:lastPrinted>2021-03-30T06:47:00Z</cp:lastPrinted>
  <dcterms:created xsi:type="dcterms:W3CDTF">2020-03-31T10:04:00Z</dcterms:created>
  <dcterms:modified xsi:type="dcterms:W3CDTF">2021-04-27T11:13:00Z</dcterms:modified>
</cp:coreProperties>
</file>