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2F32838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BD613D">
        <w:rPr>
          <w:rFonts w:ascii="Calibri" w:hAnsi="Calibri" w:cs="Calibri"/>
          <w:snapToGrid w:val="0"/>
          <w:spacing w:val="-2"/>
        </w:rPr>
        <w:t>21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5DFCF24B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</w:t>
      </w:r>
      <w:r w:rsidRPr="004E3552">
        <w:rPr>
          <w:rFonts w:asciiTheme="minorHAnsi" w:hAnsiTheme="minorHAnsi" w:cstheme="minorHAnsi"/>
        </w:rPr>
        <w:t>zamówienia pn. „</w:t>
      </w:r>
      <w:r w:rsidR="00BD613D" w:rsidRPr="00BD613D">
        <w:rPr>
          <w:rFonts w:ascii="Calibri" w:hAnsi="Calibri" w:cs="Calibri"/>
          <w:b/>
          <w:bCs/>
        </w:rPr>
        <w:t>Umocnienie rowów przydrożnych w ciągu drogi powiatowej 3539W Radom – Gębarzów - Polany</w:t>
      </w:r>
      <w:r w:rsidRPr="004E3552">
        <w:rPr>
          <w:rFonts w:asciiTheme="minorHAnsi" w:hAnsiTheme="minorHAnsi" w:cstheme="minorHAnsi"/>
          <w:bCs/>
        </w:rPr>
        <w:t xml:space="preserve">” </w:t>
      </w:r>
      <w:r w:rsidRPr="004E3552">
        <w:rPr>
          <w:rFonts w:asciiTheme="minorHAnsi" w:hAnsiTheme="minorHAnsi" w:cstheme="minorHAnsi"/>
        </w:rPr>
        <w:t xml:space="preserve">za </w:t>
      </w:r>
      <w:r w:rsidR="009F4F61" w:rsidRPr="004E3552">
        <w:rPr>
          <w:rFonts w:asciiTheme="minorHAnsi" w:hAnsiTheme="minorHAnsi" w:cstheme="minorHAnsi"/>
        </w:rPr>
        <w:t>łącznym</w:t>
      </w:r>
      <w:r w:rsidR="009F4F61">
        <w:rPr>
          <w:rFonts w:ascii="Calibri" w:hAnsi="Calibri" w:cs="Calibri"/>
        </w:rPr>
        <w:t xml:space="preserve">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3788565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9F4F6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F4F61">
        <w:rPr>
          <w:rFonts w:ascii="Calibri" w:hAnsi="Calibri" w:cs="Calibri"/>
          <w:b/>
          <w:bCs/>
        </w:rPr>
        <w:instrText xml:space="preserve"> FORMTEXT </w:instrText>
      </w:r>
      <w:r w:rsidRPr="009F4F61">
        <w:rPr>
          <w:rFonts w:ascii="Calibri" w:hAnsi="Calibri" w:cs="Calibri"/>
          <w:b/>
          <w:bCs/>
        </w:rPr>
      </w:r>
      <w:r w:rsidRPr="009F4F6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 w:rsidRPr="009F4F61">
        <w:rPr>
          <w:rFonts w:ascii="Calibri" w:hAnsi="Calibri" w:cs="Calibri"/>
          <w:b/>
          <w:bCs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>lat, licząc od daty określonej w protokole odbioru końcowego.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08700056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2204B">
        <w:rPr>
          <w:rFonts w:ascii="Calibri" w:hAnsi="Calibri" w:cs="Calibri"/>
        </w:rPr>
        <w:t>5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</w:t>
      </w:r>
      <w:r w:rsidRPr="000335C4">
        <w:rPr>
          <w:rFonts w:ascii="Calibri" w:hAnsi="Calibri" w:cs="Calibri"/>
        </w:rPr>
        <w:lastRenderedPageBreak/>
        <w:t>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673F84">
        <w:rPr>
          <w:rFonts w:ascii="Calibri" w:hAnsi="Calibri" w:cs="Calibri"/>
          <w:bCs/>
        </w:rPr>
      </w:r>
      <w:r w:rsidR="00673F84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C3A8A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3AC2FC1B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Okres gwarancji należy podawać wyłącznie w pełnych latach. Zgodnie z wymogami SIWZ zastosowana zostanie następująca metoda punktacji: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– 0 punktów,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– 20 punktów,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 – 40 punktów.</w:t>
      </w:r>
    </w:p>
    <w:p w14:paraId="70FD57FD" w14:textId="0C08C390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</w:t>
      </w:r>
      <w:r w:rsidR="00A72E8A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</w:t>
      </w:r>
      <w:r w:rsidR="00A72E8A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552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3F84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E8A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204B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13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7BAE27C8-F21F-4958-B98D-5AA66BC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ACEB-A9A6-4AA8-8CC8-B9E9CBC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7695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24</cp:revision>
  <cp:lastPrinted>2019-05-14T10:22:00Z</cp:lastPrinted>
  <dcterms:created xsi:type="dcterms:W3CDTF">2020-02-21T12:13:00Z</dcterms:created>
  <dcterms:modified xsi:type="dcterms:W3CDTF">2020-09-09T08:11:00Z</dcterms:modified>
</cp:coreProperties>
</file>