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39" w:rsidRPr="004B4FA5" w:rsidRDefault="00115839" w:rsidP="00440AF1">
      <w:pPr>
        <w:pStyle w:val="tytuSTWiORB"/>
      </w:pPr>
      <w:bookmarkStart w:id="0" w:name="_Toc290708090"/>
      <w:bookmarkStart w:id="1" w:name="_Toc290708321"/>
      <w:bookmarkStart w:id="2" w:name="_Toc467093599"/>
      <w:bookmarkStart w:id="3" w:name="_Toc468739850"/>
      <w:bookmarkStart w:id="4" w:name="_Toc519186414"/>
      <w:r>
        <w:t>D-</w:t>
      </w:r>
      <w:r w:rsidRPr="004B4FA5">
        <w:t>04.07.01  PODBUDOWA Z BETONU ASFALTOWEGO</w:t>
      </w:r>
      <w:bookmarkEnd w:id="0"/>
      <w:bookmarkEnd w:id="1"/>
      <w:bookmarkEnd w:id="2"/>
      <w:bookmarkEnd w:id="3"/>
      <w:bookmarkEnd w:id="4"/>
    </w:p>
    <w:p w:rsidR="00115839" w:rsidRPr="004B4FA5" w:rsidRDefault="00115839" w:rsidP="00440AF1">
      <w:pPr>
        <w:pStyle w:val="Nagwek3"/>
        <w:rPr>
          <w:rFonts w:ascii="Cambria" w:hAnsi="Cambria"/>
          <w:b/>
          <w:i/>
        </w:rPr>
      </w:pPr>
      <w:r w:rsidRPr="004B4FA5">
        <w:rPr>
          <w:rFonts w:ascii="Cambria" w:hAnsi="Cambria"/>
          <w:b/>
          <w:i/>
        </w:rPr>
        <w:t>1.    WSTĘP</w:t>
      </w:r>
    </w:p>
    <w:p w:rsidR="00115839" w:rsidRPr="004B4FA5" w:rsidRDefault="00115839" w:rsidP="00440AF1">
      <w:pPr>
        <w:pStyle w:val="Nagwek3"/>
        <w:spacing w:before="120" w:after="120"/>
        <w:rPr>
          <w:rFonts w:ascii="Cambria" w:hAnsi="Cambria"/>
          <w:b/>
          <w:i/>
        </w:rPr>
      </w:pPr>
      <w:r w:rsidRPr="004B4FA5">
        <w:rPr>
          <w:rFonts w:ascii="Cambria" w:hAnsi="Cambria"/>
          <w:b/>
          <w:i/>
        </w:rPr>
        <w:t>1.1. Przedmiot ST</w:t>
      </w:r>
    </w:p>
    <w:p w:rsidR="00115839" w:rsidRDefault="00115839" w:rsidP="00440AF1">
      <w:pPr>
        <w:ind w:firstLine="708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Przedmiotem niniejszej specyfikacji technicznej (ST) są wymagania dotyczące wykonywania i odbioru robót związanych z wykonaniem podbudowy z betonu asfaltowego.</w:t>
      </w:r>
    </w:p>
    <w:p w:rsidR="00115839" w:rsidRPr="004B4FA5" w:rsidRDefault="00115839" w:rsidP="00440AF1">
      <w:pPr>
        <w:ind w:firstLine="708"/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1.2. Zakres stosowania ST</w:t>
      </w:r>
    </w:p>
    <w:p w:rsidR="00115839" w:rsidRPr="004B4FA5" w:rsidRDefault="00115839" w:rsidP="00440AF1">
      <w:pPr>
        <w:spacing w:before="120"/>
        <w:ind w:firstLine="708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Specyfikacja techniczna (ST) jest stosowana jako dokument przetargowy i kontraktowy przy zlecaniu i realizacji robót wymienionych w p. 1.1.</w:t>
      </w:r>
    </w:p>
    <w:p w:rsidR="00115839" w:rsidRPr="004B4FA5" w:rsidRDefault="00115839" w:rsidP="00440AF1">
      <w:pPr>
        <w:ind w:firstLine="708"/>
        <w:jc w:val="both"/>
        <w:rPr>
          <w:i/>
          <w:sz w:val="20"/>
          <w:szCs w:val="20"/>
        </w:rPr>
      </w:pPr>
      <w:r w:rsidRPr="004B4FA5">
        <w:rPr>
          <w:i/>
          <w:iCs/>
          <w:sz w:val="20"/>
          <w:szCs w:val="20"/>
        </w:rPr>
        <w:t>Gdziekolwiek w Specyfikacjach Technicznych podano „SST” lub ”Szczegółowe Specyfikacje Techniczne”, to należy rozumieć jako: Specyfikacje Techniczne Wykonania i Odbioru Robót Budowlanych</w:t>
      </w:r>
    </w:p>
    <w:p w:rsidR="00115839" w:rsidRPr="004B4FA5" w:rsidRDefault="00115839" w:rsidP="00440AF1">
      <w:pPr>
        <w:spacing w:before="120" w:after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1.3. Zakres robót objętych ST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Ustalenia zawarte w niniejszej specyfikacji dotyczą zasad prowadzenia robót związanych z wykonywaniem podbudowy zasadniczej z betonu asfaltowe</w:t>
      </w:r>
      <w:r>
        <w:rPr>
          <w:i/>
          <w:sz w:val="20"/>
          <w:szCs w:val="20"/>
        </w:rPr>
        <w:t xml:space="preserve">go </w:t>
      </w:r>
      <w:bookmarkStart w:id="5" w:name="_GoBack"/>
      <w:r>
        <w:rPr>
          <w:i/>
          <w:sz w:val="20"/>
          <w:szCs w:val="20"/>
        </w:rPr>
        <w:t>AC16</w:t>
      </w:r>
      <w:bookmarkEnd w:id="5"/>
      <w:r>
        <w:rPr>
          <w:i/>
          <w:sz w:val="20"/>
          <w:szCs w:val="20"/>
        </w:rPr>
        <w:t>P</w:t>
      </w:r>
      <w:r w:rsidR="002F00FE">
        <w:rPr>
          <w:i/>
          <w:sz w:val="20"/>
          <w:szCs w:val="20"/>
        </w:rPr>
        <w:t xml:space="preserve"> oraz dla AC22P</w:t>
      </w:r>
      <w:r w:rsidR="00BC208B">
        <w:rPr>
          <w:i/>
          <w:sz w:val="20"/>
          <w:szCs w:val="20"/>
        </w:rPr>
        <w:t xml:space="preserve"> dla kategorii ruchu KR3 </w:t>
      </w:r>
      <w:r w:rsidRPr="004B4FA5">
        <w:rPr>
          <w:i/>
          <w:sz w:val="20"/>
          <w:szCs w:val="20"/>
        </w:rPr>
        <w:t xml:space="preserve"> i na poszerzeniach.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1.4. Określenia podstawowe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1.4.1. Podbudowa </w:t>
      </w:r>
      <w:r w:rsidRPr="004B4FA5">
        <w:rPr>
          <w:i/>
          <w:sz w:val="20"/>
          <w:szCs w:val="20"/>
        </w:rPr>
        <w:t>– główny element konstrukcyjny nawierzchni, który może być ułożony w jednej lub kilku warstwach.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1.4.2. Beton asfaltowy (BA)</w:t>
      </w:r>
      <w:r w:rsidRPr="004B4FA5">
        <w:rPr>
          <w:i/>
          <w:sz w:val="20"/>
          <w:szCs w:val="20"/>
        </w:rPr>
        <w:t xml:space="preserve"> – mieszanka mineralno-asfaltowa, w której kruszywo o uziarnieniu ciągłym lub nieciągłym tworzy strukturę wzajemnie klinującą się.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1.4.3. Podłoże pod warstwę asfaltową</w:t>
      </w:r>
      <w:r w:rsidRPr="004B4FA5">
        <w:rPr>
          <w:i/>
          <w:sz w:val="20"/>
          <w:szCs w:val="20"/>
        </w:rPr>
        <w:t xml:space="preserve"> – powierzchnia przygotowana do ułożenia warstwy z mieszanki mineralno-asfaltowej.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1.4.4. Emulsja asfaltowa kationowa</w:t>
      </w:r>
      <w:r w:rsidRPr="004B4FA5">
        <w:rPr>
          <w:i/>
          <w:sz w:val="20"/>
          <w:szCs w:val="20"/>
        </w:rPr>
        <w:t xml:space="preserve"> – asfalt drogowy w postaci zawiesiny rozproszonego asfaltu w wodzie.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1.4.5.</w:t>
      </w:r>
      <w:r w:rsidRPr="004B4FA5">
        <w:rPr>
          <w:i/>
          <w:sz w:val="20"/>
          <w:szCs w:val="20"/>
        </w:rPr>
        <w:t xml:space="preserve"> Pozostałe określenia podstawowe są zgodne z obowiązującymi, odpowiednimi polskimi normami i z definicjami podanymi w ST D-00.00.00 „Wymagania ogólne” pkt.1.4.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1.5. Ogólne wymagania dotyczące robót</w:t>
      </w:r>
    </w:p>
    <w:p w:rsidR="00115839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wymagania dotyczące robót podano w ST D-00.00.00 „Wymagania ogólne” pkt. 1.5.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pStyle w:val="Nagwek1"/>
      </w:pPr>
      <w:r w:rsidRPr="004B4FA5">
        <w:t>2.Materiały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2.1. Ogólne wymagania dotyczące materiałów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wymagania dotyczące materiałów, ich pozyskiwania i składowania, podano w ST D-00.00.00 „Wymagania ogólne” pkt. 2.</w:t>
      </w:r>
    </w:p>
    <w:p w:rsidR="00115839" w:rsidRDefault="00115839" w:rsidP="00440AF1">
      <w:pPr>
        <w:jc w:val="both"/>
        <w:rPr>
          <w:b/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2.2. Asfalt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Należy stosować asfalt drogowy 35/50 spełniający wymagania określone w PN EN 12591: z dostosowaniem do warunków polskich.</w:t>
      </w:r>
    </w:p>
    <w:p w:rsidR="00115839" w:rsidRPr="004B4FA5" w:rsidRDefault="00115839" w:rsidP="00440AF1">
      <w:pPr>
        <w:pStyle w:val="Tekstkomentarza"/>
        <w:spacing w:after="0" w:line="240" w:lineRule="auto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2.3.Wypełniacz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Należy stosować wypełniacz wapienny, </w:t>
      </w:r>
      <w:r w:rsidR="00AD7A55">
        <w:rPr>
          <w:i/>
          <w:sz w:val="20"/>
          <w:szCs w:val="20"/>
        </w:rPr>
        <w:t xml:space="preserve">spełniający wymagania WT-1 2014 </w:t>
      </w:r>
      <w:r w:rsidRPr="004B4FA5">
        <w:rPr>
          <w:i/>
          <w:sz w:val="20"/>
          <w:szCs w:val="20"/>
        </w:rPr>
        <w:t>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Składowanie wypełniacza powinno być zgodne z PN-S-96504: 1961.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2.4.Kruszywo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 zależności od kategorii ruchu należy stos</w:t>
      </w:r>
      <w:r w:rsidR="00AD7A55">
        <w:rPr>
          <w:i/>
          <w:sz w:val="20"/>
          <w:szCs w:val="20"/>
        </w:rPr>
        <w:t>ować kruszywa podane w WT-1 2014.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Składowanie kruszywa powinno odbywać się w warunkach zabezpieczających je przed zanieczyszczeniem i zmieszaniem z innymi asortymentami kruszywa lub jego frakcjami.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Jeżeli stosowana jest mieszanka kruszywa drobnego niełamanego i łamanego należy prując proporcje kruszywa łamanego do niełamanego co najmniej 50/50.</w:t>
      </w:r>
    </w:p>
    <w:p w:rsidR="00115839" w:rsidRPr="004B4FA5" w:rsidRDefault="00115839" w:rsidP="00440AF1">
      <w:pPr>
        <w:spacing w:before="120" w:after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2.5. Emulsja asfaltowa kationowa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Należy stosować drogowe kationowe emulsje asfaltowe spełniające wy</w:t>
      </w:r>
      <w:r w:rsidR="00AD7A55">
        <w:rPr>
          <w:i/>
          <w:sz w:val="20"/>
          <w:szCs w:val="20"/>
        </w:rPr>
        <w:t xml:space="preserve">magania określone w WT-3 2009 </w:t>
      </w:r>
      <w:r w:rsidRPr="004B4FA5">
        <w:rPr>
          <w:i/>
          <w:sz w:val="20"/>
          <w:szCs w:val="20"/>
        </w:rPr>
        <w:t>zgodnie z D-04.03.01..</w:t>
      </w:r>
    </w:p>
    <w:p w:rsidR="00115839" w:rsidRPr="004B4FA5" w:rsidRDefault="00115839" w:rsidP="00440AF1">
      <w:pPr>
        <w:pStyle w:val="Nagwek1"/>
      </w:pPr>
      <w:r w:rsidRPr="004B4FA5">
        <w:lastRenderedPageBreak/>
        <w:t>3.Sprzęt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3.1. Ogólne wymagania dotyczące sprzętu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wymagania dotyczące sprzętu podano w ST D-00.00.00 „Wymagania ogólne” pkt. 3.</w:t>
      </w:r>
    </w:p>
    <w:p w:rsidR="00115839" w:rsidRDefault="00115839" w:rsidP="00440AF1">
      <w:pPr>
        <w:jc w:val="both"/>
        <w:rPr>
          <w:b/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3.2.Sprzęt do wykonania podbudowy z betonu asfaltowego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Wykonawca przystępujący do wykonania podbudowy z betonu asfaltowego powinien wykazać się możliwością korzystania z następującego sprzętu: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wytwórni stacjonarnej (otaczarek) o mieszaniu cyklicznych lub ciągłym do wytwarzania mieszanek mineralno-asfaltowych,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układarek do układania mieszanek mineralno-asfaltowych typu zagęszczanego,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skrapiarek,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walców stalowych gładkich lekkich i średnich,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walców ogumionych ciężkich o regulowanym ciśnieniu w oponach,</w:t>
      </w:r>
    </w:p>
    <w:p w:rsidR="00115839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samochodów samowyładowczych z przykryciem brezentowym.</w:t>
      </w:r>
    </w:p>
    <w:p w:rsidR="00115839" w:rsidRPr="004B4FA5" w:rsidRDefault="00115839" w:rsidP="00440AF1">
      <w:pPr>
        <w:ind w:left="360"/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pStyle w:val="Nagwek1"/>
      </w:pPr>
      <w:r w:rsidRPr="004B4FA5">
        <w:t>4. Transport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4.1.Ogólne wymagania dotyczące transportu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wymagania dotyczące transportu podano w ST D-00.00.00 „Wymagania ogólne” pkt. 4.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4.2. Transport materiałów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4.2.1. Asfalt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Asfalt należy przewozić zgodnie z zasadami podanymi w PN-C-04024: 1991.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4.2.2. Wypełniacz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Wypełniacz luzem należy przewozić w cysternach przystosowanych do przewozu materiałów sypkich, umożliwiających rozładunek pneumatyczny.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Wypełniacz workowany można przewozić dowolnymi środkami transportu w sposób zabezpieczony przed zawilgoceniem i uszkodzeniem worków.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4.2.3. Kruszywo</w:t>
      </w:r>
    </w:p>
    <w:p w:rsidR="00115839" w:rsidRPr="004B4FA5" w:rsidRDefault="00115839" w:rsidP="00440AF1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i/>
          <w:sz w:val="20"/>
          <w:szCs w:val="20"/>
        </w:rPr>
        <w:t>Kruszywo można przewozić dowolnymi środkami transportu, w warunkach zabezpieczających je przed zanieczyszczeniem, zmieszaniem z innymi asortymentami kruszywa lub jego frakcjami i nadmiernym zawilgoceniem.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4.2.4. Mieszanka betonu asfaltowego</w:t>
      </w:r>
    </w:p>
    <w:p w:rsidR="00115839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mineralno-asfaltową należy  dowozić na budowę pojazdami samowyładowczymi w 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pStyle w:val="Nagwek1"/>
      </w:pPr>
      <w:r w:rsidRPr="004B4FA5">
        <w:t>5. Wykonanie robót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5.1. Ogólne zasady wykonania robót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wykonania robót podano w ST D-00.00.00 „Wymagania ogólne” pkt. 5.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Wykonawca jest zobowiązany do prowadzenia Zakładowej Kontroli Produkcji (ZKP) sprawdzającej na bieżąco poziomu produkcji metodą pojedynczych wyników wg. PN-EN 13102-21 oraz zasad ok</w:t>
      </w:r>
      <w:r w:rsidR="00AD7A55">
        <w:rPr>
          <w:i/>
          <w:sz w:val="20"/>
          <w:szCs w:val="20"/>
        </w:rPr>
        <w:t>reślonych w WT-2: 2014</w:t>
      </w:r>
      <w:r w:rsidRPr="004B4FA5">
        <w:rPr>
          <w:i/>
          <w:sz w:val="20"/>
          <w:szCs w:val="20"/>
        </w:rPr>
        <w:t xml:space="preserve">. 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5.2. Projektowanie mieszanki mineralno-asfaltowej do warstwy podbudowy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 opracowanie recepty – projektu mieszanki mineralno – asfaltowej odpowiada Wykonawca.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Przed przystąpieniem do robót, w terminie uzgodnionym z Inżynierem, Wykonawca dostarczy Inżynierowi do akceptacji projekt składu mieszanki mineralno-asfaltowej oraz wyniki badań laboratoryjnych i próbki materiałów pobrane w obecności Inżyniera.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lastRenderedPageBreak/>
        <w:t>Projektowanie mieszanki mineralno-asfaltowej polega na: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doborze składników mieszanki,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doborze optymalnej ilości asfaltu,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określeniu jej właściwości i porównaniu wyników z założeniami projektowymi.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Uziarnienie mieszanki mineralnej </w:t>
      </w:r>
      <w:r w:rsidR="00AD7A55">
        <w:rPr>
          <w:i/>
          <w:sz w:val="20"/>
          <w:szCs w:val="20"/>
        </w:rPr>
        <w:t xml:space="preserve">powinno być zgodne z WT-2  </w:t>
      </w:r>
      <w:r w:rsidR="00CC24B0">
        <w:rPr>
          <w:i/>
          <w:sz w:val="20"/>
          <w:szCs w:val="20"/>
        </w:rPr>
        <w:t xml:space="preserve">2014 </w:t>
      </w:r>
      <w:r w:rsidRPr="004B4FA5">
        <w:rPr>
          <w:i/>
          <w:sz w:val="20"/>
          <w:szCs w:val="20"/>
        </w:rPr>
        <w:t>dla projektowanej kategorii ruchu 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Zgodnie z Dokumentacją Projektową (przekroje konstrukcyjne) </w:t>
      </w:r>
      <w:r>
        <w:rPr>
          <w:i/>
          <w:sz w:val="20"/>
          <w:szCs w:val="20"/>
        </w:rPr>
        <w:t>podbudowa będzie wykonana z AC 16</w:t>
      </w:r>
      <w:r w:rsidRPr="004B4FA5">
        <w:rPr>
          <w:i/>
          <w:sz w:val="20"/>
          <w:szCs w:val="20"/>
        </w:rPr>
        <w:t>P. Do standardowego betonu asfaltowego należy stosować uziarnienie zgodne</w:t>
      </w:r>
      <w:r w:rsidR="00AD7A55">
        <w:rPr>
          <w:i/>
          <w:sz w:val="20"/>
          <w:szCs w:val="20"/>
        </w:rPr>
        <w:t xml:space="preserve"> z WT-2   </w:t>
      </w:r>
      <w:r w:rsidR="00CC24B0">
        <w:rPr>
          <w:i/>
          <w:sz w:val="20"/>
          <w:szCs w:val="20"/>
        </w:rPr>
        <w:t>201</w:t>
      </w:r>
      <w:r w:rsidR="00AD7A55">
        <w:rPr>
          <w:i/>
          <w:sz w:val="20"/>
          <w:szCs w:val="20"/>
        </w:rPr>
        <w:t>4 roku.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Każda</w:t>
      </w:r>
      <w:r>
        <w:rPr>
          <w:i/>
          <w:sz w:val="20"/>
          <w:szCs w:val="20"/>
        </w:rPr>
        <w:t xml:space="preserve"> zmiana składników mieszanki AC16P</w:t>
      </w:r>
      <w:r w:rsidR="002F00FE">
        <w:rPr>
          <w:i/>
          <w:sz w:val="20"/>
          <w:szCs w:val="20"/>
        </w:rPr>
        <w:t xml:space="preserve"> oraz AC22P</w:t>
      </w:r>
      <w:r w:rsidRPr="004B4FA5">
        <w:rPr>
          <w:i/>
          <w:sz w:val="20"/>
          <w:szCs w:val="20"/>
        </w:rPr>
        <w:t xml:space="preserve"> w czasie trwania robót, wymaga akceptacji Inżyniera oraz opracowania nowej recepty i jej zatwierdzenia.</w:t>
      </w:r>
    </w:p>
    <w:p w:rsidR="00115839" w:rsidRPr="004B4FA5" w:rsidRDefault="00115839" w:rsidP="00440AF1">
      <w:pPr>
        <w:pStyle w:val="Nagwek2"/>
        <w:rPr>
          <w:rFonts w:ascii="Cambria" w:hAnsi="Cambria"/>
          <w:b w:val="0"/>
          <w:i/>
        </w:rPr>
      </w:pPr>
      <w:r w:rsidRPr="004B4FA5">
        <w:rPr>
          <w:rFonts w:ascii="Cambria" w:hAnsi="Cambria"/>
          <w:b w:val="0"/>
          <w:i/>
        </w:rPr>
        <w:t xml:space="preserve">Wymagane właściwości </w:t>
      </w:r>
      <w:r>
        <w:rPr>
          <w:rFonts w:ascii="Cambria" w:hAnsi="Cambria"/>
          <w:b w:val="0"/>
          <w:i/>
        </w:rPr>
        <w:t>m</w:t>
      </w:r>
      <w:r w:rsidRPr="004B4FA5">
        <w:rPr>
          <w:rFonts w:ascii="Cambria" w:hAnsi="Cambria"/>
          <w:b w:val="0"/>
          <w:i/>
        </w:rPr>
        <w:t xml:space="preserve">ieszanki betonu </w:t>
      </w:r>
      <w:r w:rsidR="00CC24B0">
        <w:rPr>
          <w:rFonts w:ascii="Cambria" w:hAnsi="Cambria"/>
          <w:b w:val="0"/>
          <w:i/>
        </w:rPr>
        <w:t>asfaltowego dla kategorii ruchu KR3  podano w WT-2 z 2014.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5.3. Wytwarzanie mieszanki mineralno-asfaltowej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mineralno-asfaltową produkuje się w otaczarce o mieszaniu cyklicznym lub ciągłym zapewniającej prawidłowe dozowanie  składników, ich wysuszenie i wymieszanie oraz zachowanie temperatury składników i gotowej mieszanki mineralno-asfaltowej.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Dozowanie składników, w tym także wstępne, powinno być wagowe i zautomatyzowane oraz zgodne z receptą. Dopuszcza się dozowanie objętościowe asfaltu, przy uwzględnieniu zmiany jego gęstości w zależności od temperatury.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Tolerancje dozowania składników mogą wynosić: jedna działka elementarna wagi, względnie przepływomierza, lecz nie więcej niż ± 2% w stosunku do masy składnika.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Asfalt w zbiorniku powinien być ogrzewany w sposób pośredni, z układem termostatowania, zapewniającym utrzymanie stałej temperatury z tolerancją ± 5°C.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Maksymalna temperatura w zbiorniku powinna wynosić: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- dla 35/50</w:t>
      </w:r>
      <w:r w:rsidRPr="004B4FA5">
        <w:rPr>
          <w:i/>
          <w:sz w:val="20"/>
          <w:szCs w:val="20"/>
        </w:rPr>
        <w:tab/>
        <w:t>190°C,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Kruszywo powinno być wysuszone i tak podgrzane, aby mieszanka mineralna po dodaniu wypełniacza uzyskała właściwą temperaturę. Maksymalna temperatura gorącego kruszywa nie powinna być wyższa o więcej niż 30°C od maksymalnej temperatury mieszanki mineralno-asfaltowej.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Minimalna i maksymalna temperatura mieszanki mineralno-asfaltowej powinna wynosić: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- z  35/50</w:t>
      </w:r>
      <w:r w:rsidRPr="004B4FA5">
        <w:rPr>
          <w:i/>
          <w:sz w:val="20"/>
          <w:szCs w:val="20"/>
        </w:rPr>
        <w:tab/>
        <w:t>155°C – 195°C,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5.4. Przygotowanie podłoża</w:t>
      </w:r>
    </w:p>
    <w:p w:rsidR="00115839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Podłożem dla podbudowy z AC</w:t>
      </w:r>
      <w:r w:rsidR="002F00FE">
        <w:rPr>
          <w:i/>
          <w:sz w:val="20"/>
          <w:szCs w:val="20"/>
        </w:rPr>
        <w:t>22</w:t>
      </w:r>
      <w:r w:rsidRPr="004B4FA5">
        <w:rPr>
          <w:i/>
          <w:sz w:val="20"/>
          <w:szCs w:val="20"/>
        </w:rPr>
        <w:t>P jest podbudowa z kruszywa łamanego stabilizowanego mechanicznie spełniająca wymagania ST D.04.04.02. Przed ułożeniem podbudowy z BA, podłoże powinno zostać przygotowane zgodnie z wymaganiami ST D.04.03.01.</w:t>
      </w:r>
      <w:r w:rsidR="002F00FE">
        <w:rPr>
          <w:i/>
          <w:sz w:val="20"/>
          <w:szCs w:val="20"/>
        </w:rPr>
        <w:t xml:space="preserve"> Natomiast dla podbudowy AC16P jest to istniejąca nawierzchnia asfaltowa. </w:t>
      </w:r>
    </w:p>
    <w:p w:rsidR="002F00FE" w:rsidRPr="004B4FA5" w:rsidRDefault="002F00FE" w:rsidP="00440AF1">
      <w:pPr>
        <w:spacing w:before="120"/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Podłoże pod warstwę podbudowy z betonu asfaltowego powinno być wyprofilowane, równe, ustabilizowane i</w:t>
      </w:r>
      <w:r w:rsidR="002F00FE">
        <w:rPr>
          <w:i/>
          <w:sz w:val="20"/>
          <w:szCs w:val="20"/>
        </w:rPr>
        <w:t> </w:t>
      </w:r>
      <w:r w:rsidRPr="004B4FA5">
        <w:rPr>
          <w:i/>
          <w:sz w:val="20"/>
          <w:szCs w:val="20"/>
        </w:rPr>
        <w:t>nośne.</w:t>
      </w:r>
      <w:r w:rsidR="002F00FE">
        <w:rPr>
          <w:i/>
          <w:sz w:val="20"/>
          <w:szCs w:val="20"/>
        </w:rPr>
        <w:t xml:space="preserve"> </w:t>
      </w:r>
      <w:r w:rsidRPr="004B4FA5">
        <w:rPr>
          <w:i/>
          <w:sz w:val="20"/>
          <w:szCs w:val="20"/>
        </w:rPr>
        <w:t>Powierzchnia podłoża powinna być sucha i czysta.</w:t>
      </w:r>
      <w:r w:rsidR="002F00FE">
        <w:rPr>
          <w:i/>
          <w:sz w:val="20"/>
          <w:szCs w:val="20"/>
        </w:rPr>
        <w:t xml:space="preserve"> </w:t>
      </w:r>
      <w:r w:rsidRPr="004B4FA5">
        <w:rPr>
          <w:i/>
          <w:sz w:val="20"/>
          <w:szCs w:val="20"/>
        </w:rPr>
        <w:t xml:space="preserve">Powierzchnie czołowe włazów, wpustów itp. urządzeń powinny być pokryte asfaltem.  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5.5. Warunki przystąpienia do robót</w:t>
      </w:r>
    </w:p>
    <w:p w:rsidR="00115839" w:rsidRPr="004B4FA5" w:rsidRDefault="00115839" w:rsidP="00440AF1">
      <w:pPr>
        <w:spacing w:before="100" w:beforeAutospacing="1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Podbudowa z betonu asfaltowego może być układana, gdy temperatura otoczenia w ciągu doby była nie niższa od 5°C. Nie dopuszcza się układania podbudowy z mieszanki mineralno-asfaltowej podczas opadów atmosferycznych oraz silnego wiatru (V &gt; 16 m/s).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Temperatura otoczenia w ciągu doby nie powinna być niższa niż 0</w:t>
      </w:r>
      <w:r w:rsidRPr="004B4FA5">
        <w:rPr>
          <w:i/>
          <w:sz w:val="20"/>
          <w:szCs w:val="20"/>
          <w:vertAlign w:val="superscript"/>
        </w:rPr>
        <w:t>0</w:t>
      </w:r>
      <w:r w:rsidRPr="004B4FA5">
        <w:rPr>
          <w:i/>
          <w:sz w:val="20"/>
          <w:szCs w:val="20"/>
        </w:rPr>
        <w:t>C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5.6. Zarób próbny 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Należy wykonać pełny zarób próbny z udziałem asfaltu, w ilości zaprojektowanej w recepcie. Sprawdzenie zawartości asfaltu w mieszance określa się wykonując ekstrakcję.</w:t>
      </w:r>
    </w:p>
    <w:p w:rsidR="00115839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Dopuszczalne odchyłki zawartości składników mieszanki mineralno-asfaltowej względem składu zaprojektowanego powinny być zawarte </w:t>
      </w:r>
      <w:r w:rsidR="00AD7A55">
        <w:rPr>
          <w:i/>
          <w:sz w:val="20"/>
          <w:szCs w:val="20"/>
        </w:rPr>
        <w:t>w granicach podanych w WT-2:2014</w:t>
      </w:r>
      <w:r w:rsidR="00CC24B0">
        <w:rPr>
          <w:i/>
          <w:sz w:val="20"/>
          <w:szCs w:val="20"/>
        </w:rPr>
        <w:t>.</w:t>
      </w:r>
    </w:p>
    <w:p w:rsidR="007D4BE0" w:rsidRPr="004B4FA5" w:rsidRDefault="007D4BE0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lastRenderedPageBreak/>
        <w:t>5.7. Odcinek próbny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AD7A55" w:rsidP="00440AF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Zamawiający nie przewiduje konieczności wykonania odcinka próbnego. Dopuszcza się możliwość wykonania odcinka próbnego na  polecenie Inżyniera . Odcinek taki powinien zostać wykonany </w:t>
      </w:r>
      <w:r w:rsidR="00115839" w:rsidRPr="004B4FA5">
        <w:rPr>
          <w:i/>
          <w:sz w:val="20"/>
          <w:szCs w:val="20"/>
        </w:rPr>
        <w:t xml:space="preserve"> co najmniej na 3 dni przed rozpoczęciem robót, Wykonawca wykona odcinek próbny w celu: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stwierdzenia czy użyty sprzęt jest właściwy,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określenia grubości warstwy mieszanki mineralno-asfaltowej przed zagęszczeniem, koniecznej do uzyskania wymaganej w dokumentacji projektowej grubości warstwy,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określenia potrzebnej ilości przejść walców dla uzyskania prawidłowego zagęszczenia warstwy.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takiej próby Wykonawca użyje takich materiałów oraz sprzętu, jakie będą stosowane do wykonania podbudowy.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Odcinek próbny powinien być zlokalizowany w miejscu wskazanym przez Inżyniera.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Wykonawca może przystąpić do wykonywania podbudowy po zaakceptowaniu odcinka próbnego przez Inżyniera.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5.8. Wbudowywanie i zagęszczenie warstwy podbudowy z betonu asfaltowego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Produkcja mieszanki AC może zostać rozpoczęta po wyrażeniu zgody przez Inżyniera, na wniosek Wykonawcy. Bez zatwierdzonej recepty laboratoryjnej, Wykonawca nie może rozpocząć produkcji. Wytwórnia musi zostać zaprogramowana zgodnie z zatwierdzoną receptą roboczą. Nie dopuszcza się ręcznego sterowania produkcją mieszanki mineralno-asfaltowej. Mieszanka mineralno-asfaltowa powinna być wbudowywana układarką wyposażoną w układ z automatycznym sterowaniem grubości warstwy i utrzymywaniem niwelety zgodnie z dokumentacją projektową.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Temperatura mieszanki wbudowywanej nie powinna być niższa od minimalnej temperatury mieszanki podanej w pkt. 5.3.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Zagęszczanie mieszanki powinno odbywać się zgodnie ze schematem przejść walca ustalonym na odcinku próbnym.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Zagęszczenie mieszanki należy rozpocząć od krawędzi nawierzchni ku środkowi. Wskaźnik zagęszczenia ułożonej warstwy powinien być zgodny z w</w:t>
      </w:r>
      <w:r w:rsidR="007D4BE0">
        <w:rPr>
          <w:i/>
          <w:sz w:val="20"/>
          <w:szCs w:val="20"/>
        </w:rPr>
        <w:t>y</w:t>
      </w:r>
      <w:r w:rsidR="00AD7A55">
        <w:rPr>
          <w:i/>
          <w:sz w:val="20"/>
          <w:szCs w:val="20"/>
        </w:rPr>
        <w:t>maganiami podanymi w WT -2  2014</w:t>
      </w:r>
      <w:r w:rsidR="007D4BE0">
        <w:rPr>
          <w:i/>
          <w:sz w:val="20"/>
          <w:szCs w:val="20"/>
        </w:rPr>
        <w:t xml:space="preserve"> r. </w:t>
      </w:r>
      <w:r w:rsidRPr="004B4FA5">
        <w:rPr>
          <w:i/>
          <w:sz w:val="20"/>
          <w:szCs w:val="20"/>
        </w:rPr>
        <w:t>Złącza w podbudowie powinny być wykonane w linii prostej, równolegle lub prostopadle do osi drogi.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należy układać na całą szerokość jezdni, a tylko w miejscach gdzie nie jest to możliwe (np. ze względów technologicznych) mogą być układane połową szerokości jezdni. Przy rozkładaniu mieszanki całą szerokością warstwy, złącza poprzeczne, wynikające z dziennej działki roboczej, powinny być równo obcięte, posmarowane lepiszczem i zabezpieczone listwą przed uszkodzeniem.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 przypadku rozkładania mieszanki połową szerokości warstwy, występujące dodatkowo złącza podłużne należy zabezpieczyć w sposób podany dla złącza poprzecznego. 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Złącze podłużne układanej następnej warstwy, np. wiążącej, powinno być przesunięte o co najmniej 15 cm względem złącza podłużnego podbudowy.</w:t>
      </w:r>
    </w:p>
    <w:p w:rsidR="00115839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 trakcie rozkładania należy wstępnie zagęścić mieszankę mineralno – asfaltową płytą wibracyjną układarki.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pStyle w:val="Nagwek1"/>
      </w:pPr>
      <w:r w:rsidRPr="004B4FA5">
        <w:t xml:space="preserve">6. Kontrola jakości robót    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6.1 Ogólne zasady kontroli jakości robót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kontroli jakości robót podano w ST D-00.00.00 „Wymagania ogólne” pkt. 6.</w:t>
      </w:r>
    </w:p>
    <w:p w:rsidR="00115839" w:rsidRDefault="00115839" w:rsidP="00440AF1">
      <w:pPr>
        <w:jc w:val="both"/>
        <w:rPr>
          <w:b/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6.2 Badania przed przystąpieniem do robót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Przed przystąpieniem do robót Wykonawca powinien wykonać badania lepiszcza, wypełniacza oraz kruszyw przeznaczonych do produkcji mieszanki mineralno-asfaltowej i przedstawi wyniki tych badań Inżynierowi do akceptacji.</w:t>
      </w:r>
    </w:p>
    <w:p w:rsidR="00115839" w:rsidRPr="004B4FA5" w:rsidRDefault="00115839" w:rsidP="00440AF1">
      <w:pPr>
        <w:pStyle w:val="Nagwek2"/>
        <w:rPr>
          <w:rFonts w:ascii="Cambria" w:hAnsi="Cambria"/>
          <w:b w:val="0"/>
          <w:i/>
        </w:rPr>
      </w:pPr>
      <w:r w:rsidRPr="004B4FA5">
        <w:rPr>
          <w:rFonts w:ascii="Cambria" w:hAnsi="Cambria"/>
          <w:i/>
        </w:rPr>
        <w:t>6.3 Badania w czasie robót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6.3.1 Częstotliwość oraz zakres badań i pomiarów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Częstotliwość oraz zakres badań i pomiarów w czasie wytwarzania mieszanki mineralno-asfaltowej podano w tablicy 1.</w:t>
      </w:r>
    </w:p>
    <w:p w:rsidR="00115839" w:rsidRPr="004B4FA5" w:rsidRDefault="00115839" w:rsidP="00440AF1">
      <w:pPr>
        <w:pStyle w:val="tekstost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Uwaga: Wykonawca pobiera próbki do badań kontrolnych produkcji na Wytwórni. Natomiast próbki do badań sprawdzających i odbiorczych należy pobierać na budowie.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tab.1. Częstotliwość oraz zakres badań i pomiarów w czasie wytwarzania mieszanki mineralno-asfaltowej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4"/>
        <w:gridCol w:w="3969"/>
      </w:tblGrid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Lp.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Wyszczególnienie badań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Częstotliwość badań</w:t>
            </w: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Minimalna liczba badań na dziennej działce roboczej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Dozowanie składników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Dozór ciągły 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Skład mieszanki mineralno-asfaltowej - próbki pobrane na budowie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próbka przy produkcji do 500 Mg</w:t>
            </w: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próbki przy produkcji ponad 500 Mg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asfaltu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Dla każdej dostawy (cysterny)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wypełniacza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na 100 Mg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kruszywa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na 200 Mg i przy każdej zmianie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składników mieszanki mineralno-asfaltowej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Dozór ciągły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mieszanki mineralno-asfaltowej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Każdy pojazd przy załadunku i w czasie wbudowywania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Wygląd mieszanki mineralno-asfaltowej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4674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próbek mieszanki mineralno-asfaltowej pobranej na budowie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Jeden raz dziennie</w:t>
            </w:r>
          </w:p>
        </w:tc>
      </w:tr>
    </w:tbl>
    <w:p w:rsidR="00115839" w:rsidRPr="004B4FA5" w:rsidRDefault="00115839" w:rsidP="00440AF1">
      <w:pPr>
        <w:pStyle w:val="Nagwek2"/>
        <w:rPr>
          <w:rFonts w:ascii="Cambria" w:hAnsi="Cambria"/>
          <w:b w:val="0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6.3.2 Skład mieszanki mineralno-asfaltowej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Badanie składu mieszanki mineralno-asfaltowej polega na wykonaniu ekstrakcji wg PN-EN 12677-1 i PN-EN 12697-2. Wyniki powinny być zgodne z receptą laboratoryjną z tolerancją określoną w tablicy 4.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6.3.3 Badanie właściwości asfaltu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Dla każdej cysterny należy określić podstawowe cechy asfaltu: penetracja i temperatura </w:t>
      </w:r>
      <w:proofErr w:type="spellStart"/>
      <w:r w:rsidRPr="004B4FA5">
        <w:rPr>
          <w:i/>
          <w:sz w:val="20"/>
          <w:szCs w:val="20"/>
        </w:rPr>
        <w:t>mięknienia</w:t>
      </w:r>
      <w:proofErr w:type="spellEnd"/>
      <w:r w:rsidRPr="004B4FA5">
        <w:rPr>
          <w:i/>
          <w:sz w:val="20"/>
          <w:szCs w:val="20"/>
        </w:rPr>
        <w:t xml:space="preserve"> </w:t>
      </w:r>
      <w:proofErr w:type="spellStart"/>
      <w:r w:rsidRPr="004B4FA5">
        <w:rPr>
          <w:i/>
          <w:sz w:val="20"/>
          <w:szCs w:val="20"/>
        </w:rPr>
        <w:t>PiK</w:t>
      </w:r>
      <w:proofErr w:type="spellEnd"/>
      <w:r w:rsidRPr="004B4FA5">
        <w:rPr>
          <w:i/>
          <w:sz w:val="20"/>
          <w:szCs w:val="20"/>
        </w:rPr>
        <w:t xml:space="preserve"> </w:t>
      </w:r>
      <w:proofErr w:type="spellStart"/>
      <w:r w:rsidRPr="004B4FA5">
        <w:rPr>
          <w:i/>
          <w:sz w:val="20"/>
          <w:szCs w:val="20"/>
        </w:rPr>
        <w:t>wg</w:t>
      </w:r>
      <w:proofErr w:type="spellEnd"/>
      <w:r w:rsidRPr="004B4FA5">
        <w:rPr>
          <w:i/>
          <w:sz w:val="20"/>
          <w:szCs w:val="20"/>
        </w:rPr>
        <w:t>. PN-EN 1426 i PN-EN 1427.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6.3.4 Badanie właściwości wypełniacza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Na każde 100 Mg zużytego wypełniacza należy badać uziarnienie i wilgotność. 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Pełne badania powinny być przeprowadzane przy każdej zmianie wypełniacza i w przypadku wystąpienia wątpliwości, co do jego jakości.  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6.3.5 Badanie właściwości kruszywa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 częstotliwością podaną w tablicy 6 należy badać cechy gatunkowe kruszywa. Natomiast cechy klasowe kruszywa należy sprawdzać przy każdej zmianie kruszywa i w przypadku wystąpienia wątpliwości, co do jego jakości.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6.3.6 Pomiar temperatury składników mieszanki mineralno-asfaltowej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6.3.7 Pomiar temperatury mieszanki mineralno-asfaltowej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Pomiar temperatury mieszanki mineralno-asfaltowej polega na kilkakrotnym zanurzeniu termometru w mieszance i odczytaniu temperatury.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Dokładność pomiaru ± 2°C. Temperatura powinna być zgodna z wymaganiami podanymi w recepcie i SST.</w:t>
      </w:r>
    </w:p>
    <w:p w:rsidR="00115839" w:rsidRPr="004B4FA5" w:rsidRDefault="00115839" w:rsidP="00440AF1">
      <w:pPr>
        <w:spacing w:before="120" w:after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6.3.8 Sprawdzenie wyglądu mieszanki mineralno-asfaltowej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lastRenderedPageBreak/>
        <w:t>Sprawdzenie wyglądu mieszanki mineralno-asfaltowej polega na ocenie wizualnej jej wyglądu w czasie produkcji, załadunku, rozładunku i wbudowywania.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6.3.9 Właściwości mieszanki mineralno-asfaltowej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Właściwości mieszanki mineralno-asfaltowej należy określać na próbkach zagęszczonych metodą Marshalla. Wyniki powinny być zgodne z zatwierdzoną receptą laboratoryjną i ST.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6.4 Badania dotyczące cech geometrycznych i właściwości podbudowy z betonu asfaltowego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6.4.1 Częstotliwość oraz zakres badań i pomiarów 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Częstotliwość oraz zakres badań i pomiarów wykonanej podbudowy z betonu asfaltowego podaje tablica 2.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tab.2. Częstotliwość oraz zakres badań i pomiarów wykonanej podbudowy z betonu asfaltowego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9"/>
        <w:gridCol w:w="4536"/>
      </w:tblGrid>
      <w:tr w:rsidR="00115839" w:rsidRPr="004B4FA5" w:rsidTr="00CC24B0">
        <w:tc>
          <w:tcPr>
            <w:tcW w:w="567" w:type="dxa"/>
            <w:tcBorders>
              <w:bottom w:val="double" w:sz="4" w:space="0" w:color="auto"/>
            </w:tcBorders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Badana cecha</w:t>
            </w:r>
          </w:p>
        </w:tc>
        <w:tc>
          <w:tcPr>
            <w:tcW w:w="4536" w:type="dxa"/>
            <w:tcBorders>
              <w:bottom w:val="double" w:sz="4" w:space="0" w:color="auto"/>
            </w:tcBorders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Minimalna częstotliwość badań i pomiarów</w:t>
            </w:r>
          </w:p>
        </w:tc>
      </w:tr>
      <w:tr w:rsidR="00115839" w:rsidRPr="004B4FA5" w:rsidTr="00CC24B0">
        <w:tc>
          <w:tcPr>
            <w:tcW w:w="567" w:type="dxa"/>
            <w:tcBorders>
              <w:top w:val="nil"/>
            </w:tcBorders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</w:tcBorders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Szerokość warstwy</w:t>
            </w:r>
          </w:p>
        </w:tc>
        <w:tc>
          <w:tcPr>
            <w:tcW w:w="4536" w:type="dxa"/>
            <w:tcBorders>
              <w:top w:val="nil"/>
            </w:tcBorders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razy na odcinku drogi o długości 100 m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Równość warstwy</w:t>
            </w:r>
            <w:r w:rsidRPr="004B4FA5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napToGrid w:val="0"/>
                <w:sz w:val="20"/>
                <w:szCs w:val="20"/>
              </w:rPr>
              <w:t>Równość poprzeczna nie rzadziej niż co 5 m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Spadki poprzeczne warstwy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 razy na odcinku drogi o długości 100 m</w:t>
            </w:r>
          </w:p>
        </w:tc>
      </w:tr>
      <w:tr w:rsidR="00115839" w:rsidRPr="004B4FA5" w:rsidTr="00CC24B0">
        <w:trPr>
          <w:cantSplit/>
        </w:trPr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Rzędne wysokościowe warstwy</w:t>
            </w:r>
          </w:p>
        </w:tc>
        <w:tc>
          <w:tcPr>
            <w:tcW w:w="4536" w:type="dxa"/>
            <w:vMerge w:val="restart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Pomiar rzędnych niwelacji podłużnej i poprzecznej oraz usytuowania osi według dokumentacji budowy</w:t>
            </w:r>
          </w:p>
        </w:tc>
      </w:tr>
      <w:tr w:rsidR="00115839" w:rsidRPr="004B4FA5" w:rsidTr="00CC24B0">
        <w:trPr>
          <w:cantSplit/>
        </w:trPr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Ukształtowanie osi w planie</w:t>
            </w:r>
          </w:p>
        </w:tc>
        <w:tc>
          <w:tcPr>
            <w:tcW w:w="4536" w:type="dxa"/>
            <w:vMerge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Grubość wykonywanej warstwy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 razy (w osi i na brzegach warstwy) co 25 m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Złącza podłużne i poprzeczne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Cała długość złącza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Krawędź, obramowanie warstwy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Cała długość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Wygląd warstwy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Ocena ciągła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Zagęszczenie warstwy 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próbki z każdego pasa o długości do 100 m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Wolna przestrzeń w warstwie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  <w:tr w:rsidR="00115839" w:rsidRPr="004B4FA5" w:rsidTr="00CC24B0">
        <w:tc>
          <w:tcPr>
            <w:tcW w:w="567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969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Grubość warstwy</w:t>
            </w:r>
          </w:p>
        </w:tc>
        <w:tc>
          <w:tcPr>
            <w:tcW w:w="453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</w:tbl>
    <w:p w:rsidR="00115839" w:rsidRPr="004B4FA5" w:rsidRDefault="00115839" w:rsidP="00440AF1">
      <w:pPr>
        <w:pStyle w:val="Nagwek2"/>
        <w:rPr>
          <w:rFonts w:ascii="Cambria" w:hAnsi="Cambria"/>
          <w:b w:val="0"/>
          <w:i/>
        </w:rPr>
      </w:pPr>
      <w:r w:rsidRPr="004B4FA5">
        <w:rPr>
          <w:rFonts w:ascii="Cambria" w:hAnsi="Cambria"/>
          <w:i/>
          <w:vertAlign w:val="superscript"/>
        </w:rPr>
        <w:t>1)</w:t>
      </w:r>
      <w:r w:rsidRPr="004B4FA5">
        <w:rPr>
          <w:rFonts w:ascii="Cambria" w:hAnsi="Cambria"/>
          <w:i/>
        </w:rPr>
        <w:t xml:space="preserve"> – </w:t>
      </w:r>
      <w:r w:rsidRPr="004B4FA5">
        <w:rPr>
          <w:rFonts w:ascii="Cambria" w:hAnsi="Cambria"/>
          <w:b w:val="0"/>
          <w:i/>
        </w:rPr>
        <w:t xml:space="preserve">podstawowym pomiarem równości podłużnej jest metoda profilometryczna. Niezależnie od możliwości wykonania badania tą metodą, za zgodą Inżyniera może zostać wykonany pomiar przy użyciu </w:t>
      </w:r>
      <w:proofErr w:type="spellStart"/>
      <w:r w:rsidRPr="004B4FA5">
        <w:rPr>
          <w:rFonts w:ascii="Cambria" w:hAnsi="Cambria"/>
          <w:b w:val="0"/>
          <w:i/>
        </w:rPr>
        <w:t>planografu</w:t>
      </w:r>
      <w:proofErr w:type="spellEnd"/>
      <w:r w:rsidRPr="004B4FA5">
        <w:rPr>
          <w:rFonts w:ascii="Cambria" w:hAnsi="Cambria"/>
          <w:b w:val="0"/>
          <w:i/>
        </w:rPr>
        <w:t xml:space="preserve"> (tj. metody równoważnej przy użyciu łaty i klina). W miejscach niedostępnych dla inny</w:t>
      </w:r>
      <w:r w:rsidR="007D4BE0">
        <w:rPr>
          <w:rFonts w:ascii="Cambria" w:hAnsi="Cambria"/>
          <w:b w:val="0"/>
          <w:i/>
        </w:rPr>
        <w:t>c</w:t>
      </w:r>
      <w:r w:rsidRPr="004B4FA5">
        <w:rPr>
          <w:rFonts w:ascii="Cambria" w:hAnsi="Cambria"/>
          <w:b w:val="0"/>
          <w:i/>
        </w:rPr>
        <w:t>h przyrządów, należy stosować metodę z wykorzystaniem łaty i klina.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6.4.2 Szerokość podbudowy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Szerokość podbudowy powinna być zgodna z dokumentacją projektową.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6.4.3 Równość podbudowy</w:t>
      </w:r>
    </w:p>
    <w:p w:rsidR="00115839" w:rsidRPr="004B4FA5" w:rsidRDefault="00115839" w:rsidP="00440AF1">
      <w:pPr>
        <w:spacing w:before="100" w:beforeAutospacing="1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oceny równości podłużnej warstwy podbudowy nawierzchni dróg wszystkich klas technicznych należy stosować metodę z wykorzystaniem łaty 4-metrowej i klina lub metody równoważnej użyciu łaty i klina, mierząc największą wysokość prześwitu pod łatą. Pomiar wykonuje się nie rzadziej niż co 10 m zgodnie z rozporządzeniem dotyczącym warunków technicznych, jakim powinny odpowiadać drogi publiczne .</w:t>
      </w:r>
    </w:p>
    <w:p w:rsidR="00115839" w:rsidRPr="007D4BE0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Dopuszczalne nierówności:</w:t>
      </w:r>
    </w:p>
    <w:p w:rsidR="00115839" w:rsidRPr="007D4BE0" w:rsidRDefault="007D4BE0" w:rsidP="00440AF1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dla  dróg klasy </w:t>
      </w:r>
      <w:r w:rsidR="00115839" w:rsidRPr="004B4FA5">
        <w:rPr>
          <w:rFonts w:ascii="Cambria" w:hAnsi="Cambria" w:cs="Arial"/>
          <w:i/>
        </w:rPr>
        <w:t>Z    ≤ 12 mm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oceny równości poprzecznej warstwy podbudowy nawierzchni dróg wszystkich klas technicznych należy stosować metodę z wykorzystaniem łaty 4-metrowej i klina lub metody równoważnej użyciu łaty i klina. Pomiar należy wykonywać w kierunku prostopadłym do osi jezdni, na każdym ocenianym pasie ruchu, nie rzadziej niż co 10 m. Wymagana równość poprzeczna jest określona w rozporządzeniu dotyczącym warunków technicznych, jakim powinny odpowiadać drogi publiczne Wymagania dotyczące równości poprzecznej, określone są w ust. 3, (wymagania wg Dziennika Ustaw Nr 43/99 poz. 430 – załącznik 6, pkt.  3)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6.4.4 Spadki poprzeczne podbudowy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Spadki poprzeczne na odcinkach prostych i na łukach powinny być zgodne z dokumentacją projektową, z tolerancją ± 0,5%.</w:t>
      </w:r>
    </w:p>
    <w:p w:rsidR="00115839" w:rsidRDefault="00115839" w:rsidP="00440AF1">
      <w:pPr>
        <w:pStyle w:val="Nagwek2"/>
        <w:rPr>
          <w:rFonts w:ascii="Cambria" w:hAnsi="Cambria"/>
          <w:i/>
        </w:rPr>
      </w:pPr>
    </w:p>
    <w:p w:rsidR="00E44473" w:rsidRPr="00E44473" w:rsidRDefault="00E44473" w:rsidP="00440AF1">
      <w:pPr>
        <w:jc w:val="both"/>
        <w:rPr>
          <w:lang w:eastAsia="pl-PL"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6.4.5 Rzędne wysokościowe</w:t>
      </w:r>
    </w:p>
    <w:p w:rsidR="00115839" w:rsidRPr="004B4FA5" w:rsidRDefault="00115839" w:rsidP="00440AF1">
      <w:pPr>
        <w:spacing w:before="120" w:after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Rzędne wysokościowe powinny być zgodne z dokumentacją projektową, z tolerancją - 1 cm i + 0 cm.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6.4.6 Ukształtowanie osi w planie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Oś podbudowy w planie powinna być usytuowana zgodnie z dokumentacją projektową, z tolerancją ± 5 cm 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6.4.7 Grubość podbudowy</w:t>
      </w:r>
    </w:p>
    <w:p w:rsidR="00115839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Grubość podbudowy powinna być zgodna z grubością projektową, dopuszczalne odchyłki 10%.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Grubość pakietu bitumicznego ma być zgodna z dokumentacją projektową.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6.4.8 Złącza podłużne i poprzeczne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Złącza podbudowy powinny być wykonane w linii prostej, równolegle lub prostopadle do osi.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6.4.9 Krawędzie podbudowy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Krawędzie podbudowy powinny być równo obcięte lub wyprofilowane i pokryte asfaltem.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6.4.10 Wygląd podbudowy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Podbudowa powinna mieć jednolitą teksturę, bez miejsc </w:t>
      </w:r>
      <w:proofErr w:type="spellStart"/>
      <w:r w:rsidRPr="004B4FA5">
        <w:rPr>
          <w:i/>
          <w:sz w:val="20"/>
          <w:szCs w:val="20"/>
        </w:rPr>
        <w:t>przeasfaltowanych</w:t>
      </w:r>
      <w:proofErr w:type="spellEnd"/>
      <w:r w:rsidRPr="004B4FA5">
        <w:rPr>
          <w:i/>
          <w:sz w:val="20"/>
          <w:szCs w:val="20"/>
        </w:rPr>
        <w:t>, porowatych, łuszczących się</w:t>
      </w:r>
      <w:r w:rsidR="007D4BE0">
        <w:rPr>
          <w:i/>
          <w:sz w:val="20"/>
          <w:szCs w:val="20"/>
        </w:rPr>
        <w:t xml:space="preserve">        </w:t>
      </w:r>
      <w:r w:rsidRPr="004B4FA5">
        <w:rPr>
          <w:i/>
          <w:sz w:val="20"/>
          <w:szCs w:val="20"/>
        </w:rPr>
        <w:t xml:space="preserve"> i spękanych.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6.4.11 Zagęszczenie podbudowy i wolna przestrzeń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</w:t>
      </w:r>
      <w:r w:rsidR="007D4BE0">
        <w:rPr>
          <w:i/>
          <w:sz w:val="20"/>
          <w:szCs w:val="20"/>
        </w:rPr>
        <w:t>s</w:t>
      </w:r>
      <w:r w:rsidRPr="004B4FA5">
        <w:rPr>
          <w:i/>
          <w:sz w:val="20"/>
          <w:szCs w:val="20"/>
        </w:rPr>
        <w:t>kaźnik zagęszczenia wykonanej warstwy ≥ 98%. Dotyczy to każdego pojedynczego oznaczenia danej właściwości.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Określenie gęstości objętościowej należy wykonywać według PN-EN 12697-6.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Zawartość wolnych przestrzeni w próbce wyciętej z nawierzchni,  nie może wykroczyć poza wartości dopuszczalne 4,0-10,0 %(v/v).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Zawartość wolnej przestrzeni w próbce Marshalla z mieszanki mineralno-asfaltowej nie może wykroczyć poza wartości dopuszczalnej 4,0-7,0 % (dla KR3-4).</w:t>
      </w:r>
    </w:p>
    <w:p w:rsidR="00115839" w:rsidRPr="004B4FA5" w:rsidRDefault="00115839" w:rsidP="00440AF1">
      <w:pPr>
        <w:pStyle w:val="Nagwek1"/>
      </w:pPr>
      <w:r w:rsidRPr="004B4FA5">
        <w:t>7. Obmiar robót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7.1. Ogólne zasady obmiaru robót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obmiaru robót podano w ST D-00.00.00 „Wymagania ogólne” pkt. 7.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7.2. Jednostka obmiarowa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Jednostką obmiarową jest m</w:t>
      </w:r>
      <w:r w:rsidRPr="004B4FA5">
        <w:rPr>
          <w:i/>
          <w:sz w:val="20"/>
          <w:szCs w:val="20"/>
          <w:vertAlign w:val="superscript"/>
        </w:rPr>
        <w:t>2</w:t>
      </w:r>
      <w:r w:rsidRPr="004B4FA5">
        <w:rPr>
          <w:i/>
          <w:sz w:val="20"/>
          <w:szCs w:val="20"/>
        </w:rPr>
        <w:t xml:space="preserve"> (metr kwadratowy) podbudowy z betonu asfaltowego.</w:t>
      </w:r>
    </w:p>
    <w:p w:rsidR="00115839" w:rsidRPr="004B4FA5" w:rsidRDefault="00115839" w:rsidP="00440AF1">
      <w:pPr>
        <w:pStyle w:val="Nagwek1"/>
      </w:pPr>
      <w:r w:rsidRPr="004B4FA5">
        <w:t>8.Odbiór robót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odbioru robót podano w ST D-00.00.00 „Wymagania ogólne” pkt. 8.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Roboty uznaje się za wykonane zgodnie z dokumentacją projektową, SST i wymaganiami Inżyniera, jeżeli wszystkie pomiary i badania z zachowaniem tolerancji wg pkt. 6 dały wyniki pozytywne.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Zamawiający może w razie niedotrzymania wartości dopuszczalnych dokonać potrąceń według zasad określonych w WT-2 pkt 9.2.</w:t>
      </w:r>
    </w:p>
    <w:p w:rsidR="00115839" w:rsidRPr="004B4FA5" w:rsidRDefault="00115839" w:rsidP="00440AF1">
      <w:pPr>
        <w:pStyle w:val="Nagwek1"/>
      </w:pPr>
      <w:r w:rsidRPr="004B4FA5">
        <w:t>9. Podstawa płatności</w:t>
      </w: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9.1. Ogólne ustalenia dotyczące podstawy płatności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ustalenia dotyczące podstawy płatności podano w ST D-00.00.00 „Wymagania ogólne” pkt 9.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lastRenderedPageBreak/>
        <w:t>Zakres płatności za wykonaną warstwę podbudowy z BA należy przyjmować zgodnie z obmiarem i oceną jakości wykonanych robót.</w:t>
      </w:r>
    </w:p>
    <w:p w:rsidR="00115839" w:rsidRPr="004B4FA5" w:rsidRDefault="00115839" w:rsidP="00440AF1">
      <w:pPr>
        <w:pStyle w:val="Nagwek2"/>
        <w:numPr>
          <w:ilvl w:val="1"/>
          <w:numId w:val="0"/>
        </w:numPr>
        <w:tabs>
          <w:tab w:val="num" w:pos="360"/>
        </w:tabs>
        <w:ind w:left="360" w:hanging="360"/>
        <w:rPr>
          <w:rFonts w:ascii="Cambria" w:hAnsi="Cambria"/>
          <w:i/>
        </w:rPr>
      </w:pPr>
    </w:p>
    <w:p w:rsidR="00115839" w:rsidRPr="004B4FA5" w:rsidRDefault="00115839" w:rsidP="00440AF1">
      <w:pPr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9.2. Cena jednostki obmiarowej</w:t>
      </w:r>
    </w:p>
    <w:p w:rsidR="00115839" w:rsidRPr="004B4FA5" w:rsidRDefault="00115839" w:rsidP="00440AF1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Cena wykonania 1 m</w:t>
      </w:r>
      <w:r w:rsidRPr="004B4FA5">
        <w:rPr>
          <w:i/>
          <w:sz w:val="20"/>
          <w:szCs w:val="20"/>
          <w:vertAlign w:val="superscript"/>
        </w:rPr>
        <w:t>2</w:t>
      </w:r>
      <w:r w:rsidRPr="004B4FA5">
        <w:rPr>
          <w:i/>
          <w:sz w:val="20"/>
          <w:szCs w:val="20"/>
        </w:rPr>
        <w:t xml:space="preserve"> podbudowy z betonu asfaltowego obejmuje:</w:t>
      </w:r>
    </w:p>
    <w:p w:rsidR="00115839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przygotowanie recepty,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prace pomiarowe i roboty przygotowawcze,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oznakowanie robót,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dostarczenie materiałów,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wyprodukowanie mieszanki mineralno-asfaltowej i jej transport na miejsce wbudowywania,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rozłożenie i zagęszczenie mieszanki mineralno-asfaltowej,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obcięcie krawędzi i posmarowanie asfaltem,</w:t>
      </w:r>
    </w:p>
    <w:p w:rsidR="00115839" w:rsidRPr="004B4FA5" w:rsidRDefault="00115839" w:rsidP="00440AF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przeprowadzenie pomiarów i badań laboratoryjnych, wymaganych w specyfikacji technicznej.</w:t>
      </w:r>
    </w:p>
    <w:p w:rsidR="00115839" w:rsidRPr="004B4FA5" w:rsidRDefault="00115839" w:rsidP="00440AF1">
      <w:pPr>
        <w:pStyle w:val="Nagwek1"/>
      </w:pPr>
      <w:r w:rsidRPr="004B4FA5">
        <w:t>10.Przepisy związane</w:t>
      </w: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10.1 Normy</w:t>
      </w:r>
    </w:p>
    <w:tbl>
      <w:tblPr>
        <w:tblW w:w="8472" w:type="dxa"/>
        <w:tblLook w:val="01E0"/>
      </w:tblPr>
      <w:tblGrid>
        <w:gridCol w:w="534"/>
        <w:gridCol w:w="1842"/>
        <w:gridCol w:w="6096"/>
      </w:tblGrid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196-21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Metody badania cementu – Oznaczanie zawartości chlorków, dwutlenku węgla i alkaliów w cemencie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459-2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Wapno budowlane – Część 2: Metody badań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932-3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podstawowych właściwości kruszyw – Procedura i terminologia uproszczonego opisu petrograficznego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Oznaczanie kształtu ziaren za pomocą wskaźnika płaskości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933-4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4: Oznaczanie kształtu ziaren – Wskaźnik kształtu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933-5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geometrycznych właściwości kruszyw – Oznaczanie procentowej zawartości ziaren o powierzchniach powstałych w wyniku </w:t>
            </w:r>
            <w:proofErr w:type="spellStart"/>
            <w:r w:rsidRPr="004B4FA5">
              <w:rPr>
                <w:i/>
                <w:sz w:val="20"/>
                <w:szCs w:val="20"/>
              </w:rPr>
              <w:t>przekruszenia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lub łamania kruszyw grubych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933-6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6: Ocena właściwości powierzchni – Wskaźnik przepływu kruszywa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933-9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Ocena zawartości drobnych cząstek – Badania błękitem metylenowym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933-10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1097-2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Oznaczanie gęstości nasypowej i jamistości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1097-4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1097-5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1097-6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–Część 6: Oznaczanie gęstości ziaren i nasiąkliwości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1097-7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7: Oznaczanie gęstości wypełniacza – Metoda piknometryczna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1097-8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mechanicznych i fizycznych właściwości kruszyw – Część 8: Oznaczanie </w:t>
            </w:r>
            <w:proofErr w:type="spellStart"/>
            <w:r w:rsidRPr="004B4FA5">
              <w:rPr>
                <w:i/>
                <w:sz w:val="20"/>
                <w:szCs w:val="20"/>
              </w:rPr>
              <w:t>polerowalności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kamienia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1367-1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1367-3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1426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penetracji igłą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1427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temperatury mięknienia – Metoda Pierścień i Kula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1428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zawartości wody w emulsjach asfaltowych – Metoda destylacji azeotropowej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1429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1744-1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chemicznych właściwości kruszyw – Analiza chemiczna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1744-4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chemicznych właściwości kruszyw – Część 4: Oznaczanie podatności wypełniaczy do mieszanek mineralno-asfaltowych na działanie wody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Wymagania dla asfaltów drogowych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12592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rozpuszczalności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produkty asfaltowe – Oznaczanie temperatury łamliwości </w:t>
            </w:r>
            <w:proofErr w:type="spellStart"/>
            <w:r w:rsidRPr="004B4FA5">
              <w:rPr>
                <w:i/>
                <w:sz w:val="20"/>
                <w:szCs w:val="20"/>
              </w:rPr>
              <w:t>Fraassa</w:t>
            </w:r>
            <w:proofErr w:type="spellEnd"/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12606-1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zawartości parafiny – Część 1: Metoda destylacyjna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12607-1</w:t>
            </w: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i</w:t>
            </w: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12607-3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odporności na twardnienie pod wpływem ciepła i powietrza – Część 1: Metoda RTFOT</w:t>
            </w:r>
          </w:p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 Część 3: Metoda RFT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12697-6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12697-8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12697-12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13: Pomiar temperatury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12697-18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18: Spływanie lepiszcza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12697-22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22: Koleinowanie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12697-27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27: Pobieranie próbek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12697-36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12846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czasu wypływu emulsji asfaltowych lepkościomierzem wypływowym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12847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sedymentacji emulsji asfaltowych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12850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lepiszcza asfaltowe – Oznaczanie wartości </w:t>
            </w:r>
            <w:proofErr w:type="spellStart"/>
            <w:r w:rsidRPr="004B4FA5">
              <w:rPr>
                <w:i/>
                <w:sz w:val="20"/>
                <w:szCs w:val="20"/>
              </w:rPr>
              <w:t>pH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emulsji asfaltowych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13043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13074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lepiszczy z emulsji asfaltowych przez odparowanie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13075-1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13108-1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Wymagania – Część 1: Beton asfaltowy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13108-20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Wymagania – Część 20: Badanie typu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13179-1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kruszyw wypełniających stosowanych do mieszanek bitumicznych – Część 1: Badanie metodą Pierścienia i Kuli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13179-2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kruszyw wypełniających stosowanych do mieszanek bitumicznych – Część 2: Liczba bitumiczna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13398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nawrotu sprężystego asfaltów modyfikowanych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13399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odporności na magazynowanie modyfikowanych asfaltów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13587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ciągliwości lepiszczy asfaltowych metodą pomiaru ciągliwości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13588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kohezji lepiszczy asfaltowych metodą testu wahadłowego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13589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lepiszcza asfaltowe – Oznaczanie ciągliwości modyfikowanych asfaltów – Metoda z </w:t>
            </w:r>
            <w:proofErr w:type="spellStart"/>
            <w:r w:rsidRPr="004B4FA5">
              <w:rPr>
                <w:i/>
                <w:sz w:val="20"/>
                <w:szCs w:val="20"/>
              </w:rPr>
              <w:t>duktylometrem</w:t>
            </w:r>
            <w:proofErr w:type="spellEnd"/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13614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przyczepności emulsji bitumicznych przez zanurzenie w wodzie – Metoda z kruszywem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13703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energii deformacji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13808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Zasady specyfikacji kationowych emulsji asfaltowych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14023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Zasady specyfikacji asfaltów modyfikowanych polimerami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14188-1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Wypełniacze złączy i zalewy – Część 1: Specyfikacja zalew na gorąco</w:t>
            </w:r>
          </w:p>
        </w:tc>
      </w:tr>
      <w:tr w:rsidR="00115839" w:rsidRPr="004B4FA5" w:rsidTr="00CC24B0">
        <w:tc>
          <w:tcPr>
            <w:tcW w:w="534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 w:cs="Arial"/>
                <w:i/>
              </w:rPr>
            </w:pPr>
          </w:p>
        </w:tc>
        <w:tc>
          <w:tcPr>
            <w:tcW w:w="1842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14188-2</w:t>
            </w:r>
          </w:p>
        </w:tc>
        <w:tc>
          <w:tcPr>
            <w:tcW w:w="6096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Wypełniacze złączy i zalewy – Część 2: Specyfikacja zalew na zimno</w:t>
            </w:r>
          </w:p>
        </w:tc>
      </w:tr>
    </w:tbl>
    <w:p w:rsidR="00115839" w:rsidRPr="004B4FA5" w:rsidRDefault="00115839" w:rsidP="00440AF1">
      <w:pPr>
        <w:pStyle w:val="Nagwek2"/>
        <w:rPr>
          <w:rFonts w:ascii="Cambria" w:hAnsi="Cambria"/>
          <w:i/>
        </w:rPr>
      </w:pPr>
    </w:p>
    <w:p w:rsidR="00115839" w:rsidRPr="004B4FA5" w:rsidRDefault="00115839" w:rsidP="00440AF1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10.2 Inne dokumenty</w:t>
      </w: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8573"/>
      </w:tblGrid>
      <w:tr w:rsidR="00115839" w:rsidRPr="004B4FA5" w:rsidTr="00CC24B0">
        <w:tc>
          <w:tcPr>
            <w:tcW w:w="637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/>
                <w:i/>
              </w:rPr>
            </w:pPr>
          </w:p>
        </w:tc>
        <w:tc>
          <w:tcPr>
            <w:tcW w:w="8573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Katalog typowych konstrukcji nawierzchni podatnych i półsztywnych. </w:t>
            </w:r>
            <w:proofErr w:type="spellStart"/>
            <w:r w:rsidRPr="004B4FA5">
              <w:rPr>
                <w:i/>
                <w:sz w:val="20"/>
                <w:szCs w:val="20"/>
              </w:rPr>
              <w:t>IBDiM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– 1997.</w:t>
            </w:r>
          </w:p>
        </w:tc>
      </w:tr>
      <w:tr w:rsidR="00115839" w:rsidRPr="004B4FA5" w:rsidTr="00CC24B0">
        <w:tc>
          <w:tcPr>
            <w:tcW w:w="637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/>
                <w:i/>
              </w:rPr>
            </w:pPr>
          </w:p>
        </w:tc>
        <w:tc>
          <w:tcPr>
            <w:tcW w:w="8573" w:type="dxa"/>
          </w:tcPr>
          <w:p w:rsidR="00115839" w:rsidRPr="004B4FA5" w:rsidRDefault="00565E13" w:rsidP="00440A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WT-2 2014</w:t>
            </w:r>
            <w:r w:rsidR="00115839" w:rsidRPr="004B4FA5">
              <w:rPr>
                <w:i/>
                <w:sz w:val="20"/>
                <w:szCs w:val="20"/>
              </w:rPr>
              <w:t xml:space="preserve"> Nawierzchnie asfaltowe na drogach krajowych</w:t>
            </w:r>
          </w:p>
        </w:tc>
      </w:tr>
      <w:tr w:rsidR="00115839" w:rsidRPr="004B4FA5" w:rsidTr="00CC24B0">
        <w:tc>
          <w:tcPr>
            <w:tcW w:w="637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/>
                <w:i/>
              </w:rPr>
            </w:pPr>
          </w:p>
        </w:tc>
        <w:tc>
          <w:tcPr>
            <w:tcW w:w="8573" w:type="dxa"/>
          </w:tcPr>
          <w:p w:rsidR="00115839" w:rsidRPr="004B4FA5" w:rsidRDefault="001C4515" w:rsidP="00440A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WT-1</w:t>
            </w:r>
            <w:r w:rsidR="00565E13">
              <w:rPr>
                <w:i/>
                <w:sz w:val="20"/>
                <w:szCs w:val="20"/>
              </w:rPr>
              <w:t xml:space="preserve"> 2014 </w:t>
            </w:r>
            <w:r w:rsidR="00115839" w:rsidRPr="004B4FA5">
              <w:rPr>
                <w:i/>
                <w:sz w:val="20"/>
                <w:szCs w:val="20"/>
              </w:rPr>
              <w:t>Kruszywa do mieszanek mineralno-asfaltowych i powierzchniowych utrwaleń na drogach krajowych</w:t>
            </w:r>
          </w:p>
        </w:tc>
      </w:tr>
      <w:tr w:rsidR="00115839" w:rsidRPr="004B4FA5" w:rsidTr="00CC24B0">
        <w:trPr>
          <w:trHeight w:val="299"/>
        </w:trPr>
        <w:tc>
          <w:tcPr>
            <w:tcW w:w="637" w:type="dxa"/>
          </w:tcPr>
          <w:p w:rsidR="00115839" w:rsidRPr="004B4FA5" w:rsidRDefault="00115839" w:rsidP="00440AF1">
            <w:pPr>
              <w:pStyle w:val="Akapitzlist"/>
              <w:numPr>
                <w:ilvl w:val="0"/>
                <w:numId w:val="3"/>
              </w:numPr>
              <w:contextualSpacing/>
              <w:rPr>
                <w:rFonts w:ascii="Cambria" w:hAnsi="Cambria"/>
                <w:i/>
              </w:rPr>
            </w:pPr>
          </w:p>
        </w:tc>
        <w:tc>
          <w:tcPr>
            <w:tcW w:w="8573" w:type="dxa"/>
          </w:tcPr>
          <w:p w:rsidR="00115839" w:rsidRPr="004B4FA5" w:rsidRDefault="00115839" w:rsidP="00440AF1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Dziennik Ustaw Nr 43/99 </w:t>
            </w:r>
          </w:p>
        </w:tc>
      </w:tr>
    </w:tbl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rFonts w:cs="Calibri"/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115839" w:rsidRPr="004B4FA5" w:rsidRDefault="00115839" w:rsidP="00440AF1">
      <w:pPr>
        <w:jc w:val="both"/>
        <w:rPr>
          <w:i/>
          <w:sz w:val="20"/>
          <w:szCs w:val="20"/>
        </w:rPr>
      </w:pPr>
    </w:p>
    <w:p w:rsidR="009A32DA" w:rsidRDefault="009A32DA" w:rsidP="00440AF1">
      <w:pPr>
        <w:jc w:val="both"/>
      </w:pPr>
    </w:p>
    <w:sectPr w:rsidR="009A32DA" w:rsidSect="004A4B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BE0" w:rsidRDefault="007D4BE0" w:rsidP="00115839">
      <w:r>
        <w:separator/>
      </w:r>
    </w:p>
  </w:endnote>
  <w:endnote w:type="continuationSeparator" w:id="0">
    <w:p w:rsidR="007D4BE0" w:rsidRDefault="007D4BE0" w:rsidP="0011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BE0" w:rsidRDefault="007D4BE0" w:rsidP="00115839">
      <w:r>
        <w:separator/>
      </w:r>
    </w:p>
  </w:footnote>
  <w:footnote w:type="continuationSeparator" w:id="0">
    <w:p w:rsidR="007D4BE0" w:rsidRDefault="007D4BE0" w:rsidP="0011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E0" w:rsidRPr="00401D94" w:rsidRDefault="007D4BE0" w:rsidP="00115839">
    <w:pPr>
      <w:pStyle w:val="nagwekKrzy"/>
    </w:pPr>
    <w:r w:rsidRPr="00401D94">
      <w:t>D.04.07.01  PODBUDOWA Z BETONU ASFALTOWEGO</w:t>
    </w:r>
  </w:p>
  <w:p w:rsidR="007D4BE0" w:rsidRPr="002A1D50" w:rsidRDefault="007D4BE0" w:rsidP="001158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1740"/>
    <w:multiLevelType w:val="hybridMultilevel"/>
    <w:tmpl w:val="EC30A660"/>
    <w:lvl w:ilvl="0" w:tplc="4D0AECB8">
      <w:start w:val="1"/>
      <w:numFmt w:val="bullet"/>
      <w:lvlText w:val="–"/>
      <w:lvlJc w:val="left"/>
      <w:pPr>
        <w:ind w:left="2130" w:hanging="360"/>
      </w:pPr>
      <w:rPr>
        <w:rFonts w:ascii="Times New Roman" w:hAnsi="Times New Roman" w:cs="Times New Roman" w:hint="default"/>
        <w:sz w:val="16"/>
        <w:szCs w:val="16"/>
      </w:rPr>
    </w:lvl>
    <w:lvl w:ilvl="1" w:tplc="053AE2C2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ED94F67E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D0A6F51C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EFC04E44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E8140DC0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BABE8CCC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F1B2BCCA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4A8EA8AE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1A39230A"/>
    <w:multiLevelType w:val="hybridMultilevel"/>
    <w:tmpl w:val="9236D024"/>
    <w:lvl w:ilvl="0" w:tplc="EDB4A2C6">
      <w:start w:val="1"/>
      <w:numFmt w:val="decimal"/>
      <w:lvlText w:val="%1."/>
      <w:lvlJc w:val="left"/>
      <w:pPr>
        <w:ind w:left="360" w:hanging="360"/>
      </w:pPr>
    </w:lvl>
    <w:lvl w:ilvl="1" w:tplc="F8B87266" w:tentative="1">
      <w:start w:val="1"/>
      <w:numFmt w:val="lowerLetter"/>
      <w:lvlText w:val="%2."/>
      <w:lvlJc w:val="left"/>
      <w:pPr>
        <w:ind w:left="1080" w:hanging="360"/>
      </w:pPr>
    </w:lvl>
    <w:lvl w:ilvl="2" w:tplc="140EB518" w:tentative="1">
      <w:start w:val="1"/>
      <w:numFmt w:val="lowerRoman"/>
      <w:lvlText w:val="%3."/>
      <w:lvlJc w:val="right"/>
      <w:pPr>
        <w:ind w:left="1800" w:hanging="180"/>
      </w:pPr>
    </w:lvl>
    <w:lvl w:ilvl="3" w:tplc="D59C5F32" w:tentative="1">
      <w:start w:val="1"/>
      <w:numFmt w:val="decimal"/>
      <w:lvlText w:val="%4."/>
      <w:lvlJc w:val="left"/>
      <w:pPr>
        <w:ind w:left="2520" w:hanging="360"/>
      </w:pPr>
    </w:lvl>
    <w:lvl w:ilvl="4" w:tplc="94DE7116" w:tentative="1">
      <w:start w:val="1"/>
      <w:numFmt w:val="lowerLetter"/>
      <w:lvlText w:val="%5."/>
      <w:lvlJc w:val="left"/>
      <w:pPr>
        <w:ind w:left="3240" w:hanging="360"/>
      </w:pPr>
    </w:lvl>
    <w:lvl w:ilvl="5" w:tplc="F52AEA36" w:tentative="1">
      <w:start w:val="1"/>
      <w:numFmt w:val="lowerRoman"/>
      <w:lvlText w:val="%6."/>
      <w:lvlJc w:val="right"/>
      <w:pPr>
        <w:ind w:left="3960" w:hanging="180"/>
      </w:pPr>
    </w:lvl>
    <w:lvl w:ilvl="6" w:tplc="E14EF486" w:tentative="1">
      <w:start w:val="1"/>
      <w:numFmt w:val="decimal"/>
      <w:lvlText w:val="%7."/>
      <w:lvlJc w:val="left"/>
      <w:pPr>
        <w:ind w:left="4680" w:hanging="360"/>
      </w:pPr>
    </w:lvl>
    <w:lvl w:ilvl="7" w:tplc="5798F088" w:tentative="1">
      <w:start w:val="1"/>
      <w:numFmt w:val="lowerLetter"/>
      <w:lvlText w:val="%8."/>
      <w:lvlJc w:val="left"/>
      <w:pPr>
        <w:ind w:left="5400" w:hanging="360"/>
      </w:pPr>
    </w:lvl>
    <w:lvl w:ilvl="8" w:tplc="21B2FC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AF5BF8"/>
    <w:multiLevelType w:val="singleLevel"/>
    <w:tmpl w:val="2AA671C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839"/>
    <w:rsid w:val="00115839"/>
    <w:rsid w:val="00130FB6"/>
    <w:rsid w:val="0013689A"/>
    <w:rsid w:val="001C4515"/>
    <w:rsid w:val="002F00FE"/>
    <w:rsid w:val="00440AF1"/>
    <w:rsid w:val="004A4B6C"/>
    <w:rsid w:val="00565E13"/>
    <w:rsid w:val="007D4BE0"/>
    <w:rsid w:val="009A32DA"/>
    <w:rsid w:val="00AD7A55"/>
    <w:rsid w:val="00BC208B"/>
    <w:rsid w:val="00CC24B0"/>
    <w:rsid w:val="00E4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115839"/>
    <w:pPr>
      <w:spacing w:after="0" w:line="240" w:lineRule="auto"/>
    </w:pPr>
    <w:rPr>
      <w:rFonts w:ascii="Cambria" w:hAnsi="Cambria" w:cs="Arial"/>
    </w:rPr>
  </w:style>
  <w:style w:type="paragraph" w:styleId="Nagwek1">
    <w:name w:val="heading 1"/>
    <w:aliases w:val="Krzysiek_nagłówek"/>
    <w:basedOn w:val="Normalny"/>
    <w:next w:val="Normalny"/>
    <w:link w:val="Nagwek1Znak"/>
    <w:qFormat/>
    <w:rsid w:val="00115839"/>
    <w:pPr>
      <w:keepNext/>
      <w:keepLines/>
      <w:suppressAutoHyphens/>
      <w:spacing w:before="120" w:after="120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15839"/>
    <w:pPr>
      <w:keepNext/>
      <w:spacing w:before="120" w:after="120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15839"/>
    <w:pPr>
      <w:keepNext/>
      <w:spacing w:before="60" w:after="60"/>
      <w:jc w:val="both"/>
      <w:outlineLvl w:val="2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Krzysiek_nagłówek Znak"/>
    <w:basedOn w:val="Domylnaczcionkaakapitu"/>
    <w:link w:val="Nagwek1"/>
    <w:rsid w:val="0011583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1583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15839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ost">
    <w:name w:val="tekst ost"/>
    <w:basedOn w:val="Normalny"/>
    <w:rsid w:val="00115839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15839"/>
    <w:pPr>
      <w:ind w:left="720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115839"/>
    <w:pPr>
      <w:spacing w:after="120" w:line="360" w:lineRule="atLeast"/>
      <w:jc w:val="both"/>
    </w:pPr>
    <w:rPr>
      <w:rFonts w:ascii="Arial" w:eastAsia="Times New Roman" w:hAnsi="Arial" w:cs="Calibri"/>
      <w:b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15839"/>
    <w:rPr>
      <w:rFonts w:ascii="Arial" w:eastAsia="Times New Roman" w:hAnsi="Arial" w:cs="Calibri"/>
      <w:bCs/>
      <w:sz w:val="20"/>
      <w:szCs w:val="20"/>
      <w:lang w:eastAsia="pl-PL"/>
    </w:rPr>
  </w:style>
  <w:style w:type="paragraph" w:customStyle="1" w:styleId="tytuSTWiORB">
    <w:name w:val="tytuł STWiORB"/>
    <w:basedOn w:val="Nagwek1"/>
    <w:link w:val="tytuSTWiORBZnak"/>
    <w:qFormat/>
    <w:rsid w:val="00115839"/>
    <w:rPr>
      <w:rFonts w:ascii="Cambria" w:hAnsi="Cambria" w:cs="Calibri"/>
      <w:i/>
      <w:color w:val="7030A0"/>
      <w:sz w:val="24"/>
      <w:szCs w:val="24"/>
    </w:rPr>
  </w:style>
  <w:style w:type="character" w:customStyle="1" w:styleId="tytuSTWiORBZnak">
    <w:name w:val="tytuł STWiORB Znak"/>
    <w:basedOn w:val="Nagwek1Znak"/>
    <w:link w:val="tytuSTWiORB"/>
    <w:rsid w:val="00115839"/>
    <w:rPr>
      <w:rFonts w:ascii="Cambria" w:eastAsia="Times New Roman" w:hAnsi="Cambria" w:cs="Calibri"/>
      <w:b/>
      <w:i/>
      <w:caps/>
      <w:color w:val="7030A0"/>
      <w:kern w:val="28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11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115839"/>
    <w:rPr>
      <w:rFonts w:ascii="Cambria" w:hAnsi="Cambria" w:cs="Arial"/>
    </w:rPr>
  </w:style>
  <w:style w:type="paragraph" w:styleId="Stopka">
    <w:name w:val="footer"/>
    <w:basedOn w:val="Normalny"/>
    <w:link w:val="StopkaZnak"/>
    <w:uiPriority w:val="99"/>
    <w:unhideWhenUsed/>
    <w:rsid w:val="0011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839"/>
    <w:rPr>
      <w:rFonts w:ascii="Cambria" w:hAnsi="Cambria" w:cs="Arial"/>
    </w:rPr>
  </w:style>
  <w:style w:type="paragraph" w:customStyle="1" w:styleId="nagwekKrzy">
    <w:name w:val="nagłówek Krzyś"/>
    <w:basedOn w:val="Nagwek1"/>
    <w:link w:val="nagwekKrzyZnak"/>
    <w:qFormat/>
    <w:rsid w:val="00115839"/>
    <w:pPr>
      <w:pBdr>
        <w:bottom w:val="single" w:sz="4" w:space="1" w:color="auto"/>
      </w:pBdr>
      <w:jc w:val="right"/>
    </w:pPr>
    <w:rPr>
      <w:rFonts w:ascii="Arial Narrow" w:hAnsi="Arial Narrow" w:cs="Calibri"/>
      <w:b w:val="0"/>
      <w:i/>
      <w:w w:val="80"/>
      <w:sz w:val="16"/>
      <w:szCs w:val="16"/>
    </w:rPr>
  </w:style>
  <w:style w:type="character" w:customStyle="1" w:styleId="nagwekKrzyZnak">
    <w:name w:val="nagłówek Krzyś Znak"/>
    <w:basedOn w:val="Nagwek1Znak"/>
    <w:link w:val="nagwekKrzy"/>
    <w:rsid w:val="00115839"/>
    <w:rPr>
      <w:rFonts w:ascii="Arial Narrow" w:eastAsia="Times New Roman" w:hAnsi="Arial Narrow" w:cs="Calibri"/>
      <w:b w:val="0"/>
      <w:i/>
      <w:caps/>
      <w:w w:val="80"/>
      <w:kern w:val="28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4034</Words>
  <Characters>24206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JoannaCh</cp:lastModifiedBy>
  <cp:revision>9</cp:revision>
  <dcterms:created xsi:type="dcterms:W3CDTF">2018-08-20T14:21:00Z</dcterms:created>
  <dcterms:modified xsi:type="dcterms:W3CDTF">2018-08-28T12:53:00Z</dcterms:modified>
</cp:coreProperties>
</file>