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 xml:space="preserve">542W Wierzbica – Modrzejowice  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>drogi powiatowej nr 35</w:t>
      </w:r>
      <w:r>
        <w:rPr>
          <w:rFonts w:ascii="Times New Roman" w:hAnsi="Times New Roman" w:cs="Times New Roman"/>
          <w:sz w:val="22"/>
        </w:rPr>
        <w:t>4</w:t>
      </w:r>
      <w:r w:rsidRPr="004D085C">
        <w:rPr>
          <w:rFonts w:ascii="Times New Roman" w:hAnsi="Times New Roman" w:cs="Times New Roman"/>
          <w:sz w:val="22"/>
        </w:rPr>
        <w:t xml:space="preserve">2W </w:t>
      </w:r>
      <w:r>
        <w:rPr>
          <w:rFonts w:ascii="Times New Roman" w:hAnsi="Times New Roman" w:cs="Times New Roman"/>
          <w:sz w:val="22"/>
        </w:rPr>
        <w:t xml:space="preserve">Wierzbica </w:t>
      </w:r>
      <w:r w:rsidRPr="004D085C">
        <w:rPr>
          <w:rFonts w:ascii="Times New Roman" w:hAnsi="Times New Roman" w:cs="Times New Roman"/>
          <w:sz w:val="22"/>
        </w:rPr>
        <w:t xml:space="preserve">– </w:t>
      </w:r>
      <w:r>
        <w:rPr>
          <w:rFonts w:ascii="Times New Roman" w:hAnsi="Times New Roman" w:cs="Times New Roman"/>
          <w:sz w:val="22"/>
        </w:rPr>
        <w:t>Modrzejowice</w:t>
      </w:r>
      <w:r w:rsidRPr="004D085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</w:p>
    <w:p w:rsidR="0095108A" w:rsidRPr="007D2CC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95108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5108A" w:rsidRPr="00567C20" w:rsidRDefault="0095108A" w:rsidP="0095108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5108A" w:rsidRPr="0056440E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>
        <w:rPr>
          <w:rFonts w:ascii="Times New Roman" w:hAnsi="Times New Roman" w:cs="Times New Roman"/>
          <w:sz w:val="22"/>
        </w:rPr>
        <w:t>rozbudowy obejmuje część  drogi powiatowej nr 3542W Wierzbica – Modrzejowice i</w:t>
      </w:r>
      <w:r w:rsidRPr="003C77E9">
        <w:rPr>
          <w:rFonts w:ascii="Times New Roman" w:hAnsi="Times New Roman" w:cs="Times New Roman"/>
          <w:sz w:val="22"/>
        </w:rPr>
        <w:t xml:space="preserve"> wynos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ok. </w:t>
      </w:r>
      <w:r>
        <w:rPr>
          <w:rFonts w:ascii="Times New Roman" w:hAnsi="Times New Roman" w:cs="Times New Roman"/>
          <w:sz w:val="22"/>
        </w:rPr>
        <w:t>3,7 k</w:t>
      </w:r>
      <w:r w:rsidRPr="003C77E9">
        <w:rPr>
          <w:rFonts w:ascii="Times New Roman" w:hAnsi="Times New Roman" w:cs="Times New Roman"/>
          <w:sz w:val="22"/>
        </w:rPr>
        <w:t xml:space="preserve">m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>gminy Wierzbica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Pr="00E93C15">
        <w:rPr>
          <w:rFonts w:ascii="Times New Roman" w:hAnsi="Times New Roman" w:cs="Times New Roman"/>
          <w:sz w:val="22"/>
        </w:rPr>
        <w:t xml:space="preserve">od skrzyżowania z drogą </w:t>
      </w:r>
      <w:r>
        <w:rPr>
          <w:rFonts w:ascii="Times New Roman" w:hAnsi="Times New Roman" w:cs="Times New Roman"/>
          <w:sz w:val="22"/>
        </w:rPr>
        <w:t>powiatową wojewódzką nr 744 (ul.</w:t>
      </w:r>
      <w:r w:rsidR="00CD5DA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Jodłowa)  w m.  Wierzbica, </w:t>
      </w:r>
      <w:r w:rsidRPr="00E93C1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a kończy na wjeździe  do m. Łączany.</w:t>
      </w:r>
    </w:p>
    <w:p w:rsidR="0095108A" w:rsidRPr="00AF5E7F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>od ok. 4,5 m do 5,0 m</w:t>
      </w:r>
      <w:r w:rsidRPr="00AF5E7F"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sz w:val="22"/>
        </w:rPr>
        <w:t>Przedmiotowy odcinek drogi odwodniony  jest powierzchniowo, na  pobocze lub do istniejących szczątkowych rowów przydrożnych  . Droga na  całym odcinku posiada przekrój drogowy.</w:t>
      </w:r>
    </w:p>
    <w:p w:rsidR="0095108A" w:rsidRPr="007C1D2D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 xml:space="preserve">W pasie drogowym drogi powiatowej zlokalizowane są następujące sieci: </w:t>
      </w:r>
      <w:r>
        <w:rPr>
          <w:rFonts w:ascii="Times New Roman" w:hAnsi="Times New Roman" w:cs="Times New Roman"/>
          <w:sz w:val="22"/>
        </w:rPr>
        <w:t xml:space="preserve">kanalizacja sanitarna </w:t>
      </w:r>
      <w:r w:rsidRPr="0056440E">
        <w:rPr>
          <w:rFonts w:ascii="Times New Roman" w:hAnsi="Times New Roman" w:cs="Times New Roman"/>
          <w:sz w:val="22"/>
        </w:rPr>
        <w:t>sieć energetyczna</w:t>
      </w:r>
      <w:r>
        <w:rPr>
          <w:rFonts w:ascii="Times New Roman" w:hAnsi="Times New Roman" w:cs="Times New Roman"/>
          <w:sz w:val="22"/>
        </w:rPr>
        <w:t xml:space="preserve"> napowietrzna i teletechniczna oraz przyłącza wodociągowe, energetyczne</w:t>
      </w:r>
      <w:r w:rsidRPr="007C1D2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i teletechniczne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95108A" w:rsidRPr="004A1B98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>Szerokość pasa drogowego w granicach ewidencyjnych działek drogowych wynosi od ok. 10,0 m do ok. 1</w:t>
      </w:r>
      <w:r>
        <w:rPr>
          <w:rFonts w:ascii="Times New Roman" w:hAnsi="Times New Roman" w:cs="Times New Roman"/>
          <w:sz w:val="22"/>
        </w:rPr>
        <w:t>4</w:t>
      </w:r>
      <w:r w:rsidRPr="00326CBD">
        <w:rPr>
          <w:rFonts w:ascii="Times New Roman" w:hAnsi="Times New Roman" w:cs="Times New Roman"/>
          <w:sz w:val="22"/>
        </w:rPr>
        <w:t>,0 m. Ze</w:t>
      </w:r>
      <w:r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może wystąpić konieczność podziału części działek przylegających do pasa drogowego, w ilości do </w:t>
      </w:r>
      <w:r w:rsidR="000A706C">
        <w:rPr>
          <w:rFonts w:ascii="Times New Roman" w:hAnsi="Times New Roman" w:cs="Times New Roman"/>
          <w:sz w:val="22"/>
        </w:rPr>
        <w:t>około 5</w:t>
      </w:r>
      <w:r>
        <w:rPr>
          <w:rFonts w:ascii="Times New Roman" w:hAnsi="Times New Roman" w:cs="Times New Roman"/>
          <w:sz w:val="22"/>
        </w:rPr>
        <w:t xml:space="preserve">0 szt.  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F61404" w:rsidRDefault="00C35615" w:rsidP="00326CBD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Dnia </w:t>
      </w:r>
      <w:r w:rsidR="00F61404">
        <w:rPr>
          <w:rFonts w:ascii="Times New Roman" w:hAnsi="Times New Roman"/>
          <w:sz w:val="22"/>
        </w:rPr>
        <w:t xml:space="preserve">02.02.2018r. </w:t>
      </w:r>
      <w:r w:rsidR="00F61404" w:rsidRPr="003C77E9">
        <w:rPr>
          <w:rFonts w:ascii="Times New Roman" w:hAnsi="Times New Roman"/>
          <w:sz w:val="22"/>
        </w:rPr>
        <w:t>na stronie Urzędu Komunikacji Elektronicznej oraz w Biuletynie Informacji Publicznej</w:t>
      </w:r>
      <w:r w:rsidR="00F61404">
        <w:rPr>
          <w:rFonts w:ascii="Times New Roman" w:hAnsi="Times New Roman"/>
          <w:sz w:val="22"/>
        </w:rPr>
        <w:t xml:space="preserve"> zamieszczono ogłoszenie o możliwości zaprojektowania kanału technologicznego w ramach przedmiotowego zadania. Do dnia dzisiejszego nie zgłosił się żaden podmiot zainteresowany </w:t>
      </w:r>
      <w:r w:rsidR="00F61404" w:rsidRPr="003C77E9">
        <w:rPr>
          <w:rFonts w:ascii="Times New Roman" w:hAnsi="Times New Roman"/>
          <w:sz w:val="22"/>
        </w:rPr>
        <w:t>udostępnieniem takiego kanału.</w:t>
      </w:r>
    </w:p>
    <w:p w:rsidR="000F0598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95108A" w:rsidRPr="0095108A" w:rsidRDefault="0095108A" w:rsidP="0095108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Pr="00D05B9B">
        <w:rPr>
          <w:rFonts w:ascii="Times New Roman" w:hAnsi="Times New Roman"/>
          <w:sz w:val="22"/>
        </w:rPr>
        <w:t>późn</w:t>
      </w:r>
      <w:proofErr w:type="spellEnd"/>
      <w:r w:rsidRPr="00D05B9B">
        <w:rPr>
          <w:rFonts w:ascii="Times New Roman" w:hAnsi="Times New Roman"/>
          <w:sz w:val="22"/>
        </w:rPr>
        <w:t>. zm.).</w:t>
      </w:r>
      <w:r>
        <w:rPr>
          <w:rFonts w:ascii="Times New Roman" w:hAnsi="Times New Roman"/>
          <w:sz w:val="22"/>
        </w:rPr>
        <w:t xml:space="preserve"> W trakcie prowadzenia prac projektowych niezbędna będzie współpraca Wykonawcy z geodetą opracowującym w/w dokumentację geodezyjną w celu ustalenia zakresu istniejącego pasa drogowego przyjętego na etapie prac geodezyjnych. Planowany termin wykonania dokumentacji geodezyjnej – 22 czerwca 2018.</w:t>
      </w: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3E62B4" w:rsidRPr="003C77E9" w:rsidRDefault="003E62B4" w:rsidP="003E62B4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przyjęcia procedury zgłoszenia robót niewymagających pozwolenia na budowę z jednoczesnym zastosowaniem w dokumentacji projektowej odwodnienia drogi poprzez projektowaną kanalizację deszczową należy przygotować odrębny projekt budowlany dla branży kanalizacyjnej w zakresie niezbędnym do uzyskania pozwolenia na budowę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 xml:space="preserve">Do zadań Jednostki projektowej należy również uzyskanie zgody </w:t>
      </w:r>
      <w:proofErr w:type="spellStart"/>
      <w:r w:rsidR="00D410CC" w:rsidRPr="00D410CC">
        <w:rPr>
          <w:rFonts w:ascii="Times New Roman" w:hAnsi="Times New Roman" w:cs="Times New Roman"/>
          <w:sz w:val="22"/>
        </w:rPr>
        <w:t>wodnoprawnej</w:t>
      </w:r>
      <w:proofErr w:type="spellEnd"/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lastRenderedPageBreak/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lastRenderedPageBreak/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Pr="003C77E9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43" w:rsidRDefault="00374C43">
      <w:pPr>
        <w:spacing w:after="0" w:line="240" w:lineRule="auto"/>
      </w:pPr>
      <w:r>
        <w:separator/>
      </w:r>
    </w:p>
  </w:endnote>
  <w:endnote w:type="continuationSeparator" w:id="0">
    <w:p w:rsidR="00374C43" w:rsidRDefault="0037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804A6B">
    <w:pPr>
      <w:spacing w:after="0" w:line="259" w:lineRule="auto"/>
      <w:ind w:left="0" w:right="374" w:firstLine="0"/>
      <w:jc w:val="right"/>
    </w:pPr>
    <w:r w:rsidRPr="00804A6B">
      <w:fldChar w:fldCharType="begin"/>
    </w:r>
    <w:r w:rsidR="00984AFE">
      <w:instrText xml:space="preserve"> PAGE   \* MERGEFORMAT </w:instrText>
    </w:r>
    <w:r w:rsidRPr="00804A6B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04A6B">
    <w:pPr>
      <w:spacing w:after="0" w:line="259" w:lineRule="auto"/>
      <w:ind w:left="0" w:right="374" w:firstLine="0"/>
      <w:jc w:val="right"/>
    </w:pPr>
    <w:r w:rsidRPr="00804A6B">
      <w:fldChar w:fldCharType="begin"/>
    </w:r>
    <w:r w:rsidR="00984AFE">
      <w:instrText xml:space="preserve"> PAGE   \* MERGEFORMAT </w:instrText>
    </w:r>
    <w:r w:rsidRPr="00804A6B">
      <w:fldChar w:fldCharType="separate"/>
    </w:r>
    <w:r w:rsidR="00DD4D8D" w:rsidRPr="00DD4D8D">
      <w:rPr>
        <w:noProof/>
        <w:sz w:val="22"/>
      </w:rPr>
      <w:t>4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04A6B">
    <w:pPr>
      <w:spacing w:after="0" w:line="259" w:lineRule="auto"/>
      <w:ind w:left="0" w:right="374" w:firstLine="0"/>
      <w:jc w:val="right"/>
    </w:pPr>
    <w:r w:rsidRPr="00804A6B">
      <w:fldChar w:fldCharType="begin"/>
    </w:r>
    <w:r w:rsidR="00984AFE">
      <w:instrText xml:space="preserve"> PAGE   \* MERGEFORMAT </w:instrText>
    </w:r>
    <w:r w:rsidRPr="00804A6B"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43" w:rsidRDefault="00374C43">
      <w:pPr>
        <w:spacing w:after="0" w:line="240" w:lineRule="auto"/>
      </w:pPr>
      <w:r>
        <w:separator/>
      </w:r>
    </w:p>
  </w:footnote>
  <w:footnote w:type="continuationSeparator" w:id="0">
    <w:p w:rsidR="00374C43" w:rsidRDefault="00374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40993"/>
    <w:rsid w:val="00086E72"/>
    <w:rsid w:val="00094E19"/>
    <w:rsid w:val="000A706C"/>
    <w:rsid w:val="000B1B80"/>
    <w:rsid w:val="000B7D9F"/>
    <w:rsid w:val="000C3A8F"/>
    <w:rsid w:val="000D13B7"/>
    <w:rsid w:val="000E2662"/>
    <w:rsid w:val="000E5BF2"/>
    <w:rsid w:val="000E6893"/>
    <w:rsid w:val="000E6E2D"/>
    <w:rsid w:val="000F0598"/>
    <w:rsid w:val="00113B95"/>
    <w:rsid w:val="00133954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24EC9"/>
    <w:rsid w:val="00244B81"/>
    <w:rsid w:val="00260630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77E9"/>
    <w:rsid w:val="003D38B5"/>
    <w:rsid w:val="003E62B4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71B10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522A"/>
    <w:rsid w:val="00984AFE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733FC"/>
    <w:rsid w:val="00A80FFF"/>
    <w:rsid w:val="00A87F28"/>
    <w:rsid w:val="00A90F95"/>
    <w:rsid w:val="00A93366"/>
    <w:rsid w:val="00AB11BA"/>
    <w:rsid w:val="00AC0326"/>
    <w:rsid w:val="00AC378A"/>
    <w:rsid w:val="00AF28CE"/>
    <w:rsid w:val="00AF5E7F"/>
    <w:rsid w:val="00AF6548"/>
    <w:rsid w:val="00B221E3"/>
    <w:rsid w:val="00B25D5E"/>
    <w:rsid w:val="00B70F79"/>
    <w:rsid w:val="00B77F31"/>
    <w:rsid w:val="00B80B5A"/>
    <w:rsid w:val="00B82098"/>
    <w:rsid w:val="00B92E96"/>
    <w:rsid w:val="00BA7425"/>
    <w:rsid w:val="00BB468E"/>
    <w:rsid w:val="00BE1B1F"/>
    <w:rsid w:val="00C13FAB"/>
    <w:rsid w:val="00C164CC"/>
    <w:rsid w:val="00C343F9"/>
    <w:rsid w:val="00C35615"/>
    <w:rsid w:val="00C41286"/>
    <w:rsid w:val="00C44078"/>
    <w:rsid w:val="00C60EB3"/>
    <w:rsid w:val="00C67E80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DD4D8D"/>
    <w:rsid w:val="00E103E8"/>
    <w:rsid w:val="00E27F2E"/>
    <w:rsid w:val="00E54C55"/>
    <w:rsid w:val="00E641AE"/>
    <w:rsid w:val="00E65742"/>
    <w:rsid w:val="00E93C15"/>
    <w:rsid w:val="00EF7118"/>
    <w:rsid w:val="00F063D2"/>
    <w:rsid w:val="00F14750"/>
    <w:rsid w:val="00F61404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4628</Words>
  <Characters>27768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8</cp:revision>
  <cp:lastPrinted>2017-04-18T13:10:00Z</cp:lastPrinted>
  <dcterms:created xsi:type="dcterms:W3CDTF">2018-02-28T13:02:00Z</dcterms:created>
  <dcterms:modified xsi:type="dcterms:W3CDTF">2018-03-01T10:50:00Z</dcterms:modified>
</cp:coreProperties>
</file>