
<file path=[Content_Types].xml><?xml version="1.0" encoding="utf-8"?>
<Types xmlns="http://schemas.openxmlformats.org/package/2006/content-types">
  <Default Extension="png" ContentType="image/png"/>
  <Default Extension="wmf" ContentType="image/unknown"/>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77F00" w:rsidRDefault="00865FA3">
      <w:pPr>
        <w:pStyle w:val="Nagwek1"/>
        <w:jc w:val="both"/>
      </w:pPr>
      <w:bookmarkStart w:id="0" w:name="__RefHeading__765_929433062"/>
      <w:bookmarkStart w:id="1" w:name="_GoBack"/>
      <w:bookmarkEnd w:id="1"/>
      <w:r>
        <w:t>Spis treści</w:t>
      </w:r>
      <w:bookmarkEnd w:id="0"/>
    </w:p>
    <w:p w:rsidR="00B77F00" w:rsidRDefault="00B77F00">
      <w:pPr>
        <w:pStyle w:val="Nagwek2"/>
        <w:spacing w:before="0" w:after="0"/>
        <w:jc w:val="both"/>
        <w:rPr>
          <w:sz w:val="12"/>
          <w:szCs w:val="12"/>
        </w:rPr>
      </w:pPr>
    </w:p>
    <w:p w:rsidR="00B77F00" w:rsidRDefault="00865FA3">
      <w:pPr>
        <w:pStyle w:val="Contents1"/>
        <w:tabs>
          <w:tab w:val="clear" w:pos="9071"/>
          <w:tab w:val="right" w:leader="dot" w:pos="9638"/>
        </w:tabs>
      </w:pPr>
      <w:r>
        <w:rPr>
          <w:rFonts w:eastAsia="Andale Sans UI" w:cs="Tahoma"/>
          <w:bCs/>
          <w:i/>
          <w:iCs/>
          <w:caps w:val="0"/>
          <w:sz w:val="28"/>
          <w:szCs w:val="28"/>
        </w:rPr>
        <w:fldChar w:fldCharType="begin"/>
      </w:r>
      <w:r>
        <w:instrText xml:space="preserve"> TOC \o "1-9" \u \l 1-9 \h </w:instrText>
      </w:r>
      <w:r>
        <w:rPr>
          <w:rFonts w:eastAsia="Andale Sans UI" w:cs="Tahoma"/>
          <w:bCs/>
          <w:i/>
          <w:iCs/>
          <w:caps w:val="0"/>
          <w:sz w:val="28"/>
          <w:szCs w:val="28"/>
        </w:rPr>
        <w:fldChar w:fldCharType="separate"/>
      </w:r>
      <w:hyperlink r:id="rId7" w:history="1">
        <w:r>
          <w:t>Spis treści</w:t>
        </w:r>
        <w:r>
          <w:tab/>
          <w:t>1</w:t>
        </w:r>
      </w:hyperlink>
    </w:p>
    <w:p w:rsidR="00B77F00" w:rsidRDefault="00865FA3">
      <w:pPr>
        <w:pStyle w:val="Contents1"/>
        <w:tabs>
          <w:tab w:val="clear" w:pos="9071"/>
          <w:tab w:val="right" w:leader="dot" w:pos="9638"/>
        </w:tabs>
      </w:pPr>
      <w:hyperlink r:id="rId8" w:history="1">
        <w:r>
          <w:t xml:space="preserve">PRZEDMIOT I ZAKRES </w:t>
        </w:r>
        <w:r>
          <w:t>SPECYFIKACJI</w:t>
        </w:r>
        <w:r>
          <w:tab/>
          <w:t>2</w:t>
        </w:r>
      </w:hyperlink>
    </w:p>
    <w:p w:rsidR="00B77F00" w:rsidRDefault="00865FA3">
      <w:pPr>
        <w:pStyle w:val="Contents2"/>
      </w:pPr>
      <w:hyperlink r:id="rId9" w:history="1">
        <w:r>
          <w:t>KLAUZULA</w:t>
        </w:r>
        <w:r>
          <w:tab/>
          <w:t>2</w:t>
        </w:r>
      </w:hyperlink>
    </w:p>
    <w:p w:rsidR="00B77F00" w:rsidRDefault="00865FA3">
      <w:pPr>
        <w:pStyle w:val="Contents1"/>
        <w:tabs>
          <w:tab w:val="clear" w:pos="9071"/>
          <w:tab w:val="right" w:leader="dot" w:pos="9638"/>
        </w:tabs>
      </w:pPr>
      <w:hyperlink r:id="rId10" w:history="1">
        <w:r>
          <w:t>DM.00.00.00 Wymagania ogólne</w:t>
        </w:r>
        <w:r>
          <w:tab/>
          <w:t>3</w:t>
        </w:r>
      </w:hyperlink>
    </w:p>
    <w:p w:rsidR="00B77F00" w:rsidRDefault="00865FA3">
      <w:pPr>
        <w:pStyle w:val="Contents1"/>
        <w:tabs>
          <w:tab w:val="clear" w:pos="9071"/>
          <w:tab w:val="right" w:leader="dot" w:pos="9638"/>
        </w:tabs>
      </w:pPr>
      <w:hyperlink r:id="rId11" w:history="1">
        <w:r>
          <w:t>M.15.00.00 Nawierzchnie i podbudowy</w:t>
        </w:r>
        <w:r>
          <w:tab/>
          <w:t>18</w:t>
        </w:r>
      </w:hyperlink>
    </w:p>
    <w:p w:rsidR="00B77F00" w:rsidRDefault="00865FA3">
      <w:pPr>
        <w:pStyle w:val="Contents2"/>
      </w:pPr>
      <w:hyperlink r:id="rId12" w:history="1">
        <w:r>
          <w:t>M.15.03.00 Nawierzchnie asfaltowe</w:t>
        </w:r>
        <w:r>
          <w:tab/>
          <w:t>18</w:t>
        </w:r>
      </w:hyperlink>
    </w:p>
    <w:p w:rsidR="00B77F00" w:rsidRDefault="00865FA3">
      <w:pPr>
        <w:pStyle w:val="Contents3"/>
      </w:pPr>
      <w:hyperlink r:id="rId13" w:history="1">
        <w:r>
          <w:t>M.15.03.01 Warstwa ścieralna z mieszanki mastyksowo-grysowej SMA 8 S</w:t>
        </w:r>
        <w:r>
          <w:tab/>
          <w:t>18</w:t>
        </w:r>
      </w:hyperlink>
    </w:p>
    <w:p w:rsidR="00B77F00" w:rsidRDefault="00865FA3">
      <w:pPr>
        <w:pStyle w:val="Contents3"/>
      </w:pPr>
      <w:hyperlink r:id="rId14" w:history="1">
        <w:r>
          <w:t>M.15.0</w:t>
        </w:r>
        <w:r>
          <w:t>3.02 Warstwa wiążąca z mieszanek mineralno-asfaltowych MA11</w:t>
        </w:r>
        <w:r>
          <w:tab/>
          <w:t>37</w:t>
        </w:r>
      </w:hyperlink>
    </w:p>
    <w:p w:rsidR="00B77F00" w:rsidRDefault="00865FA3">
      <w:pPr>
        <w:pStyle w:val="Contents2"/>
      </w:pPr>
      <w:hyperlink r:id="rId15" w:history="1">
        <w:r>
          <w:t>M.15.04.00 Nawierzchnie chodników</w:t>
        </w:r>
        <w:r>
          <w:tab/>
          <w:t>53</w:t>
        </w:r>
      </w:hyperlink>
    </w:p>
    <w:p w:rsidR="00B77F00" w:rsidRDefault="00865FA3">
      <w:pPr>
        <w:pStyle w:val="Contents3"/>
      </w:pPr>
      <w:hyperlink r:id="rId16" w:history="1">
        <w:r>
          <w:t>M.15.04.03 Nawierzchnio-izolacja na bazie żywic ep</w:t>
        </w:r>
        <w:r>
          <w:t>oksydowych</w:t>
        </w:r>
        <w:r>
          <w:tab/>
          <w:t>53</w:t>
        </w:r>
      </w:hyperlink>
    </w:p>
    <w:p w:rsidR="00B77F00" w:rsidRDefault="00865FA3">
      <w:pPr>
        <w:pStyle w:val="Contents2"/>
      </w:pPr>
      <w:hyperlink r:id="rId17" w:history="1">
        <w:r>
          <w:t>M.15.05.00 Frezowanie nawierzchni</w:t>
        </w:r>
        <w:r>
          <w:tab/>
          <w:t>59</w:t>
        </w:r>
      </w:hyperlink>
    </w:p>
    <w:p w:rsidR="00B77F00" w:rsidRDefault="00865FA3">
      <w:pPr>
        <w:pStyle w:val="Contents2"/>
      </w:pPr>
      <w:hyperlink r:id="rId18" w:history="1">
        <w:r>
          <w:t>M.15.05.11 Frezowanie nawierzchni asfaltowych na zimno</w:t>
        </w:r>
        <w:r>
          <w:tab/>
          <w:t>59</w:t>
        </w:r>
      </w:hyperlink>
    </w:p>
    <w:p w:rsidR="00B77F00" w:rsidRDefault="00865FA3">
      <w:pPr>
        <w:pStyle w:val="Contents1"/>
        <w:tabs>
          <w:tab w:val="clear" w:pos="9071"/>
          <w:tab w:val="right" w:leader="dot" w:pos="9638"/>
        </w:tabs>
      </w:pPr>
      <w:hyperlink r:id="rId19" w:history="1">
        <w:r>
          <w:t>M.18.00.00 URZĄDZENIA DYLATACYJNE</w:t>
        </w:r>
        <w:r>
          <w:tab/>
          <w:t>62</w:t>
        </w:r>
      </w:hyperlink>
    </w:p>
    <w:p w:rsidR="00B77F00" w:rsidRDefault="00865FA3">
      <w:pPr>
        <w:pStyle w:val="Contents3"/>
      </w:pPr>
      <w:hyperlink r:id="rId20" w:history="1">
        <w:r>
          <w:t>M.18.01.01 Szczelne bitumiczne przekrycie dylatacyjne</w:t>
        </w:r>
        <w:r>
          <w:tab/>
          <w:t>62</w:t>
        </w:r>
      </w:hyperlink>
    </w:p>
    <w:p w:rsidR="00B77F00" w:rsidRDefault="00865FA3">
      <w:pPr>
        <w:pStyle w:val="Contents1"/>
        <w:tabs>
          <w:tab w:val="clear" w:pos="9071"/>
          <w:tab w:val="right" w:leader="dot" w:pos="9638"/>
        </w:tabs>
      </w:pPr>
      <w:hyperlink r:id="rId21" w:history="1">
        <w:r>
          <w:t>M.27.00.00 Izolacje</w:t>
        </w:r>
        <w:r>
          <w:tab/>
          <w:t>67</w:t>
        </w:r>
      </w:hyperlink>
    </w:p>
    <w:p w:rsidR="00B77F00" w:rsidRDefault="00865FA3">
      <w:pPr>
        <w:pStyle w:val="Contents3"/>
      </w:pPr>
      <w:hyperlink r:id="rId22" w:history="1">
        <w:r>
          <w:t>M.27.02.01 Izolacja z papy termozgrzewalnej</w:t>
        </w:r>
        <w:r>
          <w:tab/>
          <w:t>67</w:t>
        </w:r>
      </w:hyperlink>
    </w:p>
    <w:p w:rsidR="00B77F00" w:rsidRDefault="00865FA3">
      <w:pPr>
        <w:pStyle w:val="Contents2"/>
      </w:pPr>
      <w:hyperlink r:id="rId23" w:history="1">
        <w:r>
          <w:t>M.27.15.00 Zabezpieczenia antykorozyjne powierzchni betonowych</w:t>
        </w:r>
        <w:r>
          <w:tab/>
          <w:t>73</w:t>
        </w:r>
      </w:hyperlink>
    </w:p>
    <w:p w:rsidR="00B77F00" w:rsidRDefault="00865FA3">
      <w:pPr>
        <w:pStyle w:val="Contents3"/>
      </w:pPr>
      <w:hyperlink r:id="rId24" w:history="1">
        <w:r>
          <w:t>M.27.15.01 Zabezpieczenie antykorozyjne powierzchni betonowych powłoką akrylową</w:t>
        </w:r>
        <w:r>
          <w:tab/>
          <w:t>73</w:t>
        </w:r>
      </w:hyperlink>
    </w:p>
    <w:p w:rsidR="00B77F00" w:rsidRDefault="00865FA3">
      <w:pPr>
        <w:pStyle w:val="Contents1"/>
        <w:tabs>
          <w:tab w:val="clear" w:pos="9071"/>
          <w:tab w:val="right" w:leader="dot" w:pos="9638"/>
        </w:tabs>
      </w:pPr>
      <w:hyperlink r:id="rId25" w:history="1">
        <w:r>
          <w:t>M.28.00.00 Wyposażenie obiektóW</w:t>
        </w:r>
        <w:r>
          <w:tab/>
          <w:t>77</w:t>
        </w:r>
      </w:hyperlink>
    </w:p>
    <w:p w:rsidR="00B77F00" w:rsidRDefault="00865FA3">
      <w:pPr>
        <w:pStyle w:val="Contents2"/>
      </w:pPr>
      <w:hyperlink r:id="rId26" w:history="1">
        <w:r>
          <w:t>M.28.02.00 Barieroporęcze</w:t>
        </w:r>
        <w:r>
          <w:tab/>
          <w:t>77</w:t>
        </w:r>
      </w:hyperlink>
    </w:p>
    <w:p w:rsidR="00B77F00" w:rsidRDefault="00865FA3">
      <w:pPr>
        <w:pStyle w:val="Contents3"/>
      </w:pPr>
      <w:hyperlink r:id="rId27" w:history="1">
        <w:r>
          <w:t>M.28.02.01 Barieroporęcze stalowe z pochwytem dla pieszych na obiekcie inżynierskim</w:t>
        </w:r>
        <w:r>
          <w:tab/>
          <w:t>77</w:t>
        </w:r>
      </w:hyperlink>
    </w:p>
    <w:p w:rsidR="00B77F00" w:rsidRDefault="00865FA3">
      <w:pPr>
        <w:pStyle w:val="Contents1"/>
        <w:tabs>
          <w:tab w:val="clear" w:pos="9071"/>
          <w:tab w:val="right" w:leader="dot" w:pos="9638"/>
        </w:tabs>
      </w:pPr>
      <w:hyperlink r:id="rId28" w:history="1">
        <w:r>
          <w:t>M.30.00.00 INNE ROBOTY MOSTOWE</w:t>
        </w:r>
        <w:r>
          <w:tab/>
          <w:t>79</w:t>
        </w:r>
      </w:hyperlink>
    </w:p>
    <w:p w:rsidR="00B77F00" w:rsidRDefault="00865FA3">
      <w:pPr>
        <w:pStyle w:val="Contents2"/>
      </w:pPr>
      <w:hyperlink r:id="rId29" w:history="1">
        <w:r>
          <w:t>M.30.01.00 Umocnienia</w:t>
        </w:r>
        <w:r>
          <w:tab/>
          <w:t>79</w:t>
        </w:r>
      </w:hyperlink>
    </w:p>
    <w:p w:rsidR="00B77F00" w:rsidRDefault="00865FA3">
      <w:pPr>
        <w:pStyle w:val="Contents3"/>
      </w:pPr>
      <w:hyperlink r:id="rId30" w:history="1">
        <w:r>
          <w:t>M.30.01.01. Oczyszczanie koryta cieku</w:t>
        </w:r>
        <w:r>
          <w:tab/>
          <w:t>79</w:t>
        </w:r>
      </w:hyperlink>
    </w:p>
    <w:p w:rsidR="00B77F00" w:rsidRDefault="00865FA3">
      <w:pPr>
        <w:pStyle w:val="Contents2"/>
      </w:pPr>
      <w:hyperlink r:id="rId31" w:history="1">
        <w:r>
          <w:t>M.30.01.02 Zabezpieczenie antykorozyjne konstrukcji stalowych powł</w:t>
        </w:r>
        <w:r>
          <w:t>okami malarskimi</w:t>
        </w:r>
        <w:r>
          <w:tab/>
          <w:t>80</w:t>
        </w:r>
      </w:hyperlink>
    </w:p>
    <w:p w:rsidR="00B77F00" w:rsidRDefault="00865FA3">
      <w:pPr>
        <w:pStyle w:val="Contents2"/>
      </w:pPr>
      <w:hyperlink r:id="rId32" w:history="1">
        <w:r>
          <w:t>M.30.01.04 Naprawa powierzchni zaprawami PCC</w:t>
        </w:r>
        <w:r>
          <w:tab/>
          <w:t>93</w:t>
        </w:r>
      </w:hyperlink>
    </w:p>
    <w:p w:rsidR="00B77F00" w:rsidRDefault="00865FA3">
      <w:pPr>
        <w:pStyle w:val="Contents2"/>
      </w:pPr>
      <w:hyperlink r:id="rId33" w:history="1">
        <w:r>
          <w:t>M.30.01.05 Torkretowanie metodą suchą</w:t>
        </w:r>
        <w:r>
          <w:tab/>
          <w:t>102</w:t>
        </w:r>
      </w:hyperlink>
    </w:p>
    <w:p w:rsidR="00B77F00" w:rsidRDefault="00865FA3">
      <w:pPr>
        <w:pStyle w:val="Contents1"/>
        <w:tabs>
          <w:tab w:val="clear" w:pos="9071"/>
          <w:tab w:val="right" w:leader="dot" w:pos="9638"/>
        </w:tabs>
      </w:pPr>
      <w:hyperlink r:id="rId34" w:history="1">
        <w:r>
          <w:t>M.31.00.00 Roboty rozbiórkowe</w:t>
        </w:r>
        <w:r>
          <w:tab/>
          <w:t>106</w:t>
        </w:r>
      </w:hyperlink>
    </w:p>
    <w:p w:rsidR="00B77F00" w:rsidRDefault="00865FA3">
      <w:pPr>
        <w:pStyle w:val="Contents2"/>
      </w:pPr>
      <w:hyperlink r:id="rId35" w:history="1">
        <w:r>
          <w:t>M.31.01.00 Rozbiórka, wywóz i utylizacja elementów</w:t>
        </w:r>
        <w:r>
          <w:tab/>
          <w:t>106</w:t>
        </w:r>
      </w:hyperlink>
    </w:p>
    <w:p w:rsidR="00B77F00" w:rsidRDefault="00865FA3">
      <w:pPr>
        <w:pStyle w:val="Contents3"/>
      </w:pPr>
      <w:hyperlink r:id="rId36" w:history="1">
        <w:r>
          <w:t>M.31.01.06 Rozbiórka, wywóz i utylizacja balust</w:t>
        </w:r>
        <w:r>
          <w:t>rad</w:t>
        </w:r>
        <w:r>
          <w:tab/>
          <w:t>106</w:t>
        </w:r>
      </w:hyperlink>
    </w:p>
    <w:p w:rsidR="00B77F00" w:rsidRDefault="00865FA3">
      <w:pPr>
        <w:pStyle w:val="Standard"/>
        <w:jc w:val="both"/>
      </w:pPr>
      <w:r>
        <w:fldChar w:fldCharType="end"/>
      </w:r>
      <w:r>
        <w:t xml:space="preserve">  </w:t>
      </w:r>
    </w:p>
    <w:p w:rsidR="00B77F00" w:rsidRDefault="00B77F00">
      <w:pPr>
        <w:pStyle w:val="Standard"/>
        <w:jc w:val="both"/>
        <w:sectPr w:rsidR="00B77F00">
          <w:headerReference w:type="default" r:id="rId37"/>
          <w:footerReference w:type="default" r:id="rId38"/>
          <w:pgSz w:w="11906" w:h="16838"/>
          <w:pgMar w:top="632" w:right="1134" w:bottom="1785" w:left="1134" w:header="708" w:footer="1134" w:gutter="0"/>
          <w:cols w:space="708"/>
        </w:sectPr>
      </w:pPr>
    </w:p>
    <w:p w:rsidR="00B77F00" w:rsidRDefault="00865FA3">
      <w:pPr>
        <w:pStyle w:val="Nagwek1"/>
        <w:jc w:val="both"/>
      </w:pPr>
      <w:bookmarkStart w:id="2" w:name="__RefHeading__767_929433062"/>
      <w:r>
        <w:lastRenderedPageBreak/>
        <w:t>PRZEDMIOT I ZAKRES SPECYFIKACJI</w:t>
      </w:r>
      <w:bookmarkEnd w:id="2"/>
    </w:p>
    <w:p w:rsidR="00B77F00" w:rsidRDefault="00865FA3">
      <w:pPr>
        <w:pStyle w:val="Standard"/>
        <w:jc w:val="both"/>
        <w:rPr>
          <w:rFonts w:cs="Arial"/>
          <w:szCs w:val="20"/>
        </w:rPr>
      </w:pPr>
      <w:r>
        <w:rPr>
          <w:rFonts w:cs="Arial"/>
          <w:szCs w:val="20"/>
        </w:rPr>
        <w:t xml:space="preserve">Niniejsza specyfikacja jest zestawieniem wymagań technicznych jakie winien spełnić Wykonawca przy realizacji kontraktu na przedmiotową budowę. Specyfikację należy rozpatrywać łącznie z rysunkami, kosztorysem, </w:t>
      </w:r>
      <w:r>
        <w:rPr>
          <w:rFonts w:cs="Arial"/>
          <w:szCs w:val="20"/>
        </w:rPr>
        <w:t>innymi dokumentami opisującymi  inwestycję i stanowi integralną część dokumentów kontraktowych. Wszelkie rozwiązania techniczne związane z prawidłową realizacją budowy i przekazaniem obiektu Inwestorowi a nie zawarte w dokumentacji winne być wykonane zgodn</w:t>
      </w:r>
      <w:r>
        <w:rPr>
          <w:rFonts w:cs="Arial"/>
          <w:szCs w:val="20"/>
        </w:rPr>
        <w:t>ie z obowiązującymi w budownictwie normami i  sztuką budowlaną. Roboty nie ujęte w dokumentacji, a wynikające z technologii budowy, zastosowania materiałów lub montażu urządzeń winny być uwzględnione w kosztorysie ofertowym Wykonawcy. Brak ich wyszczególni</w:t>
      </w:r>
      <w:r>
        <w:rPr>
          <w:rFonts w:cs="Arial"/>
          <w:szCs w:val="20"/>
        </w:rPr>
        <w:t>enia w dokumentacji nie jest podstawą do roszczeń finansowych Wykonawcy w stosunku do Inwestora lub Biura Projektów. Dodatkowe wyjaśnienia związane z realizacją przedsięwzięcia biuro projektów  może sporządzić  na podstawie odrębnej umowy z Wykonawcą w pos</w:t>
      </w:r>
      <w:r>
        <w:rPr>
          <w:rFonts w:cs="Arial"/>
          <w:szCs w:val="20"/>
        </w:rPr>
        <w:t xml:space="preserve">taci rysunków roboczych i nadzorów technicznych w trakcie trwania realizacji inwestycji. Zmiany w przyjętych rozwiązaniach technicznych lub zastosowanych materiałach muszą zostać zatwierdzone przez projektanta. Ewentualne zmiany dokonane bez w/w uzgodnień </w:t>
      </w:r>
      <w:r>
        <w:rPr>
          <w:rFonts w:cs="Arial"/>
          <w:szCs w:val="20"/>
        </w:rPr>
        <w:t>mogą stanowić podstawę do wstrzymania budowy na wniosek Biura Projektów. Wykonawca jest całkowicie odpowiedzialny za sprawdzenie zakresu prac, ilości materiałów i urządzeń zgodnie z dokumentacją na etapie przetargu. W razie wystąpienia niezgodności opisu t</w:t>
      </w:r>
      <w:r>
        <w:rPr>
          <w:rFonts w:cs="Arial"/>
          <w:szCs w:val="20"/>
        </w:rPr>
        <w:t>echnicznego z dokumentacją rysunkową Wykonawca powinien zwrócić się pisemnie do biura projektów celem wyjaśnienia rozbieżności. Zasada powyższa obowiązuje przy wyjaśnianiu wszelkich wątpliwości związanych z niniejszą dokumentacją. Należy przestrzegać narzu</w:t>
      </w:r>
      <w:r>
        <w:rPr>
          <w:rFonts w:cs="Arial"/>
          <w:szCs w:val="20"/>
        </w:rPr>
        <w:t>conych wymiarów liniowych.</w:t>
      </w:r>
    </w:p>
    <w:p w:rsidR="00B77F00" w:rsidRDefault="00B77F00">
      <w:pPr>
        <w:pStyle w:val="Standard"/>
        <w:jc w:val="both"/>
        <w:rPr>
          <w:rFonts w:cs="Arial"/>
          <w:szCs w:val="20"/>
        </w:rPr>
      </w:pPr>
    </w:p>
    <w:p w:rsidR="00B77F00" w:rsidRDefault="00865FA3">
      <w:pPr>
        <w:pStyle w:val="Nagwek2"/>
        <w:jc w:val="both"/>
      </w:pPr>
      <w:bookmarkStart w:id="3" w:name="__RefHeading__769_929433062"/>
      <w:r>
        <w:t>KLAUZULA</w:t>
      </w:r>
      <w:bookmarkEnd w:id="3"/>
    </w:p>
    <w:p w:rsidR="00B77F00" w:rsidRDefault="00865FA3">
      <w:pPr>
        <w:pStyle w:val="Standard"/>
        <w:jc w:val="both"/>
        <w:rPr>
          <w:rFonts w:cs="Arial"/>
          <w:szCs w:val="20"/>
        </w:rPr>
      </w:pPr>
      <w:r>
        <w:rPr>
          <w:rFonts w:cs="Arial"/>
          <w:szCs w:val="20"/>
        </w:rPr>
        <w:t>Wszystkie specyfikacje urządzeń i rysunki szczegółowe proponowane przez Wykonawcę będą zatwierdzane przez Inwestora lub Biuro Projektów.</w:t>
      </w:r>
    </w:p>
    <w:p w:rsidR="00B77F00" w:rsidRDefault="00865FA3">
      <w:pPr>
        <w:pStyle w:val="Standard"/>
        <w:jc w:val="both"/>
        <w:rPr>
          <w:rFonts w:cs="Arial"/>
          <w:szCs w:val="20"/>
        </w:rPr>
      </w:pPr>
      <w:r>
        <w:rPr>
          <w:rFonts w:cs="Arial"/>
          <w:szCs w:val="20"/>
        </w:rPr>
        <w:t xml:space="preserve">W przypadku stosowania jakichkolwiek rozwiązań systemowych należy przy wycenie </w:t>
      </w:r>
      <w:r>
        <w:rPr>
          <w:rFonts w:cs="Arial"/>
          <w:szCs w:val="20"/>
        </w:rPr>
        <w:t>uwzględnić wszystkie elementy danego systemu niezbędne do zrealizowania całości prac.</w:t>
      </w:r>
    </w:p>
    <w:p w:rsidR="00B77F00" w:rsidRDefault="00865FA3">
      <w:pPr>
        <w:pStyle w:val="Standard"/>
        <w:jc w:val="both"/>
        <w:rPr>
          <w:rFonts w:cs="Arial"/>
          <w:szCs w:val="20"/>
        </w:rPr>
      </w:pPr>
      <w:r>
        <w:rPr>
          <w:rFonts w:cs="Arial"/>
          <w:szCs w:val="20"/>
        </w:rPr>
        <w:t>Niezależnie od stopnia dokładności i precyzji dokumentów otrzymanych od Inwestora, definiującej usługę do wykonania, Wykonawca zobowiązany jest do uzyskania dobrego rezul</w:t>
      </w:r>
      <w:r>
        <w:rPr>
          <w:rFonts w:cs="Arial"/>
          <w:szCs w:val="20"/>
        </w:rPr>
        <w:t>tatu końcowego. W związku z tym wykonanie prac budowlanych musi zapewnić utrzymanie założonych parametrów.</w:t>
      </w:r>
    </w:p>
    <w:p w:rsidR="00B77F00" w:rsidRDefault="00865FA3">
      <w:pPr>
        <w:pStyle w:val="Standard"/>
        <w:jc w:val="both"/>
        <w:rPr>
          <w:rFonts w:cs="Arial"/>
          <w:szCs w:val="20"/>
        </w:rPr>
      </w:pPr>
      <w:r>
        <w:rPr>
          <w:rFonts w:cs="Arial"/>
          <w:szCs w:val="20"/>
        </w:rPr>
        <w:t>Specyfikacje i opisy uwzględniają standard minimalny dla materiałów i instalacji, niezbędny do właściwego funkcjonowania projektowanego obiektu. Wyk</w:t>
      </w:r>
      <w:r>
        <w:rPr>
          <w:rFonts w:cs="Arial"/>
          <w:szCs w:val="20"/>
        </w:rPr>
        <w:t>onawca może zaproponować alternatywne rozwiązania pod warunkiem zachowania minimalnego wymaganego standardu – do akceptacji przez Inwestora.</w:t>
      </w:r>
    </w:p>
    <w:p w:rsidR="00B77F00" w:rsidRDefault="00865FA3">
      <w:pPr>
        <w:pStyle w:val="Standard"/>
        <w:jc w:val="both"/>
        <w:rPr>
          <w:rFonts w:cs="Arial"/>
          <w:szCs w:val="20"/>
        </w:rPr>
      </w:pPr>
      <w:r>
        <w:rPr>
          <w:rFonts w:cs="Arial"/>
          <w:szCs w:val="20"/>
        </w:rPr>
        <w:t>Rysunki i część opisowa są dokumentami wzajemnie się uzupełniającymi. Wszystkie elementy ujęte w specyfikacji (opis</w:t>
      </w:r>
      <w:r>
        <w:rPr>
          <w:rFonts w:cs="Arial"/>
          <w:szCs w:val="20"/>
        </w:rPr>
        <w:t>ie), a nie ujęte na rysunkach lub ujęte na rysunkach a nie ujęte w specyfikacji winne być traktowane tak jakby były ujęte w obu. W przypadku rozbieżności w jakimkolwiek z elementów dokumentacji należy zgłosić projektantowi, który zobowiązany będzie do pise</w:t>
      </w:r>
      <w:r>
        <w:rPr>
          <w:rFonts w:cs="Arial"/>
          <w:szCs w:val="20"/>
        </w:rPr>
        <w:t>mnego rozstrzygnięcia problemu.</w:t>
      </w:r>
    </w:p>
    <w:p w:rsidR="00000000" w:rsidRDefault="00865FA3">
      <w:pPr>
        <w:rPr>
          <w:szCs w:val="21"/>
        </w:rPr>
        <w:sectPr w:rsidR="00000000">
          <w:headerReference w:type="default" r:id="rId39"/>
          <w:footerReference w:type="default" r:id="rId40"/>
          <w:pgSz w:w="11906" w:h="16838"/>
          <w:pgMar w:top="632" w:right="1134" w:bottom="1785" w:left="1134" w:header="708" w:footer="1134" w:gutter="0"/>
          <w:cols w:space="708"/>
        </w:sectPr>
      </w:pPr>
    </w:p>
    <w:p w:rsidR="00B77F00" w:rsidRDefault="00B77F00">
      <w:pPr>
        <w:pStyle w:val="Nagwek3"/>
        <w:jc w:val="both"/>
      </w:pPr>
    </w:p>
    <w:p w:rsidR="00000000" w:rsidRDefault="00865FA3">
      <w:pPr>
        <w:rPr>
          <w:szCs w:val="21"/>
        </w:rPr>
        <w:sectPr w:rsidR="00000000">
          <w:type w:val="continuous"/>
          <w:pgSz w:w="11906" w:h="16838"/>
          <w:pgMar w:top="632" w:right="1134" w:bottom="1785" w:left="1134" w:header="708" w:footer="1134" w:gutter="0"/>
          <w:cols w:space="0"/>
        </w:sectPr>
      </w:pPr>
    </w:p>
    <w:p w:rsidR="00B77F00" w:rsidRDefault="00865FA3">
      <w:pPr>
        <w:pStyle w:val="Nagwek1"/>
        <w:jc w:val="both"/>
      </w:pPr>
      <w:bookmarkStart w:id="4" w:name="__RefHeading__771_929433062"/>
      <w:r>
        <w:lastRenderedPageBreak/>
        <w:t>DM.00.00.00 Wymagania ogólne</w:t>
      </w:r>
      <w:bookmarkEnd w:id="4"/>
    </w:p>
    <w:p w:rsidR="00B77F00" w:rsidRDefault="00865FA3">
      <w:pPr>
        <w:pStyle w:val="Standard"/>
        <w:jc w:val="both"/>
      </w:pPr>
      <w:r>
        <w:rPr>
          <w:rStyle w:val="CharacterStyle1"/>
          <w:rFonts w:cs="Arial"/>
          <w:b/>
          <w:bCs/>
          <w:lang w:val="pl-PL"/>
        </w:rPr>
        <w:t>1. WST</w:t>
      </w:r>
      <w:r>
        <w:rPr>
          <w:rStyle w:val="CharacterStyle1"/>
          <w:rFonts w:eastAsia="Times New Roman" w:cs="Arial"/>
          <w:b/>
          <w:bCs/>
          <w:lang w:val="pl-PL"/>
        </w:rPr>
        <w:t>ĘP</w:t>
      </w:r>
    </w:p>
    <w:p w:rsidR="00B77F00" w:rsidRDefault="00865FA3">
      <w:pPr>
        <w:pStyle w:val="Standard"/>
        <w:jc w:val="both"/>
      </w:pPr>
      <w:r>
        <w:rPr>
          <w:rStyle w:val="CharacterStyle1"/>
          <w:rFonts w:cs="Arial"/>
          <w:b/>
          <w:bCs/>
          <w:lang w:val="pl-PL"/>
        </w:rPr>
        <w:t>1.1. Przedmiot STWIORB</w:t>
      </w:r>
    </w:p>
    <w:p w:rsidR="00B77F00" w:rsidRDefault="00865FA3">
      <w:pPr>
        <w:pStyle w:val="Standard"/>
        <w:jc w:val="both"/>
      </w:pPr>
      <w:r>
        <w:rPr>
          <w:rStyle w:val="WW-DefaultParagraphFont"/>
          <w:rFonts w:cs="Arial"/>
          <w:lang w:val="pl-PL"/>
        </w:rPr>
        <w:t>Przedmiotem niniejszej szczegó</w:t>
      </w:r>
      <w:r>
        <w:rPr>
          <w:rStyle w:val="WW-DefaultParagraphFont"/>
          <w:rFonts w:eastAsia="Times New Roman" w:cs="Arial"/>
          <w:lang w:val="pl-PL"/>
        </w:rPr>
        <w:t xml:space="preserve">łowej specyfikacji technicznej wykonania i odbioru robót budowlanych (STWIORB)) są wymagania ogólne dotyczące wykonania i odbioru </w:t>
      </w:r>
      <w:r>
        <w:rPr>
          <w:rStyle w:val="WW-DefaultParagraphFont"/>
          <w:rFonts w:eastAsia="Times New Roman" w:cs="Arial"/>
          <w:lang w:val="pl-PL"/>
        </w:rPr>
        <w:t>robót drogowych i mostowych dla zamierzenia budowlanego:  „Remont mostu na rzece Wiązownica w msc. Wrzos w ciągu drogi powiatowej nr 3501W Wrzeszczów – Wrzos - Domaniów w km 4+206”.</w:t>
      </w:r>
    </w:p>
    <w:p w:rsidR="00B77F00" w:rsidRDefault="00865FA3">
      <w:pPr>
        <w:pStyle w:val="Standard"/>
        <w:jc w:val="both"/>
      </w:pPr>
      <w:r>
        <w:rPr>
          <w:rStyle w:val="CharacterStyle1"/>
          <w:rFonts w:cs="Arial"/>
          <w:b/>
          <w:bCs/>
          <w:lang w:val="pl-PL"/>
        </w:rPr>
        <w:t>1.2. Zakres stosowania STWIORB</w:t>
      </w:r>
    </w:p>
    <w:p w:rsidR="00B77F00" w:rsidRDefault="00865FA3">
      <w:pPr>
        <w:pStyle w:val="Standard"/>
        <w:jc w:val="both"/>
      </w:pPr>
      <w:r>
        <w:rPr>
          <w:rStyle w:val="WW-DefaultParagraphFont"/>
          <w:rFonts w:eastAsia="Times New Roman" w:cs="Arial"/>
          <w:lang w:val="pl-PL"/>
        </w:rPr>
        <w:t>Szczegółowa specyfikacja techniczna jest st</w:t>
      </w:r>
      <w:r>
        <w:rPr>
          <w:rStyle w:val="WW-DefaultParagraphFont"/>
          <w:rFonts w:eastAsia="Times New Roman" w:cs="Arial"/>
          <w:lang w:val="pl-PL"/>
        </w:rPr>
        <w:t>osowana jako dokument przetargowy i kontraktowy przy zlecaniu i realizacji robót wymienionych w punkcie 1.1.</w:t>
      </w:r>
    </w:p>
    <w:p w:rsidR="00B77F00" w:rsidRDefault="00865FA3">
      <w:pPr>
        <w:pStyle w:val="Standard"/>
        <w:jc w:val="both"/>
      </w:pPr>
      <w:r>
        <w:rPr>
          <w:rStyle w:val="CharacterStyle1"/>
          <w:rFonts w:cs="Arial"/>
          <w:b/>
          <w:bCs/>
          <w:lang w:val="pl-PL"/>
        </w:rPr>
        <w:t>1.3. Zakres robót obj</w:t>
      </w:r>
      <w:r>
        <w:rPr>
          <w:rStyle w:val="CharacterStyle1"/>
          <w:rFonts w:eastAsia="Times New Roman" w:cs="Arial"/>
          <w:b/>
          <w:bCs/>
          <w:lang w:val="pl-PL"/>
        </w:rPr>
        <w:t>ętych STWIORB</w:t>
      </w:r>
    </w:p>
    <w:p w:rsidR="00B77F00" w:rsidRDefault="00865FA3">
      <w:pPr>
        <w:pStyle w:val="Standard"/>
        <w:jc w:val="both"/>
      </w:pPr>
      <w:r>
        <w:rPr>
          <w:rStyle w:val="WW-DefaultParagraphFont"/>
          <w:rFonts w:eastAsia="Times New Roman" w:cs="Arial"/>
          <w:lang w:val="pl-PL"/>
        </w:rPr>
        <w:t>Ustalenia zawarte w niniejszej specyfikacji obejmują wymagania ogólne, wspólne dla robót objętych realizacją zad</w:t>
      </w:r>
      <w:r>
        <w:rPr>
          <w:rStyle w:val="WW-DefaultParagraphFont"/>
          <w:rFonts w:eastAsia="Times New Roman" w:cs="Arial"/>
          <w:lang w:val="pl-PL"/>
        </w:rPr>
        <w:t>ania wymienionego w pkt 1.1.</w:t>
      </w:r>
    </w:p>
    <w:p w:rsidR="00B77F00" w:rsidRDefault="00865FA3">
      <w:pPr>
        <w:pStyle w:val="Standard"/>
        <w:jc w:val="both"/>
      </w:pPr>
      <w:r>
        <w:rPr>
          <w:rStyle w:val="CharacterStyle1"/>
          <w:rFonts w:cs="Arial"/>
          <w:b/>
          <w:bCs/>
          <w:lang w:val="pl-PL"/>
        </w:rPr>
        <w:t>1.4. Okre</w:t>
      </w:r>
      <w:r>
        <w:rPr>
          <w:rStyle w:val="CharacterStyle1"/>
          <w:rFonts w:eastAsia="Times New Roman" w:cs="Arial"/>
          <w:b/>
          <w:bCs/>
          <w:lang w:val="pl-PL"/>
        </w:rPr>
        <w:t>ślenia podstawowe</w:t>
      </w:r>
    </w:p>
    <w:p w:rsidR="00B77F00" w:rsidRDefault="00865FA3">
      <w:pPr>
        <w:pStyle w:val="Standard"/>
        <w:jc w:val="both"/>
      </w:pPr>
      <w:r>
        <w:rPr>
          <w:rStyle w:val="WW-DefaultParagraphFont"/>
          <w:rFonts w:eastAsia="Times New Roman" w:cs="Arial"/>
          <w:spacing w:val="-2"/>
          <w:lang w:val="pl-PL"/>
        </w:rPr>
        <w:t>Użyte w STWIORB wymienione poniżej określenia należy rozumieć w każdym przypadku następująco:</w:t>
      </w:r>
    </w:p>
    <w:p w:rsidR="00B77F00" w:rsidRDefault="00865FA3">
      <w:pPr>
        <w:pStyle w:val="Standard"/>
        <w:jc w:val="both"/>
      </w:pPr>
      <w:r>
        <w:rPr>
          <w:rStyle w:val="WW-DefaultParagraphFont"/>
          <w:rFonts w:eastAsia="Times New Roman" w:cs="Arial"/>
          <w:lang w:val="pl-PL"/>
        </w:rPr>
        <w:t xml:space="preserve">1.4.1. Budowla drogowa - obiekt budowlany, nie będący budynkiem, stanowiący całość techniczno-użytkową </w:t>
      </w:r>
      <w:r>
        <w:rPr>
          <w:rStyle w:val="WW-DefaultParagraphFont"/>
          <w:rFonts w:eastAsia="Times New Roman" w:cs="Arial"/>
          <w:lang w:val="pl-PL"/>
        </w:rPr>
        <w:t>(droga) albo jego część stanowiącą odrębny element konstrukcyjny lub technologiczny (obiekt mostowy, korpus ziemny, węzeł).</w:t>
      </w:r>
    </w:p>
    <w:p w:rsidR="00B77F00" w:rsidRDefault="00865FA3">
      <w:pPr>
        <w:pStyle w:val="Standard"/>
        <w:jc w:val="both"/>
      </w:pPr>
      <w:r>
        <w:rPr>
          <w:rStyle w:val="WW-DefaultParagraphFont"/>
          <w:rFonts w:eastAsia="Times New Roman" w:cs="Arial"/>
          <w:spacing w:val="-2"/>
          <w:lang w:val="pl-PL"/>
        </w:rPr>
        <w:t xml:space="preserve">1.4.2. Chodnik - wyznaczony pas terenu przy jezdni lub odsunięty od jezdni, przeznaczony do ruchu pieszych. </w:t>
      </w:r>
      <w:r>
        <w:rPr>
          <w:rStyle w:val="WW-DefaultParagraphFont"/>
          <w:rFonts w:eastAsia="Times New Roman" w:cs="Arial"/>
          <w:lang w:val="pl-PL"/>
        </w:rPr>
        <w:t>1.4.3. Długość mostu - o</w:t>
      </w:r>
      <w:r>
        <w:rPr>
          <w:rStyle w:val="WW-DefaultParagraphFont"/>
          <w:rFonts w:eastAsia="Times New Roman" w:cs="Arial"/>
          <w:lang w:val="pl-PL"/>
        </w:rPr>
        <w:t xml:space="preserve">dległość między zewnętrznymi krawędziami pomostu, a w przypadku mostów </w:t>
      </w:r>
      <w:r>
        <w:rPr>
          <w:rStyle w:val="WW-DefaultParagraphFont"/>
          <w:rFonts w:eastAsia="Times New Roman" w:cs="Arial"/>
          <w:spacing w:val="2"/>
          <w:lang w:val="pl-PL"/>
        </w:rPr>
        <w:t>łukowych z nadsypką - odległość w świetle podstaw sklepienia mierzona w osi jezdni drogowej.</w:t>
      </w:r>
    </w:p>
    <w:p w:rsidR="00B77F00" w:rsidRDefault="00865FA3">
      <w:pPr>
        <w:pStyle w:val="Standard"/>
        <w:jc w:val="both"/>
      </w:pPr>
      <w:r>
        <w:rPr>
          <w:rStyle w:val="WW-DefaultParagraphFont"/>
          <w:rFonts w:eastAsia="Times New Roman" w:cs="Arial"/>
          <w:lang w:val="pl-PL"/>
        </w:rPr>
        <w:t>1.4.4. Droga - wydzielony pas terenu przeznaczony do ruchu lub postoju pojazdów oraz ruchu p</w:t>
      </w:r>
      <w:r>
        <w:rPr>
          <w:rStyle w:val="WW-DefaultParagraphFont"/>
          <w:rFonts w:eastAsia="Times New Roman" w:cs="Arial"/>
          <w:lang w:val="pl-PL"/>
        </w:rPr>
        <w:t>ieszych wraz z wszelkimi urządzeniami technicznymi związanymi z prowadzeniem i zabezpieczeniem ruchu.</w:t>
      </w:r>
    </w:p>
    <w:p w:rsidR="00B77F00" w:rsidRDefault="00865FA3">
      <w:pPr>
        <w:pStyle w:val="Standard"/>
        <w:jc w:val="both"/>
      </w:pPr>
      <w:r>
        <w:rPr>
          <w:rStyle w:val="WW-DefaultParagraphFont"/>
          <w:rFonts w:eastAsia="Times New Roman" w:cs="Arial"/>
          <w:lang w:val="pl-PL"/>
        </w:rPr>
        <w:t xml:space="preserve">1.4.5. Droga tymczasowa (montażowa) - droga specjalnie przygotowana, przeznaczona do ruchu pojazdów </w:t>
      </w:r>
      <w:r>
        <w:rPr>
          <w:rStyle w:val="WW-DefaultParagraphFont"/>
          <w:rFonts w:eastAsia="Times New Roman" w:cs="Arial"/>
          <w:spacing w:val="3"/>
          <w:lang w:val="pl-PL"/>
        </w:rPr>
        <w:t>obsługujących zadanie budowlane na czas jego wykonania</w:t>
      </w:r>
      <w:r>
        <w:rPr>
          <w:rStyle w:val="WW-DefaultParagraphFont"/>
          <w:rFonts w:eastAsia="Times New Roman" w:cs="Arial"/>
          <w:spacing w:val="3"/>
          <w:lang w:val="pl-PL"/>
        </w:rPr>
        <w:t>, przewidziana do usunięcia po jego zakończeniu.</w:t>
      </w:r>
    </w:p>
    <w:p w:rsidR="00B77F00" w:rsidRDefault="00865FA3">
      <w:pPr>
        <w:pStyle w:val="Standard"/>
        <w:jc w:val="both"/>
      </w:pPr>
      <w:r>
        <w:rPr>
          <w:rStyle w:val="WW-DefaultParagraphFont"/>
          <w:rFonts w:eastAsia="Times New Roman" w:cs="Arial"/>
          <w:spacing w:val="4"/>
          <w:lang w:val="pl-PL"/>
        </w:rPr>
        <w:t xml:space="preserve">1.4.6. Dziennik budowy — zeszyt z ponumerowanymi stronami, opatrzony pieczęcią organu wydającego, </w:t>
      </w:r>
      <w:r>
        <w:rPr>
          <w:rStyle w:val="WW-DefaultParagraphFont"/>
          <w:rFonts w:eastAsia="Times New Roman" w:cs="Arial"/>
          <w:lang w:val="pl-PL"/>
        </w:rPr>
        <w:t xml:space="preserve">wydany zgodnie z obowiązującymi przepisami, stanowiący urzędowy dokument przebiegu robót budowlanych, </w:t>
      </w:r>
      <w:r>
        <w:rPr>
          <w:rStyle w:val="WW-DefaultParagraphFont"/>
          <w:rFonts w:eastAsia="Times New Roman" w:cs="Arial"/>
          <w:spacing w:val="9"/>
          <w:lang w:val="pl-PL"/>
        </w:rPr>
        <w:t>służący</w:t>
      </w:r>
      <w:r>
        <w:rPr>
          <w:rStyle w:val="WW-DefaultParagraphFont"/>
          <w:rFonts w:eastAsia="Times New Roman" w:cs="Arial"/>
          <w:spacing w:val="9"/>
          <w:lang w:val="pl-PL"/>
        </w:rPr>
        <w:t xml:space="preserve"> do notowania zdarzeń i okoliczności zachodzących w toku wykonywania robót, rejestrowania </w:t>
      </w:r>
      <w:r>
        <w:rPr>
          <w:rStyle w:val="WW-DefaultParagraphFont"/>
          <w:rFonts w:eastAsia="Times New Roman" w:cs="Arial"/>
          <w:spacing w:val="10"/>
          <w:lang w:val="pl-PL"/>
        </w:rPr>
        <w:t xml:space="preserve">dokonywanych odbiorów robót, przekazywania poleceń i innej korespondencji technicznej pomiędzy </w:t>
      </w:r>
      <w:r>
        <w:rPr>
          <w:rStyle w:val="WW-DefaultParagraphFont"/>
          <w:rFonts w:eastAsia="Times New Roman" w:cs="Arial"/>
          <w:lang w:val="pl-PL"/>
        </w:rPr>
        <w:t>Inżynierem/ Kierownikiem projektu, Wykonawcą i projektantem.</w:t>
      </w:r>
    </w:p>
    <w:p w:rsidR="00B77F00" w:rsidRDefault="00865FA3">
      <w:pPr>
        <w:pStyle w:val="Standard"/>
        <w:jc w:val="both"/>
      </w:pPr>
      <w:r>
        <w:rPr>
          <w:rStyle w:val="WW-DefaultParagraphFont"/>
          <w:rFonts w:eastAsia="Times New Roman" w:cs="Arial"/>
          <w:lang w:val="pl-PL"/>
        </w:rPr>
        <w:t>1.4.7. Est</w:t>
      </w:r>
      <w:r>
        <w:rPr>
          <w:rStyle w:val="WW-DefaultParagraphFont"/>
          <w:rFonts w:eastAsia="Times New Roman" w:cs="Arial"/>
          <w:lang w:val="pl-PL"/>
        </w:rPr>
        <w:t>akada - obiekt zbudowany nad przeszkodą terenową dla zapewnienia komunikacji drogowej i ruchu pieszego.</w:t>
      </w:r>
    </w:p>
    <w:p w:rsidR="00B77F00" w:rsidRDefault="00865FA3">
      <w:pPr>
        <w:pStyle w:val="Standard"/>
        <w:jc w:val="both"/>
      </w:pPr>
      <w:r>
        <w:rPr>
          <w:rStyle w:val="WW-DefaultParagraphFont"/>
          <w:rFonts w:eastAsia="Times New Roman" w:cs="Arial"/>
          <w:lang w:val="pl-PL"/>
        </w:rPr>
        <w:t xml:space="preserve">1.4.8. Inżynier/Kierownik projektu — osoba wymieniona w danych kontraktowych (wyznaczona przez </w:t>
      </w:r>
      <w:r>
        <w:rPr>
          <w:rStyle w:val="WW-DefaultParagraphFont"/>
          <w:rFonts w:eastAsia="Times New Roman" w:cs="Arial"/>
          <w:spacing w:val="4"/>
          <w:lang w:val="pl-PL"/>
        </w:rPr>
        <w:t>Zamawiającego, o której wyznaczeniu poinformowany jest Wy</w:t>
      </w:r>
      <w:r>
        <w:rPr>
          <w:rStyle w:val="WW-DefaultParagraphFont"/>
          <w:rFonts w:eastAsia="Times New Roman" w:cs="Arial"/>
          <w:spacing w:val="4"/>
          <w:lang w:val="pl-PL"/>
        </w:rPr>
        <w:t xml:space="preserve">konawca), odpowiedzialna za nadzorowanie </w:t>
      </w:r>
      <w:r>
        <w:rPr>
          <w:rStyle w:val="WW-DefaultParagraphFont"/>
          <w:rFonts w:eastAsia="Times New Roman" w:cs="Arial"/>
          <w:lang w:val="pl-PL"/>
        </w:rPr>
        <w:t>robót i administrowanie kontraktem.</w:t>
      </w:r>
    </w:p>
    <w:p w:rsidR="00B77F00" w:rsidRDefault="00865FA3">
      <w:pPr>
        <w:pStyle w:val="Standard"/>
        <w:jc w:val="both"/>
      </w:pPr>
      <w:r>
        <w:rPr>
          <w:rStyle w:val="WW-DefaultParagraphFont"/>
          <w:rFonts w:eastAsia="Times New Roman" w:cs="Arial"/>
          <w:lang w:val="pl-PL"/>
        </w:rPr>
        <w:t>1.4.9. Jezdnia - część korony drogi przeznaczona do ruchu pojazdów.</w:t>
      </w:r>
    </w:p>
    <w:p w:rsidR="00B77F00" w:rsidRDefault="00865FA3">
      <w:pPr>
        <w:pStyle w:val="Standard"/>
        <w:jc w:val="both"/>
      </w:pPr>
      <w:r>
        <w:rPr>
          <w:rStyle w:val="WW-DefaultParagraphFont"/>
          <w:rFonts w:eastAsia="Times New Roman" w:cs="Arial"/>
          <w:lang w:val="pl-PL"/>
        </w:rPr>
        <w:t>1.4.10. Kierownik budowy - osoba wyznaczona przez Wykonawcę, upoważniona do kierowania robotami i do występowan</w:t>
      </w:r>
      <w:r>
        <w:rPr>
          <w:rStyle w:val="WW-DefaultParagraphFont"/>
          <w:rFonts w:eastAsia="Times New Roman" w:cs="Arial"/>
          <w:lang w:val="pl-PL"/>
        </w:rPr>
        <w:t>ia w jego imieniu w sprawach realizacji kontraktu.</w:t>
      </w:r>
    </w:p>
    <w:p w:rsidR="00B77F00" w:rsidRDefault="00865FA3">
      <w:pPr>
        <w:pStyle w:val="Standard"/>
        <w:jc w:val="both"/>
      </w:pPr>
      <w:r>
        <w:rPr>
          <w:rStyle w:val="WW-DefaultParagraphFont"/>
          <w:rFonts w:eastAsia="Times New Roman" w:cs="Arial"/>
          <w:lang w:val="pl-PL"/>
        </w:rPr>
        <w:t>1.4.11. Korona drogi - jezdnia (jezdnie) z poboczami lub chodnikami, zatokami, pasami awaryjnego postoju i pasami dzielącymi jezdnie.</w:t>
      </w:r>
    </w:p>
    <w:p w:rsidR="00B77F00" w:rsidRDefault="00865FA3">
      <w:pPr>
        <w:pStyle w:val="Standard"/>
        <w:jc w:val="both"/>
      </w:pPr>
      <w:r>
        <w:rPr>
          <w:rStyle w:val="WW-DefaultParagraphFont"/>
          <w:rFonts w:eastAsia="Times New Roman" w:cs="Arial"/>
          <w:lang w:val="pl-PL"/>
        </w:rPr>
        <w:t>1.4.12. Konstrukcja nawierzchni - układ warstw nawierzchni wraz ze spos</w:t>
      </w:r>
      <w:r>
        <w:rPr>
          <w:rStyle w:val="WW-DefaultParagraphFont"/>
          <w:rFonts w:eastAsia="Times New Roman" w:cs="Arial"/>
          <w:lang w:val="pl-PL"/>
        </w:rPr>
        <w:t>obem ich połączenia.</w:t>
      </w:r>
    </w:p>
    <w:p w:rsidR="00B77F00" w:rsidRDefault="00865FA3">
      <w:pPr>
        <w:pStyle w:val="Standard"/>
        <w:jc w:val="both"/>
      </w:pPr>
      <w:r>
        <w:rPr>
          <w:rStyle w:val="WW-DefaultParagraphFont"/>
          <w:rFonts w:eastAsia="Times New Roman" w:cs="Arial"/>
          <w:lang w:val="pl-PL"/>
        </w:rPr>
        <w:t>1.4.13. Konstrukcja nośna (przęsło lub przęsła obiektu mostowego) - część obiektu oparta na podporach mostowych, tworząca ustrój niosący dla przeniesienia ruchu pojazdów lub pieszych.</w:t>
      </w:r>
    </w:p>
    <w:p w:rsidR="00B77F00" w:rsidRDefault="00865FA3">
      <w:pPr>
        <w:pStyle w:val="Standard"/>
        <w:jc w:val="both"/>
      </w:pPr>
      <w:r>
        <w:rPr>
          <w:rStyle w:val="WW-DefaultParagraphFont"/>
          <w:rFonts w:eastAsia="Times New Roman" w:cs="Arial"/>
          <w:spacing w:val="-3"/>
          <w:lang w:val="pl-PL"/>
        </w:rPr>
        <w:t>1.4.14. Korpus drogowy - nasyp lub ta część wykopu,</w:t>
      </w:r>
      <w:r>
        <w:rPr>
          <w:rStyle w:val="WW-DefaultParagraphFont"/>
          <w:rFonts w:eastAsia="Times New Roman" w:cs="Arial"/>
          <w:spacing w:val="-3"/>
          <w:lang w:val="pl-PL"/>
        </w:rPr>
        <w:t xml:space="preserve"> która jest ograniczona koroną drogi i skarpami rowów. </w:t>
      </w:r>
      <w:r>
        <w:rPr>
          <w:rStyle w:val="WW-DefaultParagraphFont"/>
          <w:rFonts w:eastAsia="Times New Roman" w:cs="Arial"/>
          <w:spacing w:val="-2"/>
          <w:lang w:val="pl-PL"/>
        </w:rPr>
        <w:t xml:space="preserve">1.4.15. Koryto - element uformowany w korpusie drogowym w celu ułożenia w nim konstrukcji nawierzchni. </w:t>
      </w:r>
      <w:r>
        <w:rPr>
          <w:rStyle w:val="WW-DefaultParagraphFont"/>
          <w:rFonts w:eastAsia="Times New Roman" w:cs="Arial"/>
          <w:lang w:val="pl-PL"/>
        </w:rPr>
        <w:t>1.4.16. Książka obmiarów - akceptowany przez Inżyniera/Kierownika projektu zeszyt z ponumerowanymi</w:t>
      </w:r>
      <w:r>
        <w:rPr>
          <w:rStyle w:val="WW-DefaultParagraphFont"/>
          <w:rFonts w:eastAsia="Times New Roman" w:cs="Arial"/>
          <w:lang w:val="pl-PL"/>
        </w:rPr>
        <w:t xml:space="preserve"> stronami, służący do wpisywania przez Wykonawcę obmiaru dokonywanych robót w formie wyliczeń, szkiców i </w:t>
      </w:r>
      <w:r>
        <w:rPr>
          <w:rStyle w:val="WW-DefaultParagraphFont"/>
          <w:rFonts w:eastAsia="Times New Roman" w:cs="Arial"/>
          <w:spacing w:val="22"/>
          <w:lang w:val="pl-PL"/>
        </w:rPr>
        <w:t xml:space="preserve">ew. dodatkowych załączników. Wpisy w książce obmiarów podlegają potwierdzeniu przez </w:t>
      </w:r>
      <w:r>
        <w:rPr>
          <w:rStyle w:val="WW-DefaultParagraphFont"/>
          <w:rFonts w:eastAsia="Times New Roman" w:cs="Arial"/>
          <w:lang w:val="pl-PL"/>
        </w:rPr>
        <w:t>Inżyniera/Kierownika projektu.</w:t>
      </w:r>
    </w:p>
    <w:p w:rsidR="00B77F00" w:rsidRDefault="00865FA3">
      <w:pPr>
        <w:pStyle w:val="Standard"/>
        <w:jc w:val="both"/>
      </w:pPr>
      <w:r>
        <w:rPr>
          <w:rStyle w:val="WW-DefaultParagraphFont"/>
          <w:rFonts w:eastAsia="Times New Roman" w:cs="Arial"/>
          <w:lang w:val="pl-PL"/>
        </w:rPr>
        <w:t>1.4.17. Laboratorium - drogowe lub i</w:t>
      </w:r>
      <w:r>
        <w:rPr>
          <w:rStyle w:val="WW-DefaultParagraphFont"/>
          <w:rFonts w:eastAsia="Times New Roman" w:cs="Arial"/>
          <w:lang w:val="pl-PL"/>
        </w:rPr>
        <w:t>nne laboratorium badawcze, zaakceptowane przez Zamawiającego, niezbędne do przeprowadzenia wszelkich badań i prób związanych z oceną jakości materiałów oraz robót.</w:t>
      </w:r>
    </w:p>
    <w:p w:rsidR="00B77F00" w:rsidRDefault="00865FA3">
      <w:pPr>
        <w:pStyle w:val="Standard"/>
        <w:jc w:val="both"/>
      </w:pPr>
      <w:r>
        <w:rPr>
          <w:rStyle w:val="WW-DefaultParagraphFont"/>
          <w:rFonts w:eastAsia="Times New Roman" w:cs="Arial"/>
          <w:lang w:val="pl-PL"/>
        </w:rPr>
        <w:t>1.4.18. Materiały - wszelkie tworzywa niezbędne do wykonania robót, zgodne z dokumentacją pr</w:t>
      </w:r>
      <w:r>
        <w:rPr>
          <w:rStyle w:val="WW-DefaultParagraphFont"/>
          <w:rFonts w:eastAsia="Times New Roman" w:cs="Arial"/>
          <w:lang w:val="pl-PL"/>
        </w:rPr>
        <w:t>ojektową i specyfikacjami technicznymi, zaakceptowane przez Inżyniera/ Kierownika projektu.</w:t>
      </w:r>
    </w:p>
    <w:p w:rsidR="00B77F00" w:rsidRDefault="00865FA3">
      <w:pPr>
        <w:pStyle w:val="Standard"/>
        <w:jc w:val="both"/>
      </w:pPr>
      <w:r>
        <w:rPr>
          <w:rStyle w:val="WW-DefaultParagraphFont"/>
          <w:rFonts w:eastAsia="Times New Roman" w:cs="Arial"/>
          <w:spacing w:val="6"/>
          <w:lang w:val="pl-PL"/>
        </w:rPr>
        <w:t xml:space="preserve">1.4.19. Most - obiekt zbudowany nad przeszkodą wodną dla zapewnienia komunikacji drogowej i ruchu </w:t>
      </w:r>
      <w:r>
        <w:rPr>
          <w:rStyle w:val="WW-DefaultParagraphFont"/>
          <w:rFonts w:eastAsia="Times New Roman" w:cs="Arial"/>
          <w:lang w:val="pl-PL"/>
        </w:rPr>
        <w:t>pieszego.</w:t>
      </w:r>
    </w:p>
    <w:p w:rsidR="00B77F00" w:rsidRDefault="00865FA3">
      <w:pPr>
        <w:pStyle w:val="Standard"/>
        <w:jc w:val="both"/>
      </w:pPr>
      <w:r>
        <w:rPr>
          <w:rStyle w:val="WW-DefaultParagraphFont"/>
          <w:rFonts w:eastAsia="Times New Roman" w:cs="Arial"/>
          <w:lang w:val="pl-PL"/>
        </w:rPr>
        <w:t xml:space="preserve">1.4.20. Nawierzchnia - warstwa lub zespół warstw </w:t>
      </w:r>
      <w:r>
        <w:rPr>
          <w:rStyle w:val="WW-DefaultParagraphFont"/>
          <w:rFonts w:eastAsia="Times New Roman" w:cs="Arial"/>
          <w:lang w:val="pl-PL"/>
        </w:rPr>
        <w:t xml:space="preserve">służących do przejmowania i rozkładania obciążeń od ruchu </w:t>
      </w:r>
      <w:r>
        <w:rPr>
          <w:rStyle w:val="WW-DefaultParagraphFont"/>
          <w:rFonts w:eastAsia="Times New Roman" w:cs="Arial"/>
          <w:lang w:val="pl-PL"/>
        </w:rPr>
        <w:lastRenderedPageBreak/>
        <w:t>na podłoże gruntowe i zapewniających dogodne warunki dla ruchu.</w:t>
      </w:r>
    </w:p>
    <w:p w:rsidR="00B77F00" w:rsidRDefault="00865FA3">
      <w:pPr>
        <w:pStyle w:val="Standard"/>
        <w:numPr>
          <w:ilvl w:val="0"/>
          <w:numId w:val="81"/>
        </w:numPr>
        <w:tabs>
          <w:tab w:val="left" w:pos="288"/>
        </w:tabs>
        <w:jc w:val="both"/>
      </w:pPr>
      <w:r>
        <w:rPr>
          <w:noProof/>
        </w:rPr>
        <mc:AlternateContent>
          <mc:Choice Requires="wps">
            <w:drawing>
              <wp:anchor distT="0" distB="0" distL="114300" distR="114300" simplePos="0" relativeHeight="251658240" behindDoc="1" locked="0" layoutInCell="1" allowOverlap="1">
                <wp:simplePos x="0" y="0"/>
                <wp:positionH relativeFrom="page">
                  <wp:posOffset>27360</wp:posOffset>
                </wp:positionH>
                <wp:positionV relativeFrom="page">
                  <wp:posOffset>5040</wp:posOffset>
                </wp:positionV>
                <wp:extent cx="5727240" cy="0"/>
                <wp:effectExtent l="0" t="0" r="0" b="0"/>
                <wp:wrapNone/>
                <wp:docPr id="3" name="Łącznik prosty 3"/>
                <wp:cNvGraphicFramePr/>
                <a:graphic xmlns:a="http://schemas.openxmlformats.org/drawingml/2006/main">
                  <a:graphicData uri="http://schemas.microsoft.com/office/word/2010/wordprocessingShape">
                    <wps:wsp>
                      <wps:cNvCnPr/>
                      <wps:spPr>
                        <a:xfrm>
                          <a:off x="0" y="0"/>
                          <a:ext cx="5727240" cy="0"/>
                        </a:xfrm>
                        <a:prstGeom prst="line">
                          <a:avLst/>
                        </a:prstGeom>
                        <a:noFill/>
                        <a:ln w="7560">
                          <a:solidFill>
                            <a:srgbClr val="808080"/>
                          </a:solidFill>
                          <a:prstDash val="solid"/>
                          <a:round/>
                        </a:ln>
                      </wps:spPr>
                      <wps:bodyPr/>
                    </wps:wsp>
                  </a:graphicData>
                </a:graphic>
              </wp:anchor>
            </w:drawing>
          </mc:Choice>
          <mc:Fallback>
            <w:pict>
              <v:line w14:anchorId="1646D8A0" id="Łącznik prosty 3" o:spid="_x0000_s1026" style="position:absolute;z-index:-251658240;visibility:visible;mso-wrap-style:square;mso-wrap-distance-left:9pt;mso-wrap-distance-top:0;mso-wrap-distance-right:9pt;mso-wrap-distance-bottom:0;mso-position-horizontal:absolute;mso-position-horizontal-relative:page;mso-position-vertical:absolute;mso-position-vertical-relative:page" from="2.15pt,.4pt" to="453.1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" strokecolor="gray" strokeweight=".21mm">
                <w10:wrap anchorx="page" anchory="page"/>
              </v:line>
            </w:pict>
          </mc:Fallback>
        </mc:AlternateContent>
      </w:r>
      <w:r>
        <w:rPr>
          <w:rStyle w:val="WW-DefaultParagraphFont"/>
          <w:rFonts w:eastAsia="Times New Roman" w:cs="Arial"/>
          <w:lang w:val="pl-PL"/>
        </w:rPr>
        <w:t>Warstwa ścieralna - górna warstwa nawierzchni poddana bezpośrednio oddziaływaniu ruchu i czynników atmosferycznych.</w:t>
      </w:r>
    </w:p>
    <w:p w:rsidR="00B77F00" w:rsidRDefault="00865FA3">
      <w:pPr>
        <w:pStyle w:val="Standard"/>
        <w:numPr>
          <w:ilvl w:val="0"/>
          <w:numId w:val="11"/>
        </w:numPr>
        <w:tabs>
          <w:tab w:val="left" w:pos="288"/>
        </w:tabs>
        <w:jc w:val="both"/>
      </w:pPr>
      <w:r>
        <w:rPr>
          <w:rStyle w:val="WW-DefaultParagraphFont"/>
          <w:rFonts w:eastAsia="Times New Roman" w:cs="Arial"/>
          <w:lang w:val="pl-PL"/>
        </w:rPr>
        <w:t>Warstwa wiążą</w:t>
      </w:r>
      <w:r>
        <w:rPr>
          <w:rStyle w:val="WW-DefaultParagraphFont"/>
          <w:rFonts w:eastAsia="Times New Roman" w:cs="Arial"/>
          <w:lang w:val="pl-PL"/>
        </w:rPr>
        <w:t>ca - warstwa znajdująca się między warstwą ścieralną a podbudową, zapewniająca lepsze rozłożenie naprężeń w nawierzchni i przekazywanie ich na podbudowę.</w:t>
      </w:r>
    </w:p>
    <w:p w:rsidR="00B77F00" w:rsidRDefault="00865FA3">
      <w:pPr>
        <w:pStyle w:val="Standard"/>
        <w:numPr>
          <w:ilvl w:val="0"/>
          <w:numId w:val="11"/>
        </w:numPr>
        <w:tabs>
          <w:tab w:val="left" w:pos="288"/>
        </w:tabs>
        <w:jc w:val="both"/>
      </w:pPr>
      <w:r>
        <w:rPr>
          <w:rStyle w:val="WW-DefaultParagraphFont"/>
          <w:rFonts w:eastAsia="Times New Roman" w:cs="Arial"/>
          <w:lang w:val="pl-PL"/>
        </w:rPr>
        <w:t>Warstwa wyrównawcza - warstwa służąca do wyrównania nierówności podbudowy lub profilu istniejącej nawi</w:t>
      </w:r>
      <w:r>
        <w:rPr>
          <w:rStyle w:val="WW-DefaultParagraphFont"/>
          <w:rFonts w:eastAsia="Times New Roman" w:cs="Arial"/>
          <w:lang w:val="pl-PL"/>
        </w:rPr>
        <w:t>erzchni.</w:t>
      </w:r>
    </w:p>
    <w:p w:rsidR="00B77F00" w:rsidRDefault="00865FA3">
      <w:pPr>
        <w:pStyle w:val="Standard"/>
        <w:numPr>
          <w:ilvl w:val="0"/>
          <w:numId w:val="11"/>
        </w:numPr>
        <w:tabs>
          <w:tab w:val="left" w:pos="288"/>
        </w:tabs>
        <w:jc w:val="both"/>
      </w:pPr>
      <w:r>
        <w:rPr>
          <w:rStyle w:val="WW-DefaultParagraphFont"/>
          <w:rFonts w:eastAsia="Times New Roman" w:cs="Arial"/>
          <w:lang w:val="pl-PL"/>
        </w:rPr>
        <w:t>Podbudowa - dolna część nawierzchni służąca do przenoszenia obciążeń od ruchu na podłoże. Podbudowa może składać się z podbudowy zasadniczej i podbudowy pomocniczej.</w:t>
      </w:r>
    </w:p>
    <w:p w:rsidR="00B77F00" w:rsidRDefault="00865FA3">
      <w:pPr>
        <w:pStyle w:val="Standard"/>
        <w:numPr>
          <w:ilvl w:val="0"/>
          <w:numId w:val="11"/>
        </w:numPr>
        <w:tabs>
          <w:tab w:val="left" w:pos="288"/>
        </w:tabs>
        <w:jc w:val="both"/>
      </w:pPr>
      <w:r>
        <w:rPr>
          <w:rStyle w:val="WW-DefaultParagraphFont"/>
          <w:rFonts w:eastAsia="Times New Roman" w:cs="Arial"/>
          <w:spacing w:val="3"/>
          <w:lang w:val="pl-PL"/>
        </w:rPr>
        <w:t>Podbudowa zasadnicza - górna część podbudowy spełniająca funkcje nośne w konstruk</w:t>
      </w:r>
      <w:r>
        <w:rPr>
          <w:rStyle w:val="WW-DefaultParagraphFont"/>
          <w:rFonts w:eastAsia="Times New Roman" w:cs="Arial"/>
          <w:spacing w:val="3"/>
          <w:lang w:val="pl-PL"/>
        </w:rPr>
        <w:t xml:space="preserve">cji nawierzchni. </w:t>
      </w:r>
      <w:r>
        <w:rPr>
          <w:rStyle w:val="WW-DefaultParagraphFont"/>
          <w:rFonts w:eastAsia="Times New Roman" w:cs="Arial"/>
          <w:lang w:val="pl-PL"/>
        </w:rPr>
        <w:t>Może ona składać się z jednej lub dwóch warstw.</w:t>
      </w:r>
    </w:p>
    <w:p w:rsidR="00B77F00" w:rsidRDefault="00865FA3">
      <w:pPr>
        <w:pStyle w:val="Standard"/>
        <w:numPr>
          <w:ilvl w:val="0"/>
          <w:numId w:val="11"/>
        </w:numPr>
        <w:tabs>
          <w:tab w:val="left" w:pos="288"/>
        </w:tabs>
        <w:jc w:val="both"/>
      </w:pPr>
      <w:r>
        <w:rPr>
          <w:rStyle w:val="WW-DefaultParagraphFont"/>
          <w:rFonts w:eastAsia="Times New Roman" w:cs="Arial"/>
          <w:spacing w:val="-2"/>
          <w:lang w:val="pl-PL"/>
        </w:rPr>
        <w:t xml:space="preserve">Podbudowa pomocnicza - dolna część podbudowy spełniająca, obok funkcji nośnych, funkcje zabezpieczenia </w:t>
      </w:r>
      <w:r>
        <w:rPr>
          <w:rStyle w:val="WW-DefaultParagraphFont"/>
          <w:rFonts w:eastAsia="Times New Roman" w:cs="Arial"/>
          <w:lang w:val="pl-PL"/>
        </w:rPr>
        <w:t>nawierzchni przed działaniem wody, mrozu i przenikaniem cząstek podłoża. Może zawierać w</w:t>
      </w:r>
      <w:r>
        <w:rPr>
          <w:rStyle w:val="WW-DefaultParagraphFont"/>
          <w:rFonts w:eastAsia="Times New Roman" w:cs="Arial"/>
          <w:lang w:val="pl-PL"/>
        </w:rPr>
        <w:t>arstwę mrozoochronną, odsączającą lub odcinającą.</w:t>
      </w:r>
    </w:p>
    <w:p w:rsidR="00B77F00" w:rsidRDefault="00865FA3">
      <w:pPr>
        <w:pStyle w:val="Standard"/>
        <w:numPr>
          <w:ilvl w:val="0"/>
          <w:numId w:val="11"/>
        </w:numPr>
        <w:tabs>
          <w:tab w:val="left" w:pos="288"/>
        </w:tabs>
        <w:jc w:val="both"/>
      </w:pPr>
      <w:r>
        <w:rPr>
          <w:rStyle w:val="WW-DefaultParagraphFont"/>
          <w:rFonts w:eastAsia="Times New Roman" w:cs="Arial"/>
          <w:lang w:val="pl-PL"/>
        </w:rPr>
        <w:t>Warstwa mrozoochronna - warstwa, której głównym zadaniem jest ochrona nawierzchni przed skutkami działania mrozu.</w:t>
      </w:r>
    </w:p>
    <w:p w:rsidR="00B77F00" w:rsidRDefault="00865FA3">
      <w:pPr>
        <w:pStyle w:val="Standard"/>
        <w:numPr>
          <w:ilvl w:val="0"/>
          <w:numId w:val="11"/>
        </w:numPr>
        <w:tabs>
          <w:tab w:val="left" w:pos="288"/>
        </w:tabs>
        <w:jc w:val="both"/>
      </w:pPr>
      <w:r>
        <w:rPr>
          <w:rStyle w:val="WW-DefaultParagraphFont"/>
          <w:rFonts w:eastAsia="Times New Roman" w:cs="Arial"/>
          <w:lang w:val="pl-PL"/>
        </w:rPr>
        <w:t>Warstwa odcinająca - warstwa stosowana w celu uniemożliwienia przenikania cząstek drobnych g</w:t>
      </w:r>
      <w:r>
        <w:rPr>
          <w:rStyle w:val="WW-DefaultParagraphFont"/>
          <w:rFonts w:eastAsia="Times New Roman" w:cs="Arial"/>
          <w:lang w:val="pl-PL"/>
        </w:rPr>
        <w:t>runtu do warstwy nawierzchni leżącej powyżej.</w:t>
      </w:r>
    </w:p>
    <w:p w:rsidR="00B77F00" w:rsidRDefault="00865FA3">
      <w:pPr>
        <w:pStyle w:val="Standard"/>
        <w:numPr>
          <w:ilvl w:val="0"/>
          <w:numId w:val="11"/>
        </w:numPr>
        <w:tabs>
          <w:tab w:val="left" w:pos="288"/>
        </w:tabs>
        <w:jc w:val="both"/>
      </w:pPr>
      <w:r>
        <w:rPr>
          <w:rStyle w:val="WW-DefaultParagraphFont"/>
          <w:rFonts w:eastAsia="Times New Roman" w:cs="Arial"/>
          <w:spacing w:val="6"/>
          <w:lang w:val="pl-PL"/>
        </w:rPr>
        <w:t>Warstwa odsączająca - warstwa służąca do odprowadzenia wody przedostającej się do nawierzchni.</w:t>
      </w:r>
    </w:p>
    <w:p w:rsidR="00B77F00" w:rsidRDefault="00865FA3">
      <w:pPr>
        <w:pStyle w:val="Standard"/>
        <w:tabs>
          <w:tab w:val="left" w:pos="0"/>
        </w:tabs>
        <w:jc w:val="both"/>
      </w:pPr>
      <w:r>
        <w:rPr>
          <w:rStyle w:val="WW-DefaultParagraphFont"/>
          <w:rFonts w:eastAsia="Times New Roman" w:cs="Arial"/>
          <w:spacing w:val="-2"/>
          <w:lang w:val="pl-PL"/>
        </w:rPr>
        <w:t xml:space="preserve">1.4.21. Niweleta - wysokościowe i geometryczne rozwinięcie na płaszczyźnie pionowego przekroju w osi drogi </w:t>
      </w:r>
      <w:r>
        <w:rPr>
          <w:rStyle w:val="WW-DefaultParagraphFont"/>
          <w:rFonts w:eastAsia="Times New Roman" w:cs="Arial"/>
          <w:lang w:val="pl-PL"/>
        </w:rPr>
        <w:t>lub obi</w:t>
      </w:r>
      <w:r>
        <w:rPr>
          <w:rStyle w:val="WW-DefaultParagraphFont"/>
          <w:rFonts w:eastAsia="Times New Roman" w:cs="Arial"/>
          <w:lang w:val="pl-PL"/>
        </w:rPr>
        <w:t>ektu mostowego.</w:t>
      </w:r>
    </w:p>
    <w:p w:rsidR="00B77F00" w:rsidRDefault="00865FA3">
      <w:pPr>
        <w:pStyle w:val="Standard"/>
        <w:jc w:val="both"/>
      </w:pPr>
      <w:r>
        <w:rPr>
          <w:rStyle w:val="WW-DefaultParagraphFont"/>
          <w:rFonts w:eastAsia="Times New Roman" w:cs="Arial"/>
          <w:lang w:val="pl-PL"/>
        </w:rPr>
        <w:t>1.4.22. Obiekt mostowy - most, wiadukt, estakada, tunel, kładka dla pieszych i przepust.</w:t>
      </w:r>
    </w:p>
    <w:p w:rsidR="00B77F00" w:rsidRDefault="00865FA3">
      <w:pPr>
        <w:pStyle w:val="Standard"/>
        <w:jc w:val="both"/>
      </w:pPr>
      <w:r>
        <w:rPr>
          <w:rStyle w:val="WW-DefaultParagraphFont"/>
          <w:rFonts w:eastAsia="Times New Roman" w:cs="Arial"/>
          <w:lang w:val="pl-PL"/>
        </w:rPr>
        <w:t>1.4.23. Objazd tymczasowy - droga specjalnie przygotowana i odpowiednio utrzymana do przeprowadzenia ruchu publicznego na okres budowy.</w:t>
      </w:r>
    </w:p>
    <w:p w:rsidR="00B77F00" w:rsidRDefault="00865FA3">
      <w:pPr>
        <w:pStyle w:val="Standard"/>
        <w:jc w:val="both"/>
      </w:pPr>
      <w:r>
        <w:rPr>
          <w:rStyle w:val="WW-DefaultParagraphFont"/>
          <w:rFonts w:eastAsia="Times New Roman" w:cs="Arial"/>
          <w:spacing w:val="-4"/>
          <w:lang w:val="pl-PL"/>
        </w:rPr>
        <w:t>1.4.24. Odpowie</w:t>
      </w:r>
      <w:r>
        <w:rPr>
          <w:rStyle w:val="WW-DefaultParagraphFont"/>
          <w:rFonts w:eastAsia="Times New Roman" w:cs="Arial"/>
          <w:spacing w:val="-4"/>
          <w:lang w:val="pl-PL"/>
        </w:rPr>
        <w:t xml:space="preserve">dnia (bliska) zgodność - zgodność wykonywanych robót z dopuszczonymi tolerancjami, a jeśli </w:t>
      </w:r>
      <w:r>
        <w:rPr>
          <w:rStyle w:val="WW-DefaultParagraphFont"/>
          <w:rFonts w:eastAsia="Times New Roman" w:cs="Arial"/>
          <w:lang w:val="pl-PL"/>
        </w:rPr>
        <w:t>przedział tolerancji nie został określony - z przeciętnymi tolerancjami, przyjmowanymi zwyczajowo dla danego rodzaju robót budowlanych.</w:t>
      </w:r>
    </w:p>
    <w:p w:rsidR="00B77F00" w:rsidRDefault="00865FA3">
      <w:pPr>
        <w:pStyle w:val="Standard"/>
        <w:jc w:val="both"/>
      </w:pPr>
      <w:r>
        <w:rPr>
          <w:rStyle w:val="WW-DefaultParagraphFont"/>
          <w:rFonts w:eastAsia="Times New Roman" w:cs="Arial"/>
          <w:lang w:val="pl-PL"/>
        </w:rPr>
        <w:t xml:space="preserve">1.4.25. Pas drogowy - </w:t>
      </w:r>
      <w:r>
        <w:rPr>
          <w:rStyle w:val="WW-DefaultParagraphFont"/>
          <w:rFonts w:eastAsia="Times New Roman" w:cs="Arial"/>
          <w:lang w:val="pl-PL"/>
        </w:rPr>
        <w:t xml:space="preserve">wydzielony liniami granicznymi pas terenu przeznaczony do umieszczania w nim drogi i </w:t>
      </w:r>
      <w:r>
        <w:rPr>
          <w:rStyle w:val="WW-DefaultParagraphFont"/>
          <w:rFonts w:eastAsia="Times New Roman" w:cs="Arial"/>
          <w:spacing w:val="2"/>
          <w:lang w:val="pl-PL"/>
        </w:rPr>
        <w:t xml:space="preserve">związanych z nią urządzeń oraz drzew i krzewów. Pas drogowy może również obejmować teren przewidziany </w:t>
      </w:r>
      <w:r>
        <w:rPr>
          <w:rStyle w:val="WW-DefaultParagraphFont"/>
          <w:rFonts w:eastAsia="Times New Roman" w:cs="Arial"/>
          <w:lang w:val="pl-PL"/>
        </w:rPr>
        <w:t>do rozbudowy drogi i budowy urządzeń chroniących ludzi i środowisko p</w:t>
      </w:r>
      <w:r>
        <w:rPr>
          <w:rStyle w:val="WW-DefaultParagraphFont"/>
          <w:rFonts w:eastAsia="Times New Roman" w:cs="Arial"/>
          <w:lang w:val="pl-PL"/>
        </w:rPr>
        <w:t>rzed uciążliwościami powodowanymi przez ruch na drodze.</w:t>
      </w:r>
    </w:p>
    <w:p w:rsidR="00B77F00" w:rsidRDefault="00865FA3">
      <w:pPr>
        <w:pStyle w:val="Standard"/>
        <w:jc w:val="both"/>
      </w:pPr>
      <w:r>
        <w:rPr>
          <w:rStyle w:val="WW-DefaultParagraphFont"/>
          <w:rFonts w:eastAsia="Times New Roman" w:cs="Arial"/>
          <w:lang w:val="pl-PL"/>
        </w:rPr>
        <w:t xml:space="preserve">1.4.26. Pobocze - część korony drogi przeznaczona do chwilowego postoju pojazdów, umieszczenia urządzeń </w:t>
      </w:r>
      <w:r>
        <w:rPr>
          <w:rStyle w:val="WW-DefaultParagraphFont"/>
          <w:rFonts w:eastAsia="Times New Roman" w:cs="Arial"/>
          <w:spacing w:val="8"/>
          <w:lang w:val="pl-PL"/>
        </w:rPr>
        <w:t>organizacji i bezpieczeństwa ruchu oraz do ruchu pieszych, służąca jednocześnie do bocznego opar</w:t>
      </w:r>
      <w:r>
        <w:rPr>
          <w:rStyle w:val="WW-DefaultParagraphFont"/>
          <w:rFonts w:eastAsia="Times New Roman" w:cs="Arial"/>
          <w:spacing w:val="8"/>
          <w:lang w:val="pl-PL"/>
        </w:rPr>
        <w:t xml:space="preserve">cia </w:t>
      </w:r>
      <w:r>
        <w:rPr>
          <w:rStyle w:val="WW-DefaultParagraphFont"/>
          <w:rFonts w:eastAsia="Times New Roman" w:cs="Arial"/>
          <w:lang w:val="pl-PL"/>
        </w:rPr>
        <w:t>konstrukcji nawierzchni.</w:t>
      </w:r>
    </w:p>
    <w:p w:rsidR="00B77F00" w:rsidRDefault="00865FA3">
      <w:pPr>
        <w:pStyle w:val="Standard"/>
        <w:jc w:val="both"/>
      </w:pPr>
      <w:r>
        <w:rPr>
          <w:rStyle w:val="WW-DefaultParagraphFont"/>
          <w:rFonts w:eastAsia="Times New Roman" w:cs="Arial"/>
          <w:spacing w:val="9"/>
          <w:lang w:val="pl-PL"/>
        </w:rPr>
        <w:t xml:space="preserve">1.4.27. Podłoże nawierzchni - grunt rodzimy lub nasypowy, leżący pod nawierzchnią do głębokości </w:t>
      </w:r>
      <w:r>
        <w:rPr>
          <w:rStyle w:val="WW-DefaultParagraphFont"/>
          <w:rFonts w:eastAsia="Times New Roman" w:cs="Arial"/>
          <w:lang w:val="pl-PL"/>
        </w:rPr>
        <w:t>przemarzania.</w:t>
      </w:r>
    </w:p>
    <w:p w:rsidR="00B77F00" w:rsidRDefault="00865FA3">
      <w:pPr>
        <w:pStyle w:val="Standard"/>
        <w:jc w:val="both"/>
      </w:pPr>
      <w:r>
        <w:rPr>
          <w:rStyle w:val="WW-DefaultParagraphFont"/>
          <w:rFonts w:eastAsia="Times New Roman" w:cs="Arial"/>
          <w:lang w:val="pl-PL"/>
        </w:rPr>
        <w:t>1.4.28. Podłoże ulepszone nawierzchni - górna warstwa podłoża, leżąca bezpośrednio pod nawierzchnią, ulepszona w celu</w:t>
      </w:r>
      <w:r>
        <w:rPr>
          <w:rStyle w:val="WW-DefaultParagraphFont"/>
          <w:rFonts w:eastAsia="Times New Roman" w:cs="Arial"/>
          <w:lang w:val="pl-PL"/>
        </w:rPr>
        <w:t xml:space="preserve"> umożliwienia przejęcia ruchu budowlanego i właściwego wykonania nawierzchni.</w:t>
      </w:r>
    </w:p>
    <w:p w:rsidR="00B77F00" w:rsidRDefault="00865FA3">
      <w:pPr>
        <w:pStyle w:val="Standard"/>
        <w:jc w:val="both"/>
      </w:pPr>
      <w:r>
        <w:rPr>
          <w:rStyle w:val="WW-DefaultParagraphFont"/>
          <w:rFonts w:eastAsia="Times New Roman" w:cs="Arial"/>
          <w:lang w:val="pl-PL"/>
        </w:rPr>
        <w:t xml:space="preserve">1.4.29. Polecenie Inżyniera/Kierownika projektu - wszelkie polecenia przekazane Wykonawcy przez </w:t>
      </w:r>
      <w:r>
        <w:rPr>
          <w:rStyle w:val="WW-DefaultParagraphFont"/>
          <w:rFonts w:eastAsia="Times New Roman" w:cs="Arial"/>
          <w:spacing w:val="7"/>
          <w:lang w:val="pl-PL"/>
        </w:rPr>
        <w:t>Inżyniera/Kierownika projektu, w formie pisemnej, dotyczące sposobu realizacji rob</w:t>
      </w:r>
      <w:r>
        <w:rPr>
          <w:rStyle w:val="WW-DefaultParagraphFont"/>
          <w:rFonts w:eastAsia="Times New Roman" w:cs="Arial"/>
          <w:spacing w:val="7"/>
          <w:lang w:val="pl-PL"/>
        </w:rPr>
        <w:t xml:space="preserve">ót lub innych spraw </w:t>
      </w:r>
      <w:r>
        <w:rPr>
          <w:rStyle w:val="WW-DefaultParagraphFont"/>
          <w:rFonts w:eastAsia="Times New Roman" w:cs="Arial"/>
          <w:lang w:val="pl-PL"/>
        </w:rPr>
        <w:t>związanych z prowadzeniem budowy.</w:t>
      </w:r>
    </w:p>
    <w:p w:rsidR="00B77F00" w:rsidRDefault="00865FA3">
      <w:pPr>
        <w:pStyle w:val="Standard"/>
        <w:jc w:val="both"/>
      </w:pPr>
      <w:r>
        <w:rPr>
          <w:rStyle w:val="WW-DefaultParagraphFont"/>
          <w:rFonts w:eastAsia="Times New Roman" w:cs="Arial"/>
          <w:lang w:val="pl-PL"/>
        </w:rPr>
        <w:t>1.4.30. Projektant - uprawniona osoba prawna lub fizyczna będąca autorem dokumentacji projektowej.</w:t>
      </w:r>
    </w:p>
    <w:p w:rsidR="00B77F00" w:rsidRDefault="00865FA3">
      <w:pPr>
        <w:pStyle w:val="Standard"/>
        <w:jc w:val="both"/>
      </w:pPr>
      <w:r>
        <w:rPr>
          <w:rStyle w:val="WW-DefaultParagraphFont"/>
          <w:rFonts w:eastAsia="Times New Roman" w:cs="Arial"/>
          <w:lang w:val="pl-PL"/>
        </w:rPr>
        <w:t xml:space="preserve">1.4.31. Przedsięwzięcie budowlane - kompleksowa realizacja nowego połączenia drogowego lub całkowita </w:t>
      </w:r>
      <w:r>
        <w:rPr>
          <w:rStyle w:val="WW-DefaultParagraphFont"/>
          <w:rFonts w:eastAsia="Times New Roman" w:cs="Arial"/>
          <w:spacing w:val="8"/>
          <w:lang w:val="pl-PL"/>
        </w:rPr>
        <w:t>mo</w:t>
      </w:r>
      <w:r>
        <w:rPr>
          <w:rStyle w:val="WW-DefaultParagraphFont"/>
          <w:rFonts w:eastAsia="Times New Roman" w:cs="Arial"/>
          <w:spacing w:val="8"/>
          <w:lang w:val="pl-PL"/>
        </w:rPr>
        <w:t xml:space="preserve">dernizacja/przebudowa (zmiana parametrów geometrycznych trasy w planie i przekroju podłużnym) </w:t>
      </w:r>
      <w:r>
        <w:rPr>
          <w:rStyle w:val="WW-DefaultParagraphFont"/>
          <w:rFonts w:eastAsia="Times New Roman" w:cs="Arial"/>
          <w:lang w:val="pl-PL"/>
        </w:rPr>
        <w:t>istniejącego połączenia.</w:t>
      </w:r>
    </w:p>
    <w:p w:rsidR="00B77F00" w:rsidRDefault="00865FA3">
      <w:pPr>
        <w:pStyle w:val="Standard"/>
        <w:jc w:val="both"/>
      </w:pPr>
      <w:r>
        <w:rPr>
          <w:rStyle w:val="WW-DefaultParagraphFont"/>
          <w:rFonts w:eastAsia="Times New Roman" w:cs="Arial"/>
          <w:lang w:val="pl-PL"/>
        </w:rPr>
        <w:t xml:space="preserve">1.4.32. Przepust — budowla o przekroju poprzecznym zamkniętym, przeznaczona do przeprowadzenia cieku, szlaku wędrówek zwierząt dziko </w:t>
      </w:r>
      <w:r>
        <w:rPr>
          <w:rStyle w:val="WW-DefaultParagraphFont"/>
          <w:rFonts w:eastAsia="Times New Roman" w:cs="Arial"/>
          <w:lang w:val="pl-PL"/>
        </w:rPr>
        <w:t>żyjących lub urządzeń technicznych przez korpus drogowy.</w:t>
      </w:r>
    </w:p>
    <w:p w:rsidR="00B77F00" w:rsidRDefault="00865FA3">
      <w:pPr>
        <w:pStyle w:val="Standard"/>
        <w:jc w:val="both"/>
      </w:pPr>
      <w:r>
        <w:rPr>
          <w:rStyle w:val="WW-DefaultParagraphFont"/>
          <w:rFonts w:eastAsia="Times New Roman" w:cs="Arial"/>
          <w:lang w:val="pl-PL"/>
        </w:rPr>
        <w:t>1.4.33. Przeszkoda naturalna - element środowiska naturalnego, stanowiący utrudnienie w realizacji zadania budowlanego, na przykład dolina, bagno, rzeka, szlak wędrówek dzikich zwierząt itp.</w:t>
      </w:r>
    </w:p>
    <w:p w:rsidR="00B77F00" w:rsidRDefault="00865FA3">
      <w:pPr>
        <w:pStyle w:val="Standard"/>
        <w:jc w:val="both"/>
      </w:pPr>
      <w:r>
        <w:rPr>
          <w:rStyle w:val="WW-DefaultParagraphFont"/>
          <w:rFonts w:eastAsia="Times New Roman" w:cs="Arial"/>
          <w:lang w:val="pl-PL"/>
        </w:rPr>
        <w:t xml:space="preserve">1.4.34. </w:t>
      </w:r>
      <w:r>
        <w:rPr>
          <w:rStyle w:val="WW-DefaultParagraphFont"/>
          <w:rFonts w:eastAsia="Times New Roman" w:cs="Arial"/>
          <w:lang w:val="pl-PL"/>
        </w:rPr>
        <w:t>Przeszkoda sztuczna - dzieło ludzkie, stanowiące utrudnienie w realizacji zadania budowlanego, na przykład droga, kolej, rurociąg, kanał, ciąg pieszy lub rowerowy itp.</w:t>
      </w:r>
    </w:p>
    <w:p w:rsidR="00B77F00" w:rsidRDefault="00865FA3">
      <w:pPr>
        <w:pStyle w:val="Standard"/>
        <w:jc w:val="both"/>
      </w:pPr>
      <w:r>
        <w:rPr>
          <w:rStyle w:val="WW-DefaultParagraphFont"/>
          <w:rFonts w:eastAsia="Times New Roman" w:cs="Arial"/>
          <w:lang w:val="pl-PL"/>
        </w:rPr>
        <w:t>1.4.35. Przetargowa dokumentacja projektowa - część dokumentacji projektowej, która wska</w:t>
      </w:r>
      <w:r>
        <w:rPr>
          <w:rStyle w:val="WW-DefaultParagraphFont"/>
          <w:rFonts w:eastAsia="Times New Roman" w:cs="Arial"/>
          <w:lang w:val="pl-PL"/>
        </w:rPr>
        <w:t>zuje lokalizację, charakterystykę i wymiary obiektu będącego przedmiotem robót.</w:t>
      </w:r>
    </w:p>
    <w:p w:rsidR="00B77F00" w:rsidRDefault="00865FA3">
      <w:pPr>
        <w:pStyle w:val="Standard"/>
        <w:jc w:val="both"/>
      </w:pPr>
      <w:r>
        <w:rPr>
          <w:rStyle w:val="WW-DefaultParagraphFont"/>
          <w:rFonts w:eastAsia="Times New Roman" w:cs="Arial"/>
          <w:lang w:val="pl-PL"/>
        </w:rPr>
        <w:t>1.4.36. Przyczółek - skrajna podpora obiektu mostowego. Może składać się z pełnej ściany, słupów lub innych form konstrukcyjnych, np. skrzyń, komór.</w:t>
      </w:r>
    </w:p>
    <w:p w:rsidR="00B77F00" w:rsidRDefault="00865FA3">
      <w:pPr>
        <w:pStyle w:val="Standard"/>
        <w:jc w:val="both"/>
      </w:pPr>
      <w:r>
        <w:rPr>
          <w:rStyle w:val="WW-DefaultParagraphFont"/>
          <w:rFonts w:eastAsia="Times New Roman" w:cs="Arial"/>
          <w:lang w:val="pl-PL"/>
        </w:rPr>
        <w:t>1.4.37. Rekultywacja - robo</w:t>
      </w:r>
      <w:r>
        <w:rPr>
          <w:rStyle w:val="WW-DefaultParagraphFont"/>
          <w:rFonts w:eastAsia="Times New Roman" w:cs="Arial"/>
          <w:lang w:val="pl-PL"/>
        </w:rPr>
        <w:t>ty mające na celu uporządkowanie i przywrócenie pierwotnych funkcji terenom naruszonym w czasie realizacji zadania budowlanego.</w:t>
      </w:r>
    </w:p>
    <w:p w:rsidR="00B77F00" w:rsidRDefault="00865FA3">
      <w:pPr>
        <w:pStyle w:val="Standard"/>
        <w:jc w:val="both"/>
      </w:pPr>
      <w:r>
        <w:rPr>
          <w:rStyle w:val="WW-DefaultParagraphFont"/>
          <w:rFonts w:eastAsia="Times New Roman" w:cs="Arial"/>
          <w:lang w:val="pl-PL"/>
        </w:rPr>
        <w:t>1.4.38. Rozpiętość teoretyczna - odległość między punktami podparcia (łożyskami), przęsła mostowego.</w:t>
      </w:r>
    </w:p>
    <w:p w:rsidR="00B77F00" w:rsidRDefault="00865FA3">
      <w:pPr>
        <w:pStyle w:val="Standard"/>
        <w:jc w:val="both"/>
      </w:pPr>
      <w:r>
        <w:rPr>
          <w:rStyle w:val="WW-DefaultParagraphFont"/>
          <w:rFonts w:eastAsia="Times New Roman" w:cs="Arial"/>
          <w:lang w:val="pl-PL"/>
        </w:rPr>
        <w:lastRenderedPageBreak/>
        <w:t>1.4.39. Szerokość całkowita</w:t>
      </w:r>
      <w:r>
        <w:rPr>
          <w:rStyle w:val="WW-DefaultParagraphFont"/>
          <w:rFonts w:eastAsia="Times New Roman" w:cs="Arial"/>
          <w:lang w:val="pl-PL"/>
        </w:rPr>
        <w:t xml:space="preserve"> obiektu (mostu / wiaduktu) - odległość między zewnętrznymi krawędziami konstrukcji obiektu, mierzona w linii prostopadłej do osi podłużnej, obejmuje całkowitą szerokość konstrukcyjną ustroju niosącego.</w:t>
      </w:r>
    </w:p>
    <w:p w:rsidR="00B77F00" w:rsidRDefault="00865FA3">
      <w:pPr>
        <w:pStyle w:val="Standard"/>
        <w:jc w:val="both"/>
      </w:pPr>
      <w:r>
        <w:rPr>
          <w:rStyle w:val="WW-DefaultParagraphFont"/>
          <w:rFonts w:eastAsia="Times New Roman" w:cs="Arial"/>
          <w:lang w:val="pl-PL"/>
        </w:rPr>
        <w:t>1.4.40. Szerokość użytkowa obiektu - szerokość jezdni</w:t>
      </w:r>
      <w:r>
        <w:rPr>
          <w:rStyle w:val="WW-DefaultParagraphFont"/>
          <w:rFonts w:eastAsia="Times New Roman" w:cs="Arial"/>
          <w:lang w:val="pl-PL"/>
        </w:rPr>
        <w:t xml:space="preserve"> (nawierzchni) przeznaczona dla poszczególnych rodzajów ruchu oraz szerokość chodników mierzona w świetle poręczy mostowych z wyłączeniem konstrukcji przy jezdni dołem oddzielającej ruch kołowy od ruchu pieszego.</w:t>
      </w:r>
    </w:p>
    <w:p w:rsidR="00B77F00" w:rsidRDefault="00865FA3">
      <w:pPr>
        <w:pStyle w:val="Standard"/>
        <w:jc w:val="both"/>
      </w:pPr>
      <w:r>
        <w:rPr>
          <w:rStyle w:val="WW-DefaultParagraphFont"/>
          <w:rFonts w:eastAsia="Times New Roman" w:cs="Arial"/>
          <w:lang w:val="pl-PL"/>
        </w:rPr>
        <w:t>1.4.41. Ślepy kosztorys - wykaz robót z pod</w:t>
      </w:r>
      <w:r>
        <w:rPr>
          <w:rStyle w:val="WW-DefaultParagraphFont"/>
          <w:rFonts w:eastAsia="Times New Roman" w:cs="Arial"/>
          <w:lang w:val="pl-PL"/>
        </w:rPr>
        <w:t>aniem ich ilości (przedmiarem) w kolejności technologicznej ich wykonania.</w:t>
      </w:r>
    </w:p>
    <w:p w:rsidR="00B77F00" w:rsidRDefault="00865FA3">
      <w:pPr>
        <w:pStyle w:val="Standard"/>
        <w:jc w:val="both"/>
      </w:pPr>
      <w:r>
        <w:rPr>
          <w:rStyle w:val="WW-DefaultParagraphFont"/>
          <w:rFonts w:eastAsia="Times New Roman" w:cs="Arial"/>
          <w:lang w:val="pl-PL"/>
        </w:rPr>
        <w:t>1.4.42. Teren budowy - teren udostępniony przez Zamawiającego dla wykonania na nim robót oraz inne miejsca wymienione w kontrakcie jako tworzące część terenu budowy.</w:t>
      </w:r>
    </w:p>
    <w:p w:rsidR="00B77F00" w:rsidRDefault="00865FA3">
      <w:pPr>
        <w:pStyle w:val="Standard"/>
        <w:jc w:val="both"/>
      </w:pPr>
      <w:r>
        <w:rPr>
          <w:rStyle w:val="WW-DefaultParagraphFont"/>
          <w:rFonts w:eastAsia="Times New Roman" w:cs="Arial"/>
          <w:spacing w:val="4"/>
          <w:lang w:val="pl-PL"/>
        </w:rPr>
        <w:t>1.4.43. Tunel -</w:t>
      </w:r>
      <w:r>
        <w:rPr>
          <w:rStyle w:val="WW-DefaultParagraphFont"/>
          <w:rFonts w:eastAsia="Times New Roman" w:cs="Arial"/>
          <w:spacing w:val="4"/>
          <w:lang w:val="pl-PL"/>
        </w:rPr>
        <w:t xml:space="preserve"> obiekt zagłębiony poniżej poziomu terenu dla zapewnienia komunikacji drogowej i ruchu </w:t>
      </w:r>
      <w:r>
        <w:rPr>
          <w:rStyle w:val="WW-DefaultParagraphFont"/>
          <w:rFonts w:eastAsia="Times New Roman" w:cs="Arial"/>
          <w:lang w:val="pl-PL"/>
        </w:rPr>
        <w:t>pieszego.</w:t>
      </w:r>
    </w:p>
    <w:p w:rsidR="00B77F00" w:rsidRDefault="00865FA3">
      <w:pPr>
        <w:pStyle w:val="Standard"/>
        <w:jc w:val="both"/>
      </w:pPr>
      <w:r>
        <w:rPr>
          <w:rStyle w:val="WW-DefaultParagraphFont"/>
          <w:rFonts w:eastAsia="Times New Roman" w:cs="Arial"/>
          <w:spacing w:val="7"/>
          <w:lang w:val="pl-PL"/>
        </w:rPr>
        <w:t xml:space="preserve">1.4.44. Wiadukt - obiekt zbudowany nad linią kolejową lub inną drogą dla bezkolizyjnego zapewnienia </w:t>
      </w:r>
      <w:r>
        <w:rPr>
          <w:rStyle w:val="WW-DefaultParagraphFont"/>
          <w:rFonts w:eastAsia="Times New Roman" w:cs="Arial"/>
          <w:lang w:val="pl-PL"/>
        </w:rPr>
        <w:t>komunikacji drogowej i ruchu pieszego.</w:t>
      </w:r>
    </w:p>
    <w:p w:rsidR="00B77F00" w:rsidRDefault="00865FA3">
      <w:pPr>
        <w:pStyle w:val="Standard"/>
        <w:jc w:val="both"/>
      </w:pPr>
      <w:r>
        <w:rPr>
          <w:rStyle w:val="WW-DefaultParagraphFont"/>
          <w:rFonts w:eastAsia="Times New Roman" w:cs="Arial"/>
          <w:spacing w:val="-2"/>
          <w:lang w:val="pl-PL"/>
        </w:rPr>
        <w:t xml:space="preserve">1.4.45. Zadanie </w:t>
      </w:r>
      <w:r>
        <w:rPr>
          <w:rStyle w:val="WW-DefaultParagraphFont"/>
          <w:rFonts w:eastAsia="Times New Roman" w:cs="Arial"/>
          <w:spacing w:val="-2"/>
          <w:lang w:val="pl-PL"/>
        </w:rPr>
        <w:t xml:space="preserve">budowlane - część przedsięwzięcia budowlanego, stanowiąca odrębną całość konstrukcyjną lub </w:t>
      </w:r>
      <w:r>
        <w:rPr>
          <w:rStyle w:val="WW-DefaultParagraphFont"/>
          <w:rFonts w:eastAsia="Times New Roman" w:cs="Arial"/>
          <w:lang w:val="pl-PL"/>
        </w:rPr>
        <w:t xml:space="preserve">technologiczną, zdolną do samodzielnego pełnienia funkcji techniczno-użytkowych. Zadanie może polegać na </w:t>
      </w:r>
      <w:r>
        <w:rPr>
          <w:rStyle w:val="WW-DefaultParagraphFont"/>
          <w:rFonts w:eastAsia="Times New Roman" w:cs="Arial"/>
          <w:spacing w:val="6"/>
          <w:lang w:val="pl-PL"/>
        </w:rPr>
        <w:t>wykonywaniu robót związanych z budową, modernizacją/ przebud</w:t>
      </w:r>
      <w:r>
        <w:rPr>
          <w:rStyle w:val="WW-DefaultParagraphFont"/>
          <w:rFonts w:eastAsia="Times New Roman" w:cs="Arial"/>
          <w:spacing w:val="6"/>
          <w:lang w:val="pl-PL"/>
        </w:rPr>
        <w:t xml:space="preserve">ową, utrzymaniem oraz ochroną budowli </w:t>
      </w:r>
      <w:r>
        <w:rPr>
          <w:rStyle w:val="WW-DefaultParagraphFont"/>
          <w:rFonts w:eastAsia="Times New Roman" w:cs="Arial"/>
          <w:lang w:val="pl-PL"/>
        </w:rPr>
        <w:t>drogowej lub jej elementu.</w:t>
      </w:r>
    </w:p>
    <w:p w:rsidR="00B77F00" w:rsidRDefault="00865FA3">
      <w:pPr>
        <w:pStyle w:val="Standard"/>
        <w:jc w:val="both"/>
      </w:pPr>
      <w:r>
        <w:rPr>
          <w:rStyle w:val="CharacterStyle1"/>
          <w:rFonts w:cs="Arial"/>
          <w:b/>
          <w:bCs/>
          <w:lang w:val="pl-PL"/>
        </w:rPr>
        <w:t>1.5. Ogólne wymagania dotycz</w:t>
      </w:r>
      <w:r>
        <w:rPr>
          <w:rStyle w:val="CharacterStyle1"/>
          <w:rFonts w:eastAsia="Times New Roman" w:cs="Arial"/>
          <w:b/>
          <w:bCs/>
          <w:lang w:val="pl-PL"/>
        </w:rPr>
        <w:t>ące robót</w:t>
      </w:r>
    </w:p>
    <w:p w:rsidR="00B77F00" w:rsidRDefault="00865FA3">
      <w:pPr>
        <w:pStyle w:val="Standard"/>
        <w:jc w:val="both"/>
      </w:pPr>
      <w:r>
        <w:rPr>
          <w:rStyle w:val="WW-DefaultParagraphFont"/>
          <w:rFonts w:eastAsia="Times New Roman" w:cs="Arial"/>
          <w:lang w:val="pl-PL"/>
        </w:rPr>
        <w:t>Wykonawca jest odpowiedzialny za jakość wykonanych robót, bezpieczeństwo wszelkich czynności na terenie budowy, metody użyte przy budowie oraz za ich zgo</w:t>
      </w:r>
      <w:r>
        <w:rPr>
          <w:rStyle w:val="WW-DefaultParagraphFont"/>
          <w:rFonts w:eastAsia="Times New Roman" w:cs="Arial"/>
          <w:lang w:val="pl-PL"/>
        </w:rPr>
        <w:t>dność z dokumentacją projektową, STWIORB i poleceniami Inżyniera/Kierownika projektu.</w:t>
      </w:r>
    </w:p>
    <w:p w:rsidR="00B77F00" w:rsidRDefault="00865FA3">
      <w:pPr>
        <w:pStyle w:val="Standard"/>
        <w:jc w:val="both"/>
      </w:pPr>
      <w:r>
        <w:rPr>
          <w:rStyle w:val="WW-DefaultParagraphFont"/>
          <w:rFonts w:eastAsia="Times New Roman" w:cs="Arial"/>
          <w:lang w:val="pl-PL"/>
        </w:rPr>
        <w:t>1.5.1. Przekazanie terenu budowy</w:t>
      </w:r>
    </w:p>
    <w:p w:rsidR="00B77F00" w:rsidRDefault="00865FA3">
      <w:pPr>
        <w:pStyle w:val="Standard"/>
        <w:jc w:val="both"/>
      </w:pPr>
      <w:r>
        <w:rPr>
          <w:rStyle w:val="WW-DefaultParagraphFont"/>
          <w:rFonts w:eastAsia="Times New Roman" w:cs="Arial"/>
          <w:lang w:val="pl-PL"/>
        </w:rPr>
        <w:t>Zamawiający w terminie określonym w dokumentach kontraktowych przekaże Wykonawcy teren budowy wraz ze wszystkimi wymaganymi uzgodnieniami</w:t>
      </w:r>
      <w:r>
        <w:rPr>
          <w:rStyle w:val="WW-DefaultParagraphFont"/>
          <w:rFonts w:eastAsia="Times New Roman" w:cs="Arial"/>
          <w:lang w:val="pl-PL"/>
        </w:rPr>
        <w:t xml:space="preserve"> prawnymi i administracyjnymi, lokalizację i współrzędne punktów głównych trasy oraz reperów, dziennik budowy oraz dwa egzemplarze dokumentacji projektowej i dwa komplety STWIORB.</w:t>
      </w:r>
    </w:p>
    <w:p w:rsidR="00B77F00" w:rsidRDefault="00865FA3">
      <w:pPr>
        <w:pStyle w:val="Standard"/>
        <w:jc w:val="both"/>
      </w:pPr>
      <w:r>
        <w:rPr>
          <w:rStyle w:val="WW-DefaultParagraphFont"/>
          <w:rFonts w:eastAsia="Times New Roman" w:cs="Arial"/>
          <w:lang w:val="pl-PL"/>
        </w:rPr>
        <w:t>Na Wykonawcy spoczywa odpowiedzialność za ochronę przekazanych mu punktów po</w:t>
      </w:r>
      <w:r>
        <w:rPr>
          <w:rStyle w:val="WW-DefaultParagraphFont"/>
          <w:rFonts w:eastAsia="Times New Roman" w:cs="Arial"/>
          <w:lang w:val="pl-PL"/>
        </w:rPr>
        <w:t>miarowych do chwili odbioru ostatecznego robót. Uszkodzone lub zniszczone znaki geodezyjne Wykonawca odtworzy i utrwali na własny koszt.</w:t>
      </w:r>
    </w:p>
    <w:p w:rsidR="00B77F00" w:rsidRDefault="00865FA3">
      <w:pPr>
        <w:pStyle w:val="Standard"/>
        <w:jc w:val="both"/>
      </w:pPr>
      <w:r>
        <w:rPr>
          <w:rStyle w:val="WW-DefaultParagraphFont"/>
          <w:rFonts w:eastAsia="Times New Roman" w:cs="Arial"/>
          <w:lang w:val="pl-PL"/>
        </w:rPr>
        <w:t>1.5.2. Dokumentacja projektowa</w:t>
      </w:r>
    </w:p>
    <w:p w:rsidR="00B77F00" w:rsidRDefault="00865FA3">
      <w:pPr>
        <w:pStyle w:val="Standard"/>
        <w:jc w:val="both"/>
      </w:pPr>
      <w:r>
        <w:rPr>
          <w:rStyle w:val="WW-DefaultParagraphFont"/>
          <w:rFonts w:eastAsia="Times New Roman" w:cs="Arial"/>
          <w:lang w:val="pl-PL"/>
        </w:rPr>
        <w:t>Dokumentacja projektowa będzie zawierać rysunki, obliczenia i dokumenty, zgodne z wykaze</w:t>
      </w:r>
      <w:r>
        <w:rPr>
          <w:rStyle w:val="WW-DefaultParagraphFont"/>
          <w:rFonts w:eastAsia="Times New Roman" w:cs="Arial"/>
          <w:lang w:val="pl-PL"/>
        </w:rPr>
        <w:t>m podanym w szczegółowych warunkach umowy, uwzględniającym podział na dokumentację projektową:</w:t>
      </w:r>
    </w:p>
    <w:p w:rsidR="00B77F00" w:rsidRDefault="00865FA3">
      <w:pPr>
        <w:pStyle w:val="Standard"/>
        <w:numPr>
          <w:ilvl w:val="0"/>
          <w:numId w:val="82"/>
        </w:numPr>
        <w:jc w:val="both"/>
      </w:pPr>
      <w:r>
        <w:rPr>
          <w:rStyle w:val="WW-DefaultParagraphFont"/>
          <w:rFonts w:eastAsia="Times New Roman" w:cs="Arial"/>
          <w:lang w:val="pl-PL"/>
        </w:rPr>
        <w:t>Zamawiającego; wykaz pozycji, które stanowią przetargową dokumentację projektową oraz projektową dokumentację wykonawczą (techniczną) i zostaną przekazane Wykona</w:t>
      </w:r>
      <w:r>
        <w:rPr>
          <w:rStyle w:val="WW-DefaultParagraphFont"/>
          <w:rFonts w:eastAsia="Times New Roman" w:cs="Arial"/>
          <w:lang w:val="pl-PL"/>
        </w:rPr>
        <w:t>wcy,</w:t>
      </w:r>
    </w:p>
    <w:p w:rsidR="00B77F00" w:rsidRDefault="00865FA3">
      <w:pPr>
        <w:pStyle w:val="Standard"/>
        <w:numPr>
          <w:ilvl w:val="0"/>
          <w:numId w:val="16"/>
        </w:numPr>
        <w:jc w:val="both"/>
      </w:pPr>
      <w:r>
        <w:rPr>
          <w:rStyle w:val="WW-DefaultParagraphFont"/>
          <w:rFonts w:eastAsia="Times New Roman" w:cs="Arial"/>
          <w:lang w:val="pl-PL"/>
        </w:rPr>
        <w:t>Wykonawcy; wykaz zawierający spis dokumentacji projektowej, którą Wykonawca opracuje w ramach ceny kontraktowej,</w:t>
      </w:r>
    </w:p>
    <w:p w:rsidR="00B77F00" w:rsidRDefault="00865FA3">
      <w:pPr>
        <w:pStyle w:val="Standard"/>
        <w:numPr>
          <w:ilvl w:val="0"/>
          <w:numId w:val="16"/>
        </w:numPr>
        <w:jc w:val="both"/>
      </w:pPr>
      <w:r>
        <w:rPr>
          <w:rStyle w:val="WW-DefaultParagraphFont"/>
          <w:rFonts w:eastAsia="Times New Roman" w:cs="Arial"/>
          <w:lang w:val="pl-PL"/>
        </w:rPr>
        <w:t>Wykonawca po zakończeniu robót opracuje mapę powykonawczą i uzgodni we właściwym ośrodku geodezyjnym.</w:t>
      </w:r>
    </w:p>
    <w:p w:rsidR="00B77F00" w:rsidRDefault="00865FA3">
      <w:pPr>
        <w:pStyle w:val="Standard"/>
        <w:jc w:val="both"/>
      </w:pPr>
      <w:r>
        <w:rPr>
          <w:rStyle w:val="WW-DefaultParagraphFont"/>
          <w:rFonts w:eastAsia="Times New Roman" w:cs="Arial"/>
          <w:lang w:val="pl-PL"/>
        </w:rPr>
        <w:t>1.5.3. Zgodność robót z dokumentacją</w:t>
      </w:r>
      <w:r>
        <w:rPr>
          <w:rStyle w:val="WW-DefaultParagraphFont"/>
          <w:rFonts w:eastAsia="Times New Roman" w:cs="Arial"/>
          <w:lang w:val="pl-PL"/>
        </w:rPr>
        <w:t xml:space="preserve"> projektową i STWIORB</w:t>
      </w:r>
    </w:p>
    <w:p w:rsidR="00B77F00" w:rsidRDefault="00865FA3">
      <w:pPr>
        <w:pStyle w:val="Standard"/>
        <w:jc w:val="both"/>
      </w:pPr>
      <w:r>
        <w:rPr>
          <w:rStyle w:val="WW-DefaultParagraphFont"/>
          <w:rFonts w:eastAsia="Times New Roman" w:cs="Arial"/>
          <w:lang w:val="pl-PL"/>
        </w:rPr>
        <w:t>Dokumentacja projektowa, STWIORB i wszystkie dodatkowe dokumenty przekazane Wykonawcy przez Inżyniera/Kierownika projektu stanowią część umowy, a wymagania określone w choćby jednym z nich są obowiązujące dla Wykonawcy tak jakby zawar</w:t>
      </w:r>
      <w:r>
        <w:rPr>
          <w:rStyle w:val="WW-DefaultParagraphFont"/>
          <w:rFonts w:eastAsia="Times New Roman" w:cs="Arial"/>
          <w:lang w:val="pl-PL"/>
        </w:rPr>
        <w:t>te były w całej dokumentacji.</w:t>
      </w:r>
    </w:p>
    <w:p w:rsidR="00B77F00" w:rsidRDefault="00865FA3">
      <w:pPr>
        <w:pStyle w:val="Standard"/>
        <w:jc w:val="both"/>
      </w:pPr>
      <w:r>
        <w:rPr>
          <w:rStyle w:val="WW-DefaultParagraphFont"/>
          <w:rFonts w:eastAsia="Times New Roman" w:cs="Arial"/>
          <w:lang w:val="pl-PL"/>
        </w:rPr>
        <w:t>W przypadku rozbieżności w ustaleniach poszczególnych dokumentów obowiązuje kolejność ich ważności wymieniona w „Kontraktowych warunkach ogólnych" („Ogólnych warunkach umowy").</w:t>
      </w:r>
    </w:p>
    <w:p w:rsidR="00B77F00" w:rsidRDefault="00865FA3">
      <w:pPr>
        <w:pStyle w:val="Standard"/>
        <w:jc w:val="both"/>
      </w:pPr>
      <w:r>
        <w:rPr>
          <w:rStyle w:val="WW-DefaultParagraphFont"/>
          <w:rFonts w:eastAsia="Times New Roman" w:cs="Arial"/>
          <w:lang w:val="pl-PL"/>
        </w:rPr>
        <w:t xml:space="preserve">Wykonawca nie może wykorzystywać błędów lub </w:t>
      </w:r>
      <w:r>
        <w:rPr>
          <w:rStyle w:val="WW-DefaultParagraphFont"/>
          <w:rFonts w:eastAsia="Times New Roman" w:cs="Arial"/>
          <w:lang w:val="pl-PL"/>
        </w:rPr>
        <w:t>opuszczeń w dokumentach kontraktowych, a o ich wykryciu winien natychmiast powiadomić Inżyniera/Kierownika projektu, który podejmie decyzję o wprowadzeniu odpowiednich zmian i poprawek.</w:t>
      </w:r>
    </w:p>
    <w:p w:rsidR="00B77F00" w:rsidRDefault="00865FA3">
      <w:pPr>
        <w:pStyle w:val="Standard"/>
        <w:jc w:val="both"/>
      </w:pPr>
      <w:r>
        <w:rPr>
          <w:rStyle w:val="WW-DefaultParagraphFont"/>
          <w:rFonts w:eastAsia="Times New Roman" w:cs="Arial"/>
          <w:lang w:val="pl-PL"/>
        </w:rPr>
        <w:t>W przypadku rozbieżności, wymiary podane na piśmie są ważniejsze od wy</w:t>
      </w:r>
      <w:r>
        <w:rPr>
          <w:rStyle w:val="WW-DefaultParagraphFont"/>
          <w:rFonts w:eastAsia="Times New Roman" w:cs="Arial"/>
          <w:lang w:val="pl-PL"/>
        </w:rPr>
        <w:t>miarów określonych na podstawie odczytu ze skali rysunku.</w:t>
      </w:r>
    </w:p>
    <w:p w:rsidR="00B77F00" w:rsidRDefault="00865FA3">
      <w:pPr>
        <w:pStyle w:val="Standard"/>
        <w:jc w:val="both"/>
      </w:pPr>
      <w:r>
        <w:rPr>
          <w:rStyle w:val="WW-DefaultParagraphFont"/>
          <w:rFonts w:eastAsia="Times New Roman" w:cs="Arial"/>
          <w:lang w:val="pl-PL"/>
        </w:rPr>
        <w:t>Wszystkie wykonane roboty i dostarczone materiały będą zgodne z dokumentacją projektową i STWIORB.</w:t>
      </w:r>
    </w:p>
    <w:p w:rsidR="00B77F00" w:rsidRDefault="00865FA3">
      <w:pPr>
        <w:pStyle w:val="Standard"/>
        <w:jc w:val="both"/>
      </w:pPr>
      <w:r>
        <w:rPr>
          <w:rStyle w:val="WW-DefaultParagraphFont"/>
          <w:rFonts w:eastAsia="Times New Roman" w:cs="Arial"/>
          <w:lang w:val="pl-PL"/>
        </w:rPr>
        <w:t>Dane określone w dokumentacji projektowej i w STWIORB będą uważane za wartości docelowe, od których</w:t>
      </w:r>
      <w:r>
        <w:rPr>
          <w:rStyle w:val="WW-DefaultParagraphFont"/>
          <w:rFonts w:eastAsia="Times New Roman" w:cs="Arial"/>
          <w:lang w:val="pl-PL"/>
        </w:rPr>
        <w:t xml:space="preserve"> dopuszczalne są odchylenia w ramach określonego przedziału tolerancji. Cechy materiałów i elementów budowli muszą wykazywać zgodność z określonymi wymaganiami, a rozrzuty tych cech nie mogą przekraczać dopuszczalnego przedziału tolerancji.</w:t>
      </w:r>
    </w:p>
    <w:p w:rsidR="00B77F00" w:rsidRDefault="00865FA3">
      <w:pPr>
        <w:pStyle w:val="Standard"/>
        <w:jc w:val="both"/>
      </w:pPr>
      <w:r>
        <w:rPr>
          <w:rStyle w:val="WW-DefaultParagraphFont"/>
          <w:rFonts w:eastAsia="Times New Roman" w:cs="Arial"/>
          <w:lang w:val="pl-PL"/>
        </w:rPr>
        <w:t>W przypadku, gd</w:t>
      </w:r>
      <w:r>
        <w:rPr>
          <w:rStyle w:val="WW-DefaultParagraphFont"/>
          <w:rFonts w:eastAsia="Times New Roman" w:cs="Arial"/>
          <w:lang w:val="pl-PL"/>
        </w:rPr>
        <w:t>y materiały lub roboty nie będą w pełni zgodne z dokumentacją projektową lub STWIORB i wpłynie to na niezadowalającą jakość elementu budowli, to takie materiały zostaną zastąpione innymi, a elementy budowli rozebrane i wykonane ponownie na koszt Wykonawcy.</w:t>
      </w:r>
    </w:p>
    <w:p w:rsidR="00B77F00" w:rsidRDefault="00865FA3">
      <w:pPr>
        <w:pStyle w:val="Standard"/>
        <w:jc w:val="both"/>
      </w:pPr>
      <w:r>
        <w:rPr>
          <w:rStyle w:val="WW-DefaultParagraphFont"/>
          <w:rFonts w:eastAsia="Times New Roman" w:cs="Arial"/>
          <w:lang w:val="pl-PL"/>
        </w:rPr>
        <w:lastRenderedPageBreak/>
        <w:t>1.5.4. Zabezpieczenie terenu budowy</w:t>
      </w:r>
    </w:p>
    <w:p w:rsidR="00B77F00" w:rsidRDefault="00865FA3">
      <w:pPr>
        <w:pStyle w:val="Standard"/>
        <w:numPr>
          <w:ilvl w:val="0"/>
          <w:numId w:val="83"/>
        </w:numPr>
        <w:ind w:left="15" w:hanging="15"/>
        <w:jc w:val="both"/>
      </w:pPr>
      <w:r>
        <w:rPr>
          <w:rStyle w:val="WW-DefaultParagraphFont"/>
          <w:rFonts w:eastAsia="Times New Roman" w:cs="Arial"/>
          <w:lang w:val="pl-PL"/>
        </w:rPr>
        <w:t>Roboty modernizacyjne/ przebudowa i remontowe („pod ruchem")</w:t>
      </w:r>
    </w:p>
    <w:p w:rsidR="00B77F00" w:rsidRDefault="00865FA3">
      <w:pPr>
        <w:pStyle w:val="Standard"/>
        <w:jc w:val="both"/>
      </w:pPr>
      <w:r>
        <w:rPr>
          <w:rStyle w:val="WW-DefaultParagraphFont"/>
          <w:rFonts w:eastAsia="Times New Roman" w:cs="Arial"/>
          <w:lang w:val="pl-PL"/>
        </w:rPr>
        <w:t>Wykonawca jest zobowiązany do utrzymania ruchu publicznego oraz utrzymania istniejących obiektów (jezdnie, ścieżki rowerowe, ciągi piesze, znaki drogowe, bari</w:t>
      </w:r>
      <w:r>
        <w:rPr>
          <w:rStyle w:val="WW-DefaultParagraphFont"/>
          <w:rFonts w:eastAsia="Times New Roman" w:cs="Arial"/>
          <w:lang w:val="pl-PL"/>
        </w:rPr>
        <w:t>ery ochronne, urządzenia odwodnienia itp.) na terenie budowy, w okresie trwania realizacji kontraktu, aż do zakończenia i odbioru ostatecznego robót.</w:t>
      </w:r>
    </w:p>
    <w:p w:rsidR="00B77F00" w:rsidRDefault="00865FA3">
      <w:pPr>
        <w:pStyle w:val="Standard"/>
        <w:jc w:val="both"/>
      </w:pPr>
      <w:r>
        <w:rPr>
          <w:rStyle w:val="WW-DefaultParagraphFont"/>
          <w:rFonts w:eastAsia="Times New Roman" w:cs="Arial"/>
          <w:lang w:val="pl-PL"/>
        </w:rPr>
        <w:t>Przed przystąpieniem do robót Wykonawca przedstawi Inżynierowi/Kierownikowi projektu do zatwierdzenia, uzg</w:t>
      </w:r>
      <w:r>
        <w:rPr>
          <w:rStyle w:val="WW-DefaultParagraphFont"/>
          <w:rFonts w:eastAsia="Times New Roman" w:cs="Arial"/>
          <w:lang w:val="pl-PL"/>
        </w:rPr>
        <w:t>odniony z odpowiednim zarządem drogi i organem zarządzającym ruchem, projekt organizacji ruchu i zabezpieczenia robót w okresie trwania budowy. W zależności od potrzeb i postępu robót projekt organizacji ruchu powinien być na bieżąco aktualizowany przez Wy</w:t>
      </w:r>
      <w:r>
        <w:rPr>
          <w:rStyle w:val="WW-DefaultParagraphFont"/>
          <w:rFonts w:eastAsia="Times New Roman" w:cs="Arial"/>
          <w:lang w:val="pl-PL"/>
        </w:rPr>
        <w:t>konawcę. Każda zmiana, w stosunku do zatwierdzonego projektu organizacji ruchu, wymaga każdorazowo ponownego zatwierdzenia projektu.</w:t>
      </w:r>
    </w:p>
    <w:p w:rsidR="00B77F00" w:rsidRDefault="00865FA3">
      <w:pPr>
        <w:pStyle w:val="Standard"/>
        <w:jc w:val="both"/>
      </w:pPr>
      <w:r>
        <w:rPr>
          <w:rStyle w:val="WW-DefaultParagraphFont"/>
          <w:rFonts w:eastAsia="Times New Roman" w:cs="Arial"/>
          <w:lang w:val="pl-PL"/>
        </w:rPr>
        <w:t>W czasie wykonywania robót Wykonawca dostarczy, zainstaluje i będzie obsługiwał wszystkie tymczasowe urządzenia zabezpiecza</w:t>
      </w:r>
      <w:r>
        <w:rPr>
          <w:rStyle w:val="WW-DefaultParagraphFont"/>
          <w:rFonts w:eastAsia="Times New Roman" w:cs="Arial"/>
          <w:lang w:val="pl-PL"/>
        </w:rPr>
        <w:t>jące takie jak: zapory, światła ostrzegawcze, sygnały, itp., zapewniając w ten sposób bezpieczeństwo pojazdów i pieszych.</w:t>
      </w:r>
    </w:p>
    <w:p w:rsidR="00B77F00" w:rsidRDefault="00865FA3">
      <w:pPr>
        <w:pStyle w:val="Standard"/>
        <w:jc w:val="both"/>
      </w:pPr>
      <w:r>
        <w:rPr>
          <w:rStyle w:val="WW-DefaultParagraphFont"/>
          <w:rFonts w:eastAsia="Times New Roman" w:cs="Arial"/>
          <w:lang w:val="pl-PL"/>
        </w:rPr>
        <w:t>Wykonawca zapewni stałe warunki widoczności w dzień i w nocy tych zapór i znaków, dla których jest to nieodzowne ze względów bezpiecze</w:t>
      </w:r>
      <w:r>
        <w:rPr>
          <w:rStyle w:val="WW-DefaultParagraphFont"/>
          <w:rFonts w:eastAsia="Times New Roman" w:cs="Arial"/>
          <w:lang w:val="pl-PL"/>
        </w:rPr>
        <w:t>ństwa.</w:t>
      </w:r>
    </w:p>
    <w:p w:rsidR="00B77F00" w:rsidRDefault="00865FA3">
      <w:pPr>
        <w:pStyle w:val="Standard"/>
        <w:jc w:val="both"/>
      </w:pPr>
      <w:r>
        <w:rPr>
          <w:rStyle w:val="WW-DefaultParagraphFont"/>
          <w:rFonts w:eastAsia="Times New Roman" w:cs="Arial"/>
          <w:lang w:val="pl-PL"/>
        </w:rPr>
        <w:t>Wszystkie znaki, zapory i inne urządzenia zabezpieczające będą akceptowane przez Inżyniera/Kierownika projektu.</w:t>
      </w:r>
    </w:p>
    <w:p w:rsidR="00B77F00" w:rsidRDefault="00865FA3">
      <w:pPr>
        <w:pStyle w:val="Standard"/>
        <w:jc w:val="both"/>
      </w:pPr>
      <w:r>
        <w:rPr>
          <w:rStyle w:val="WW-DefaultParagraphFont"/>
          <w:rFonts w:eastAsia="Times New Roman" w:cs="Arial"/>
          <w:lang w:val="pl-PL"/>
        </w:rPr>
        <w:t>Fakt przystąpienia do robót Wykonawca obwieści publicznie przed ich rozpoczęciem w sposób uzgodniony z Inżynierem/Kierownikiem projektu o</w:t>
      </w:r>
      <w:r>
        <w:rPr>
          <w:rStyle w:val="WW-DefaultParagraphFont"/>
          <w:rFonts w:eastAsia="Times New Roman" w:cs="Arial"/>
          <w:lang w:val="pl-PL"/>
        </w:rPr>
        <w:t>raz przez umieszczenie, w miejscach i ilościach określonych przez Inżyniera/Kierownika projektu, tablic informacyjnych, których treść będzie zatwierdzona przez Inżyniera/Kierownika projektu. Tablice informacyjne będą utrzymywane przez Wykonawcę w dobrym st</w:t>
      </w:r>
      <w:r>
        <w:rPr>
          <w:rStyle w:val="WW-DefaultParagraphFont"/>
          <w:rFonts w:eastAsia="Times New Roman" w:cs="Arial"/>
          <w:lang w:val="pl-PL"/>
        </w:rPr>
        <w:t>anie przez cały okres realizacji robót.</w:t>
      </w:r>
    </w:p>
    <w:p w:rsidR="00B77F00" w:rsidRDefault="00865FA3">
      <w:pPr>
        <w:pStyle w:val="Standard"/>
        <w:jc w:val="both"/>
      </w:pPr>
      <w:r>
        <w:rPr>
          <w:rStyle w:val="WW-DefaultParagraphFont"/>
          <w:rFonts w:eastAsia="Times New Roman" w:cs="Arial"/>
          <w:lang w:val="pl-PL"/>
        </w:rPr>
        <w:t>Koszt zabezpieczenia terenu budowy nie podlega odrębnej zapłacie i przyjmuje się, że jest włączony w cenę kontraktową.</w:t>
      </w:r>
    </w:p>
    <w:p w:rsidR="00B77F00" w:rsidRDefault="00865FA3">
      <w:pPr>
        <w:pStyle w:val="Standard"/>
        <w:numPr>
          <w:ilvl w:val="0"/>
          <w:numId w:val="17"/>
        </w:numPr>
        <w:ind w:left="15" w:hanging="15"/>
        <w:jc w:val="both"/>
      </w:pPr>
      <w:r>
        <w:rPr>
          <w:rStyle w:val="WW-DefaultParagraphFont"/>
          <w:rFonts w:eastAsia="Times New Roman" w:cs="Arial"/>
          <w:lang w:val="pl-PL"/>
        </w:rPr>
        <w:t>Roboty o charakterze inwestycyjnym</w:t>
      </w:r>
    </w:p>
    <w:p w:rsidR="00B77F00" w:rsidRDefault="00865FA3">
      <w:pPr>
        <w:pStyle w:val="Standard"/>
        <w:jc w:val="both"/>
      </w:pPr>
      <w:r>
        <w:rPr>
          <w:rStyle w:val="WW-DefaultParagraphFont"/>
          <w:rFonts w:eastAsia="Times New Roman" w:cs="Arial"/>
          <w:lang w:val="pl-PL"/>
        </w:rPr>
        <w:t>Wykonawca jest zobowiązany do zabezpieczenia terenu budowy w o</w:t>
      </w:r>
      <w:r>
        <w:rPr>
          <w:rStyle w:val="WW-DefaultParagraphFont"/>
          <w:rFonts w:eastAsia="Times New Roman" w:cs="Arial"/>
          <w:lang w:val="pl-PL"/>
        </w:rPr>
        <w:t>kresie trwania realizacji kontraktu aż do zakończenia i odbioru ostatecznego robót.</w:t>
      </w:r>
    </w:p>
    <w:p w:rsidR="00B77F00" w:rsidRDefault="00865FA3">
      <w:pPr>
        <w:pStyle w:val="Standard"/>
        <w:jc w:val="both"/>
      </w:pPr>
      <w:r>
        <w:rPr>
          <w:rStyle w:val="WW-DefaultParagraphFont"/>
          <w:rFonts w:eastAsia="Times New Roman" w:cs="Arial"/>
          <w:lang w:val="pl-PL"/>
        </w:rPr>
        <w:t>Wykonawca dostarczy, zainstaluje i będzie utrzymywać tymczasowe urządzenia zabezpieczające, w tym: ogrodzenia, poręcze, oświetlenie, sygnały i znaki ostrzegawcze oraz wszel</w:t>
      </w:r>
      <w:r>
        <w:rPr>
          <w:rStyle w:val="WW-DefaultParagraphFont"/>
          <w:rFonts w:eastAsia="Times New Roman" w:cs="Arial"/>
          <w:lang w:val="pl-PL"/>
        </w:rPr>
        <w:t>kie inne środki niezbędne do ochrony robót, wygody społeczności i innych.</w:t>
      </w:r>
    </w:p>
    <w:p w:rsidR="00B77F00" w:rsidRDefault="00865FA3">
      <w:pPr>
        <w:pStyle w:val="Standard"/>
        <w:jc w:val="both"/>
      </w:pPr>
      <w:r>
        <w:rPr>
          <w:rStyle w:val="WW-DefaultParagraphFont"/>
          <w:rFonts w:eastAsia="Times New Roman" w:cs="Arial"/>
          <w:lang w:val="pl-PL"/>
        </w:rPr>
        <w:t>W miejscach przylegających do dróg otwartych dla ruchu, Wykonawca ogrodzi lub wyraźnie oznakuje teren budowy, w sposób uzgodniony z Inżynierem/Kierownikiem projektu.</w:t>
      </w:r>
    </w:p>
    <w:p w:rsidR="00B77F00" w:rsidRDefault="00865FA3">
      <w:pPr>
        <w:pStyle w:val="Standard"/>
        <w:jc w:val="both"/>
      </w:pPr>
      <w:r>
        <w:rPr>
          <w:rStyle w:val="WW-DefaultParagraphFont"/>
          <w:rFonts w:eastAsia="Times New Roman" w:cs="Arial"/>
          <w:lang w:val="pl-PL"/>
        </w:rPr>
        <w:t>Wjazdy i wyjazdy</w:t>
      </w:r>
      <w:r>
        <w:rPr>
          <w:rStyle w:val="WW-DefaultParagraphFont"/>
          <w:rFonts w:eastAsia="Times New Roman" w:cs="Arial"/>
          <w:lang w:val="pl-PL"/>
        </w:rPr>
        <w:t xml:space="preserve"> z terenu budowy przeznaczone dla pojazdów i maszyn pracujących przy realizacji robót, Wykonawca odpowiednio oznakuje w sposób uzgodniony z Inżynierem/Kierownikiem projektu.</w:t>
      </w:r>
    </w:p>
    <w:p w:rsidR="00B77F00" w:rsidRDefault="00865FA3">
      <w:pPr>
        <w:pStyle w:val="Standard"/>
        <w:jc w:val="both"/>
      </w:pPr>
      <w:r>
        <w:rPr>
          <w:rStyle w:val="WW-DefaultParagraphFont"/>
          <w:rFonts w:eastAsia="Times New Roman" w:cs="Arial"/>
          <w:lang w:val="pl-PL"/>
        </w:rPr>
        <w:t>Fakt przystąpienia do robót Wykonawca obwieści publicznie przed ich rozpoczęciem w</w:t>
      </w:r>
      <w:r>
        <w:rPr>
          <w:rStyle w:val="WW-DefaultParagraphFont"/>
          <w:rFonts w:eastAsia="Times New Roman" w:cs="Arial"/>
          <w:lang w:val="pl-PL"/>
        </w:rPr>
        <w:t xml:space="preserve"> sposób uzgodniony z Inżynierem/Kierownikiem projektu oraz przez umieszczenie, w miejscach i ilościach określonych przez Inżyniera/Kierownika projektu, tablic informacyjnych, których treść będzie zatwierdzona przez Inżyniera/Kierownika projektu. Tablice in</w:t>
      </w:r>
      <w:r>
        <w:rPr>
          <w:rStyle w:val="WW-DefaultParagraphFont"/>
          <w:rFonts w:eastAsia="Times New Roman" w:cs="Arial"/>
          <w:lang w:val="pl-PL"/>
        </w:rPr>
        <w:t>formacyjne będą utrzymywane przez Wykonawcę w dobrym stanie przez cały okres realizacji robót.</w:t>
      </w:r>
    </w:p>
    <w:p w:rsidR="00B77F00" w:rsidRDefault="00865FA3">
      <w:pPr>
        <w:pStyle w:val="Standard"/>
        <w:jc w:val="both"/>
      </w:pPr>
      <w:r>
        <w:rPr>
          <w:rStyle w:val="WW-DefaultParagraphFont"/>
          <w:rFonts w:eastAsia="Times New Roman" w:cs="Arial"/>
          <w:lang w:val="pl-PL"/>
        </w:rPr>
        <w:t>Koszt zabezpieczenia terenu budowy nie podlega odrębnej zapłacie i przyjmuje się, że jest włączony w cenę kontraktową.</w:t>
      </w:r>
    </w:p>
    <w:p w:rsidR="00B77F00" w:rsidRDefault="00865FA3">
      <w:pPr>
        <w:pStyle w:val="Standard"/>
        <w:jc w:val="both"/>
      </w:pPr>
      <w:r>
        <w:rPr>
          <w:rStyle w:val="WW-DefaultParagraphFont"/>
          <w:rFonts w:eastAsia="Times New Roman" w:cs="Arial"/>
          <w:lang w:val="pl-PL"/>
        </w:rPr>
        <w:t>1.5.5. Ochrona środowiska w czasie wykonyw</w:t>
      </w:r>
      <w:r>
        <w:rPr>
          <w:rStyle w:val="WW-DefaultParagraphFont"/>
          <w:rFonts w:eastAsia="Times New Roman" w:cs="Arial"/>
          <w:lang w:val="pl-PL"/>
        </w:rPr>
        <w:t>ania robót</w:t>
      </w:r>
    </w:p>
    <w:p w:rsidR="00B77F00" w:rsidRDefault="00865FA3">
      <w:pPr>
        <w:pStyle w:val="Standard"/>
        <w:jc w:val="both"/>
      </w:pPr>
      <w:r>
        <w:rPr>
          <w:rStyle w:val="WW-DefaultParagraphFont"/>
          <w:rFonts w:eastAsia="Times New Roman" w:cs="Arial"/>
          <w:lang w:val="pl-PL"/>
        </w:rPr>
        <w:t>Wykonawca ma obowiązek znać i stosować w czasie prowadzenia robót wszelkie przepisy dotyczące ochrony środowiska naturalnego.</w:t>
      </w:r>
    </w:p>
    <w:p w:rsidR="00B77F00" w:rsidRDefault="00865FA3">
      <w:pPr>
        <w:pStyle w:val="Standard"/>
        <w:jc w:val="both"/>
      </w:pPr>
      <w:r>
        <w:rPr>
          <w:rStyle w:val="WW-DefaultParagraphFont"/>
          <w:rFonts w:eastAsia="Times New Roman" w:cs="Arial"/>
          <w:lang w:val="pl-PL"/>
        </w:rPr>
        <w:t>W okresie trwania budowy i wykańczania robót Wykonawca będzie:</w:t>
      </w:r>
    </w:p>
    <w:p w:rsidR="00B77F00" w:rsidRDefault="00865FA3">
      <w:pPr>
        <w:pStyle w:val="Standard"/>
        <w:numPr>
          <w:ilvl w:val="0"/>
          <w:numId w:val="84"/>
        </w:numPr>
        <w:tabs>
          <w:tab w:val="left" w:pos="288"/>
        </w:tabs>
        <w:jc w:val="both"/>
      </w:pPr>
      <w:r>
        <w:rPr>
          <w:rStyle w:val="WW-DefaultParagraphFont"/>
          <w:rFonts w:eastAsia="Times New Roman" w:cs="Arial"/>
          <w:lang w:val="pl-PL"/>
        </w:rPr>
        <w:t xml:space="preserve">utrzymywać teren budowy i wykopy w stanie bez wody </w:t>
      </w:r>
      <w:r>
        <w:rPr>
          <w:rStyle w:val="WW-DefaultParagraphFont"/>
          <w:rFonts w:eastAsia="Times New Roman" w:cs="Arial"/>
          <w:lang w:val="pl-PL"/>
        </w:rPr>
        <w:t>stojącej,</w:t>
      </w:r>
    </w:p>
    <w:p w:rsidR="00B77F00" w:rsidRDefault="00865FA3">
      <w:pPr>
        <w:pStyle w:val="Standard"/>
        <w:numPr>
          <w:ilvl w:val="0"/>
          <w:numId w:val="12"/>
        </w:numPr>
        <w:tabs>
          <w:tab w:val="left" w:pos="288"/>
        </w:tabs>
        <w:jc w:val="both"/>
      </w:pPr>
      <w:r>
        <w:rPr>
          <w:rStyle w:val="WW-DefaultParagraphFont"/>
          <w:rFonts w:eastAsia="Times New Roman" w:cs="Arial"/>
          <w:lang w:val="pl-PL"/>
        </w:rPr>
        <w:t>podejmować wszelkie uzasadnione kroki mające na celu stosowanie się do przepisów i norm dotyczących ochrony środowiska na terenie i wokół terenu budowy oraz będzie unikać uszkodzeń lub uciążliwości dla osób lub dóbr publicznych i innych, a wynika</w:t>
      </w:r>
      <w:r>
        <w:rPr>
          <w:rStyle w:val="WW-DefaultParagraphFont"/>
          <w:rFonts w:eastAsia="Times New Roman" w:cs="Arial"/>
          <w:lang w:val="pl-PL"/>
        </w:rPr>
        <w:t>jących z nadmiernego hałasu, wibracji, zanieczyszczenia lub innych przyczyn powstałych w następstwie jego sposobu działania.</w:t>
      </w:r>
    </w:p>
    <w:p w:rsidR="00B77F00" w:rsidRDefault="00865FA3">
      <w:pPr>
        <w:pStyle w:val="Standard"/>
        <w:jc w:val="both"/>
      </w:pPr>
      <w:r>
        <w:rPr>
          <w:rStyle w:val="WW-DefaultParagraphFont"/>
          <w:rFonts w:eastAsia="Times New Roman" w:cs="Arial"/>
          <w:lang w:val="pl-PL"/>
        </w:rPr>
        <w:t>Stosując się do tych wymagań będzie miał szczególny wzgląd na:</w:t>
      </w:r>
    </w:p>
    <w:p w:rsidR="00B77F00" w:rsidRDefault="00865FA3">
      <w:pPr>
        <w:pStyle w:val="Standard"/>
        <w:numPr>
          <w:ilvl w:val="0"/>
          <w:numId w:val="85"/>
        </w:numPr>
        <w:tabs>
          <w:tab w:val="left" w:pos="0"/>
        </w:tabs>
        <w:jc w:val="both"/>
      </w:pPr>
      <w:r>
        <w:rPr>
          <w:rStyle w:val="WW-DefaultParagraphFont"/>
          <w:rFonts w:eastAsia="Times New Roman" w:cs="Arial"/>
          <w:lang w:val="pl-PL"/>
        </w:rPr>
        <w:t>lokalizację baz, warsztatów, magazynów, składowisk, ukopów i dróg do</w:t>
      </w:r>
      <w:r>
        <w:rPr>
          <w:rStyle w:val="WW-DefaultParagraphFont"/>
          <w:rFonts w:eastAsia="Times New Roman" w:cs="Arial"/>
          <w:lang w:val="pl-PL"/>
        </w:rPr>
        <w:t>jazdowych,</w:t>
      </w:r>
    </w:p>
    <w:p w:rsidR="00B77F00" w:rsidRDefault="00865FA3">
      <w:pPr>
        <w:pStyle w:val="Standard"/>
        <w:numPr>
          <w:ilvl w:val="0"/>
          <w:numId w:val="13"/>
        </w:numPr>
        <w:tabs>
          <w:tab w:val="left" w:pos="0"/>
        </w:tabs>
        <w:jc w:val="both"/>
      </w:pPr>
      <w:r>
        <w:rPr>
          <w:rStyle w:val="WW-DefaultParagraphFont"/>
          <w:rFonts w:eastAsia="Times New Roman" w:cs="Arial"/>
          <w:lang w:val="pl-PL"/>
        </w:rPr>
        <w:t>środki ostrożności i zabezpieczenia przed:</w:t>
      </w:r>
    </w:p>
    <w:p w:rsidR="00B77F00" w:rsidRDefault="00865FA3">
      <w:pPr>
        <w:pStyle w:val="Standard"/>
        <w:numPr>
          <w:ilvl w:val="0"/>
          <w:numId w:val="86"/>
        </w:numPr>
        <w:tabs>
          <w:tab w:val="left" w:pos="288"/>
        </w:tabs>
        <w:jc w:val="both"/>
      </w:pPr>
      <w:r>
        <w:rPr>
          <w:rStyle w:val="WW-DefaultParagraphFont"/>
          <w:rFonts w:eastAsia="Times New Roman" w:cs="Arial"/>
          <w:lang w:val="pl-PL"/>
        </w:rPr>
        <w:t>zanieczyszczeniem zbiorników i cieków wodnych pyłami lub substancjami toksycznymi,</w:t>
      </w:r>
    </w:p>
    <w:p w:rsidR="00B77F00" w:rsidRDefault="00865FA3">
      <w:pPr>
        <w:pStyle w:val="Standard"/>
        <w:numPr>
          <w:ilvl w:val="0"/>
          <w:numId w:val="14"/>
        </w:numPr>
        <w:tabs>
          <w:tab w:val="left" w:pos="288"/>
        </w:tabs>
        <w:jc w:val="both"/>
      </w:pPr>
      <w:r>
        <w:rPr>
          <w:rStyle w:val="WW-DefaultParagraphFont"/>
          <w:rFonts w:eastAsia="Times New Roman" w:cs="Arial"/>
          <w:lang w:val="pl-PL"/>
        </w:rPr>
        <w:t>zanieczyszczeniem powietrza pyłami i gazami,</w:t>
      </w:r>
    </w:p>
    <w:p w:rsidR="00B77F00" w:rsidRDefault="00865FA3">
      <w:pPr>
        <w:pStyle w:val="Standard"/>
        <w:numPr>
          <w:ilvl w:val="0"/>
          <w:numId w:val="14"/>
        </w:numPr>
        <w:tabs>
          <w:tab w:val="left" w:pos="288"/>
        </w:tabs>
        <w:jc w:val="both"/>
      </w:pPr>
      <w:r>
        <w:rPr>
          <w:rStyle w:val="WW-DefaultParagraphFont"/>
          <w:rFonts w:eastAsia="Times New Roman" w:cs="Arial"/>
          <w:lang w:val="pl-PL"/>
        </w:rPr>
        <w:t>możliwością powstania pożaru.</w:t>
      </w:r>
    </w:p>
    <w:p w:rsidR="00B77F00" w:rsidRDefault="00865FA3">
      <w:pPr>
        <w:pStyle w:val="Standard"/>
        <w:jc w:val="both"/>
      </w:pPr>
      <w:r>
        <w:rPr>
          <w:rStyle w:val="WW-DefaultParagraphFont"/>
          <w:rFonts w:eastAsia="Times New Roman" w:cs="Arial"/>
          <w:lang w:val="pl-PL"/>
        </w:rPr>
        <w:t>1.5.6. Ochrona przeciwpożarowa</w:t>
      </w:r>
    </w:p>
    <w:p w:rsidR="00B77F00" w:rsidRDefault="00865FA3">
      <w:pPr>
        <w:pStyle w:val="Standard"/>
        <w:jc w:val="both"/>
      </w:pPr>
      <w:r>
        <w:rPr>
          <w:rStyle w:val="WW-DefaultParagraphFont"/>
          <w:rFonts w:eastAsia="Times New Roman" w:cs="Arial"/>
          <w:lang w:val="pl-PL"/>
        </w:rPr>
        <w:t>Wykonawca będ</w:t>
      </w:r>
      <w:r>
        <w:rPr>
          <w:rStyle w:val="WW-DefaultParagraphFont"/>
          <w:rFonts w:eastAsia="Times New Roman" w:cs="Arial"/>
          <w:lang w:val="pl-PL"/>
        </w:rPr>
        <w:t>zie przestrzegać przepisy ochrony przeciwpożarowej.</w:t>
      </w:r>
    </w:p>
    <w:p w:rsidR="00B77F00" w:rsidRDefault="00865FA3">
      <w:pPr>
        <w:pStyle w:val="Standard"/>
        <w:jc w:val="both"/>
      </w:pPr>
      <w:r>
        <w:rPr>
          <w:rStyle w:val="WW-DefaultParagraphFont"/>
          <w:rFonts w:eastAsia="Times New Roman" w:cs="Arial"/>
          <w:lang w:val="pl-PL"/>
        </w:rPr>
        <w:lastRenderedPageBreak/>
        <w:t>Wykonawca będzie utrzymywać, wymagany na podstawie odpowiednich przepisów sprawny sprzęt przeciwpożarowy, na terenie baz produkcyjnych, w pomieszczeniach biurowych, mieszkalnych, magazynach oraz w maszyna</w:t>
      </w:r>
      <w:r>
        <w:rPr>
          <w:rStyle w:val="WW-DefaultParagraphFont"/>
          <w:rFonts w:eastAsia="Times New Roman" w:cs="Arial"/>
          <w:lang w:val="pl-PL"/>
        </w:rPr>
        <w:t>ch i pojazdach.</w:t>
      </w:r>
    </w:p>
    <w:p w:rsidR="00B77F00" w:rsidRDefault="00865FA3">
      <w:pPr>
        <w:pStyle w:val="Standard"/>
        <w:jc w:val="both"/>
      </w:pPr>
      <w:r>
        <w:rPr>
          <w:rStyle w:val="WW-DefaultParagraphFont"/>
          <w:rFonts w:eastAsia="Times New Roman" w:cs="Arial"/>
          <w:lang w:val="pl-PL"/>
        </w:rPr>
        <w:t>Materiały łatwopalne będą składowane w sposób zgodny z odpowiednimi przepisami i zabezpieczone przed dostępem osób trzecich.</w:t>
      </w:r>
    </w:p>
    <w:p w:rsidR="00B77F00" w:rsidRDefault="00865FA3">
      <w:pPr>
        <w:pStyle w:val="Standard"/>
        <w:jc w:val="both"/>
      </w:pPr>
      <w:r>
        <w:rPr>
          <w:rStyle w:val="WW-DefaultParagraphFont"/>
          <w:rFonts w:eastAsia="Times New Roman" w:cs="Arial"/>
          <w:lang w:val="pl-PL"/>
        </w:rPr>
        <w:t>Wykonawca będzie odpowiedzialny za wszelkie straty spowodowane pożarem wywołanym jako rezultat realizacji robót alb</w:t>
      </w:r>
      <w:r>
        <w:rPr>
          <w:rStyle w:val="WW-DefaultParagraphFont"/>
          <w:rFonts w:eastAsia="Times New Roman" w:cs="Arial"/>
          <w:lang w:val="pl-PL"/>
        </w:rPr>
        <w:t>o przez personel Wykonawcy.</w:t>
      </w:r>
    </w:p>
    <w:p w:rsidR="00B77F00" w:rsidRDefault="00865FA3">
      <w:pPr>
        <w:pStyle w:val="Standard"/>
        <w:jc w:val="both"/>
      </w:pPr>
      <w:r>
        <w:rPr>
          <w:rStyle w:val="WW-DefaultParagraphFont"/>
          <w:rFonts w:eastAsia="Times New Roman" w:cs="Arial"/>
          <w:lang w:val="pl-PL"/>
        </w:rPr>
        <w:t>1.5.7. Materiały szkodliwe dla otoczenia</w:t>
      </w:r>
    </w:p>
    <w:p w:rsidR="00B77F00" w:rsidRDefault="00865FA3">
      <w:pPr>
        <w:pStyle w:val="Standard"/>
        <w:jc w:val="both"/>
      </w:pPr>
      <w:r>
        <w:rPr>
          <w:rStyle w:val="WW-DefaultParagraphFont"/>
          <w:rFonts w:eastAsia="Times New Roman" w:cs="Arial"/>
          <w:lang w:val="pl-PL"/>
        </w:rPr>
        <w:t>Materiały, które w sposób trwały są szkodliwe dla otoczenia, nie będą dopuszczone do użycia.</w:t>
      </w:r>
    </w:p>
    <w:p w:rsidR="00B77F00" w:rsidRDefault="00865FA3">
      <w:pPr>
        <w:pStyle w:val="Standard"/>
        <w:jc w:val="both"/>
      </w:pPr>
      <w:r>
        <w:rPr>
          <w:rStyle w:val="WW-DefaultParagraphFont"/>
          <w:rFonts w:eastAsia="Times New Roman" w:cs="Arial"/>
          <w:lang w:val="pl-PL"/>
        </w:rPr>
        <w:t xml:space="preserve">Nie dopuszcza się użycia materiałów wywołujących szkodliwe promieniowanie o stężeniu większym </w:t>
      </w:r>
      <w:r>
        <w:rPr>
          <w:rStyle w:val="WW-DefaultParagraphFont"/>
          <w:rFonts w:eastAsia="Times New Roman" w:cs="Arial"/>
          <w:lang w:val="pl-PL"/>
        </w:rPr>
        <w:t>od dopuszczalnego, określonego odpowiednimi przepisami.</w:t>
      </w:r>
    </w:p>
    <w:p w:rsidR="00B77F00" w:rsidRDefault="00865FA3">
      <w:pPr>
        <w:pStyle w:val="Standard"/>
        <w:jc w:val="both"/>
      </w:pPr>
      <w:r>
        <w:rPr>
          <w:rStyle w:val="WW-DefaultParagraphFont"/>
          <w:rFonts w:eastAsia="Times New Roman" w:cs="Arial"/>
          <w:lang w:val="pl-PL"/>
        </w:rPr>
        <w:t>Wszelkie materiały odpadowe użyte do robót będą miały aprobatę techniczną wydaną przez uprawnioną jednostkę, jednoznacznie określającą brak szkodliwego oddziaływania tych materiałów na środowisko.</w:t>
      </w:r>
    </w:p>
    <w:p w:rsidR="00B77F00" w:rsidRDefault="00865FA3">
      <w:pPr>
        <w:pStyle w:val="Standard"/>
        <w:jc w:val="both"/>
      </w:pPr>
      <w:r>
        <w:rPr>
          <w:rStyle w:val="WW-DefaultParagraphFont"/>
          <w:rFonts w:eastAsia="Times New Roman" w:cs="Arial"/>
          <w:lang w:val="pl-PL"/>
        </w:rPr>
        <w:t>Mat</w:t>
      </w:r>
      <w:r>
        <w:rPr>
          <w:rStyle w:val="WW-DefaultParagraphFont"/>
          <w:rFonts w:eastAsia="Times New Roman" w:cs="Arial"/>
          <w:lang w:val="pl-PL"/>
        </w:rPr>
        <w:t xml:space="preserve">eriały, które są szkodliwe dla otoczenia tylko w czasie robót, a po zakończeniu robót ich szkodliwość zanika (np. materiały pylaste) mogą być użyte pod warunkiem przestrzegania wymagań technologicznych wbudowania. Jeżeli wymagają tego odpowiednie przepisy </w:t>
      </w:r>
      <w:r>
        <w:rPr>
          <w:rStyle w:val="WW-DefaultParagraphFont"/>
          <w:rFonts w:eastAsia="Times New Roman" w:cs="Arial"/>
          <w:lang w:val="pl-PL"/>
        </w:rPr>
        <w:t>Wykonawca powinien otrzymać zgodę na użycie tych materiałów od właściwych organów administracji państwowej.</w:t>
      </w:r>
    </w:p>
    <w:p w:rsidR="00B77F00" w:rsidRDefault="00865FA3">
      <w:pPr>
        <w:pStyle w:val="Standard"/>
        <w:jc w:val="both"/>
      </w:pPr>
      <w:r>
        <w:rPr>
          <w:rStyle w:val="WW-DefaultParagraphFont"/>
          <w:rFonts w:eastAsia="Times New Roman" w:cs="Arial"/>
          <w:lang w:val="pl-PL"/>
        </w:rPr>
        <w:t>Jeżeli Wykonawca użył materiałów szkodliwych dla otoczenia zgodnie ze specyfikacjami, a ich użycie spowodowało jakiekolwiek zagrożenie środowiska, t</w:t>
      </w:r>
      <w:r>
        <w:rPr>
          <w:rStyle w:val="WW-DefaultParagraphFont"/>
          <w:rFonts w:eastAsia="Times New Roman" w:cs="Arial"/>
          <w:lang w:val="pl-PL"/>
        </w:rPr>
        <w:t>o konsekwencje tego poniesie Zamawiający.</w:t>
      </w:r>
    </w:p>
    <w:p w:rsidR="00B77F00" w:rsidRDefault="00865FA3">
      <w:pPr>
        <w:pStyle w:val="Standard"/>
        <w:jc w:val="both"/>
      </w:pPr>
      <w:r>
        <w:rPr>
          <w:rStyle w:val="WW-DefaultParagraphFont"/>
          <w:rFonts w:eastAsia="Times New Roman" w:cs="Arial"/>
          <w:lang w:val="pl-PL"/>
        </w:rPr>
        <w:t>1.5.8. Ochrona własności publicznej i prywatnej</w:t>
      </w:r>
    </w:p>
    <w:p w:rsidR="00B77F00" w:rsidRDefault="00865FA3">
      <w:pPr>
        <w:pStyle w:val="Standard"/>
        <w:jc w:val="both"/>
      </w:pPr>
      <w:r>
        <w:rPr>
          <w:rStyle w:val="WW-DefaultParagraphFont"/>
          <w:rFonts w:eastAsia="Times New Roman" w:cs="Arial"/>
          <w:lang w:val="pl-PL"/>
        </w:rPr>
        <w:t xml:space="preserve">Wykonawca odpowiada za ochronę instalacji na powierzchni ziemi i za urządzenia podziemne, takie jak rurociągi, kable itp. oraz uzyska od odpowiednich władz będących </w:t>
      </w:r>
      <w:r>
        <w:rPr>
          <w:rStyle w:val="WW-DefaultParagraphFont"/>
          <w:rFonts w:eastAsia="Times New Roman" w:cs="Arial"/>
          <w:lang w:val="pl-PL"/>
        </w:rPr>
        <w:t>właścicielami tych urządzeń potwierdzenie informacji dostarczonych mu przez Zamawiającego w ramach planu ich lokalizacji. Wykonawca zapewni właściwe oznaczenie i zabezpieczenie przed uszkodzeniem tych instalacji i urządzeń w czasie trwania budowy.</w:t>
      </w:r>
    </w:p>
    <w:p w:rsidR="00B77F00" w:rsidRDefault="00865FA3">
      <w:pPr>
        <w:pStyle w:val="Standard"/>
        <w:jc w:val="both"/>
      </w:pPr>
      <w:r>
        <w:rPr>
          <w:rStyle w:val="WW-DefaultParagraphFont"/>
          <w:rFonts w:eastAsia="Times New Roman" w:cs="Arial"/>
          <w:lang w:val="pl-PL"/>
        </w:rPr>
        <w:t>Wykonawc</w:t>
      </w:r>
      <w:r>
        <w:rPr>
          <w:rStyle w:val="WW-DefaultParagraphFont"/>
          <w:rFonts w:eastAsia="Times New Roman" w:cs="Arial"/>
          <w:lang w:val="pl-PL"/>
        </w:rPr>
        <w:t>a zobowiązany jest umieścić w swoim harmonogramie rezerwę czasową dla wszelkiego rodzaju robót, które mają być wykonane w zakresie przełożenia instalacji i urządzeń podziemnych na terenie budowy i powiadomić Inżyniera/Kierownika projektu i władze lokalne o</w:t>
      </w:r>
      <w:r>
        <w:rPr>
          <w:rStyle w:val="WW-DefaultParagraphFont"/>
          <w:rFonts w:eastAsia="Times New Roman" w:cs="Arial"/>
          <w:lang w:val="pl-PL"/>
        </w:rPr>
        <w:t xml:space="preserve"> zamiarze rozpoczęcia robót. O fakcie przypadkowego uszkodzenia tych instalacji Wykonawca bezzwłocznie powiadomi Inżyniera/Kierownika projektu i zainteresowane władze oraz będzie z nimi współpracował dostarczając wszelkiej pomocy potrzebnej przy dokonywani</w:t>
      </w:r>
      <w:r>
        <w:rPr>
          <w:rStyle w:val="WW-DefaultParagraphFont"/>
          <w:rFonts w:eastAsia="Times New Roman" w:cs="Arial"/>
          <w:lang w:val="pl-PL"/>
        </w:rPr>
        <w:t>u napraw. Wykonawca będzie odpowiadać za wszelkie spowodowane przez jego działania uszkodzenia instalacji na powierzchni ziemi i urządzeń podziemnych wykazanych w dokumentach dostarczonych mu przez Zamawiającego.</w:t>
      </w:r>
    </w:p>
    <w:p w:rsidR="00B77F00" w:rsidRDefault="00865FA3">
      <w:pPr>
        <w:pStyle w:val="Standard"/>
        <w:jc w:val="both"/>
      </w:pPr>
      <w:r>
        <w:rPr>
          <w:rStyle w:val="WW-DefaultParagraphFont"/>
          <w:rFonts w:eastAsia="Times New Roman" w:cs="Arial"/>
          <w:lang w:val="pl-PL"/>
        </w:rPr>
        <w:t>Jeżeli teren budowy przylega do terenów z z</w:t>
      </w:r>
      <w:r>
        <w:rPr>
          <w:rStyle w:val="WW-DefaultParagraphFont"/>
          <w:rFonts w:eastAsia="Times New Roman" w:cs="Arial"/>
          <w:lang w:val="pl-PL"/>
        </w:rPr>
        <w:t>abudową mieszkaniową, Wykonawca będzie realizować roboty w sposób powodujący minimalne niedogodności dla mieszkańców. Wykonawca odpowiada za wszelkie uszkodzenia zabudowy mieszkaniowej w sąsiedztwie budowy, spowodowane jego działalnością.</w:t>
      </w:r>
    </w:p>
    <w:p w:rsidR="00B77F00" w:rsidRDefault="00865FA3">
      <w:pPr>
        <w:pStyle w:val="Standard"/>
        <w:jc w:val="both"/>
      </w:pPr>
      <w:r>
        <w:rPr>
          <w:rStyle w:val="WW-DefaultParagraphFont"/>
          <w:rFonts w:eastAsia="Times New Roman" w:cs="Arial"/>
          <w:lang w:val="pl-PL"/>
        </w:rPr>
        <w:t>Inżynier/Kierowni</w:t>
      </w:r>
      <w:r>
        <w:rPr>
          <w:rStyle w:val="WW-DefaultParagraphFont"/>
          <w:rFonts w:eastAsia="Times New Roman" w:cs="Arial"/>
          <w:lang w:val="pl-PL"/>
        </w:rPr>
        <w:t>k projektu będzie na bieżąco informowany o wszystkich umowach zawartych pomiędzy Wykonawcą a właścicielami nieruchomości i dotyczących korzystania z własności i dróg wewnętrznych. Jednakże, ani Inżynier/Kierownik projektu ani Zamawiający nie będzie ingerow</w:t>
      </w:r>
      <w:r>
        <w:rPr>
          <w:rStyle w:val="WW-DefaultParagraphFont"/>
          <w:rFonts w:eastAsia="Times New Roman" w:cs="Arial"/>
          <w:lang w:val="pl-PL"/>
        </w:rPr>
        <w:t>ał w takie porozumienia, o ile nie będą one sprzeczne z postanowieniami zawartymi w warunkach umowy.</w:t>
      </w:r>
    </w:p>
    <w:p w:rsidR="00B77F00" w:rsidRDefault="00865FA3">
      <w:pPr>
        <w:pStyle w:val="Standard"/>
        <w:jc w:val="both"/>
      </w:pPr>
      <w:r>
        <w:rPr>
          <w:rStyle w:val="WW-DefaultParagraphFont"/>
          <w:rFonts w:eastAsia="Times New Roman" w:cs="Arial"/>
          <w:lang w:val="pl-PL"/>
        </w:rPr>
        <w:t>1.5.9. Ograniczenie obciążeń osi pojazdów</w:t>
      </w:r>
    </w:p>
    <w:p w:rsidR="00B77F00" w:rsidRDefault="00865FA3">
      <w:pPr>
        <w:pStyle w:val="Standard"/>
        <w:jc w:val="both"/>
      </w:pPr>
      <w:r>
        <w:rPr>
          <w:rStyle w:val="WW-DefaultParagraphFont"/>
          <w:rFonts w:eastAsia="Times New Roman" w:cs="Arial"/>
          <w:lang w:val="pl-PL"/>
        </w:rPr>
        <w:t>Wykonawca będzie stosować się do ustawowych ograniczeń nacisków osi na drogach publicznych przy transporcie mater</w:t>
      </w:r>
      <w:r>
        <w:rPr>
          <w:rStyle w:val="WW-DefaultParagraphFont"/>
          <w:rFonts w:eastAsia="Times New Roman" w:cs="Arial"/>
          <w:lang w:val="pl-PL"/>
        </w:rPr>
        <w:t>iałów i wyposażenia na i z terenu robót. Wykonawca uzyska wszelkie niezbędne zezwolenia i uzgodnienia od właściwych władz co do przewozu nietypowych wagowo ładunków (ponadnormatywnych) i o każdym takim przewozie będzie powiadamiał Inżyniera/Kierownika proj</w:t>
      </w:r>
      <w:r>
        <w:rPr>
          <w:rStyle w:val="WW-DefaultParagraphFont"/>
          <w:rFonts w:eastAsia="Times New Roman" w:cs="Arial"/>
          <w:lang w:val="pl-PL"/>
        </w:rPr>
        <w:t>ektu. Inżynier/Kierownik projektu może polecić, aby pojazdy nie spełniające tych warunków zostały usunięte z terenu budowy. Pojazdy powodujące nadmierne obciążenie osiowe nie będą dopuszczone na świeżo ukończony fragment budowy w obrębie terenu budowy i Wy</w:t>
      </w:r>
      <w:r>
        <w:rPr>
          <w:rStyle w:val="WW-DefaultParagraphFont"/>
          <w:rFonts w:eastAsia="Times New Roman" w:cs="Arial"/>
          <w:lang w:val="pl-PL"/>
        </w:rPr>
        <w:t>konawca będzie odpowiadał za naprawę wszelkich robót w ten sposób uszkodzonych, zgodnie z poleceniami Inżyniera/Kierownika projektu.</w:t>
      </w:r>
    </w:p>
    <w:p w:rsidR="00B77F00" w:rsidRDefault="00865FA3">
      <w:pPr>
        <w:pStyle w:val="Standard"/>
        <w:jc w:val="both"/>
      </w:pPr>
      <w:r>
        <w:rPr>
          <w:rStyle w:val="WW-DefaultParagraphFont"/>
          <w:rFonts w:eastAsia="Times New Roman" w:cs="Arial"/>
          <w:lang w:val="pl-PL"/>
        </w:rPr>
        <w:t>1.5.10. Bezpieczeństwo i higiena pracy</w:t>
      </w:r>
    </w:p>
    <w:p w:rsidR="00B77F00" w:rsidRDefault="00865FA3">
      <w:pPr>
        <w:pStyle w:val="Standard"/>
        <w:jc w:val="both"/>
      </w:pPr>
      <w:r>
        <w:rPr>
          <w:rStyle w:val="WW-DefaultParagraphFont"/>
          <w:rFonts w:eastAsia="Times New Roman" w:cs="Arial"/>
          <w:lang w:val="pl-PL"/>
        </w:rPr>
        <w:t>Podczas realizacji robót Wykonawca będzie przestrzegać przepisów dotyczących bezpiec</w:t>
      </w:r>
      <w:r>
        <w:rPr>
          <w:rStyle w:val="WW-DefaultParagraphFont"/>
          <w:rFonts w:eastAsia="Times New Roman" w:cs="Arial"/>
          <w:lang w:val="pl-PL"/>
        </w:rPr>
        <w:t>zeństwa i higieny pracy.</w:t>
      </w:r>
    </w:p>
    <w:p w:rsidR="00B77F00" w:rsidRDefault="00865FA3">
      <w:pPr>
        <w:pStyle w:val="Standard"/>
        <w:jc w:val="both"/>
      </w:pPr>
      <w:r>
        <w:rPr>
          <w:rStyle w:val="WW-DefaultParagraphFont"/>
          <w:rFonts w:eastAsia="Times New Roman" w:cs="Arial"/>
          <w:lang w:val="pl-PL"/>
        </w:rPr>
        <w:t>W szczególności Wykonawca ma obowiązek zadbać, aby personel nie wykonywał pracy w warunkach niebezpiecznych, szkodliwych dla zdrowia oraz nie spełniających odpowiednich wymagań sanitarnych.</w:t>
      </w:r>
    </w:p>
    <w:p w:rsidR="00B77F00" w:rsidRDefault="00865FA3">
      <w:pPr>
        <w:pStyle w:val="Standard"/>
        <w:jc w:val="both"/>
      </w:pPr>
      <w:r>
        <w:rPr>
          <w:rStyle w:val="WW-DefaultParagraphFont"/>
          <w:rFonts w:eastAsia="Times New Roman" w:cs="Arial"/>
          <w:lang w:val="pl-PL"/>
        </w:rPr>
        <w:t>Wykonawca zapewni i będzie utrzymywał wsz</w:t>
      </w:r>
      <w:r>
        <w:rPr>
          <w:rStyle w:val="WW-DefaultParagraphFont"/>
          <w:rFonts w:eastAsia="Times New Roman" w:cs="Arial"/>
          <w:lang w:val="pl-PL"/>
        </w:rPr>
        <w:t>elkie urządzenia zabezpieczające, socjalne oraz sprzęt i odpowiednią odzież dla ochrony życia i zdrowia osób zatrudnionych na budowie oraz dla zapewnienia bezpieczeństwa publicznego.</w:t>
      </w:r>
    </w:p>
    <w:p w:rsidR="00B77F00" w:rsidRDefault="00865FA3">
      <w:pPr>
        <w:pStyle w:val="Standard"/>
        <w:jc w:val="both"/>
      </w:pPr>
      <w:r>
        <w:rPr>
          <w:rStyle w:val="WW-DefaultParagraphFont"/>
          <w:rFonts w:eastAsia="Times New Roman" w:cs="Arial"/>
          <w:lang w:val="pl-PL"/>
        </w:rPr>
        <w:t>Uznaje się, że wszelkie koszty związane z wypełnieniem wymagań określonyc</w:t>
      </w:r>
      <w:r>
        <w:rPr>
          <w:rStyle w:val="WW-DefaultParagraphFont"/>
          <w:rFonts w:eastAsia="Times New Roman" w:cs="Arial"/>
          <w:lang w:val="pl-PL"/>
        </w:rPr>
        <w:t xml:space="preserve">h powyżej nie podlegają </w:t>
      </w:r>
      <w:r>
        <w:rPr>
          <w:rStyle w:val="WW-DefaultParagraphFont"/>
          <w:rFonts w:eastAsia="Times New Roman" w:cs="Arial"/>
          <w:lang w:val="pl-PL"/>
        </w:rPr>
        <w:lastRenderedPageBreak/>
        <w:t>odrębnej zapłacie i są uwzględnione w cenie kontraktowej.</w:t>
      </w:r>
    </w:p>
    <w:p w:rsidR="00B77F00" w:rsidRDefault="00865FA3">
      <w:pPr>
        <w:pStyle w:val="Standard"/>
        <w:jc w:val="both"/>
      </w:pPr>
      <w:r>
        <w:rPr>
          <w:rStyle w:val="WW-DefaultParagraphFont"/>
          <w:rFonts w:eastAsia="Times New Roman" w:cs="Arial"/>
          <w:lang w:val="pl-PL"/>
        </w:rPr>
        <w:t>1.5.11. Ochrona i utrzymanie robót</w:t>
      </w:r>
    </w:p>
    <w:p w:rsidR="00B77F00" w:rsidRDefault="00865FA3">
      <w:pPr>
        <w:pStyle w:val="Standard"/>
        <w:jc w:val="both"/>
      </w:pPr>
      <w:r>
        <w:rPr>
          <w:rStyle w:val="WW-DefaultParagraphFont"/>
          <w:rFonts w:eastAsia="Times New Roman" w:cs="Arial"/>
          <w:lang w:val="pl-PL"/>
        </w:rPr>
        <w:t>Wykonawca będzie odpowiadał za ochronę robót i za wszelkie materiały i urządzenia używane do robót od daty rozpoczęcia do daty wydania potw</w:t>
      </w:r>
      <w:r>
        <w:rPr>
          <w:rStyle w:val="WW-DefaultParagraphFont"/>
          <w:rFonts w:eastAsia="Times New Roman" w:cs="Arial"/>
          <w:lang w:val="pl-PL"/>
        </w:rPr>
        <w:t>ierdzenia zakończenia robót przez Inżyniera/Kierownika projektu.</w:t>
      </w:r>
    </w:p>
    <w:p w:rsidR="00B77F00" w:rsidRDefault="00865FA3">
      <w:pPr>
        <w:pStyle w:val="Standard"/>
        <w:jc w:val="both"/>
      </w:pPr>
      <w:r>
        <w:rPr>
          <w:rStyle w:val="WW-DefaultParagraphFont"/>
          <w:rFonts w:eastAsia="Times New Roman" w:cs="Arial"/>
          <w:lang w:val="pl-PL"/>
        </w:rPr>
        <w:t xml:space="preserve">Wykonawca będzie utrzymywać roboty do czasu odbioru ostatecznego. Utrzymanie powinno być prowadzone w taki sposób, aby budowla drogowa lub jej elementy były w zadowalającym stanie przez cały </w:t>
      </w:r>
      <w:r>
        <w:rPr>
          <w:rStyle w:val="WW-DefaultParagraphFont"/>
          <w:rFonts w:eastAsia="Times New Roman" w:cs="Arial"/>
          <w:lang w:val="pl-PL"/>
        </w:rPr>
        <w:t>czas, do momentu odbioru ostatecznego.</w:t>
      </w:r>
    </w:p>
    <w:p w:rsidR="00B77F00" w:rsidRDefault="00865FA3">
      <w:pPr>
        <w:pStyle w:val="Standard"/>
        <w:jc w:val="both"/>
      </w:pPr>
      <w:r>
        <w:rPr>
          <w:rStyle w:val="WW-DefaultParagraphFont"/>
          <w:rFonts w:eastAsia="Times New Roman" w:cs="Arial"/>
          <w:lang w:val="pl-PL"/>
        </w:rPr>
        <w:t>Jeśli Wykonawca w jakimkolwiek czasie zaniedba utrzymanie, to na polecenie Inżyniera/Kierownika projektu powinien rozpocząć roboty utrzymaniowe nie później niż w 24 godziny po otrzymaniu tego polecenia.</w:t>
      </w:r>
    </w:p>
    <w:p w:rsidR="00B77F00" w:rsidRDefault="00865FA3">
      <w:pPr>
        <w:pStyle w:val="Standard"/>
        <w:jc w:val="both"/>
      </w:pPr>
      <w:r>
        <w:rPr>
          <w:rStyle w:val="WW-DefaultParagraphFont"/>
          <w:rFonts w:eastAsia="Times New Roman" w:cs="Arial"/>
          <w:lang w:val="pl-PL"/>
        </w:rPr>
        <w:t>1.5.12. Stoso</w:t>
      </w:r>
      <w:r>
        <w:rPr>
          <w:rStyle w:val="WW-DefaultParagraphFont"/>
          <w:rFonts w:eastAsia="Times New Roman" w:cs="Arial"/>
          <w:lang w:val="pl-PL"/>
        </w:rPr>
        <w:t>wanie się do prawa i innych przepisów</w:t>
      </w:r>
    </w:p>
    <w:p w:rsidR="00B77F00" w:rsidRDefault="00865FA3">
      <w:pPr>
        <w:pStyle w:val="Standard"/>
        <w:jc w:val="both"/>
      </w:pPr>
      <w:r>
        <w:rPr>
          <w:rStyle w:val="WW-DefaultParagraphFont"/>
          <w:rFonts w:eastAsia="Times New Roman" w:cs="Arial"/>
          <w:lang w:val="pl-PL"/>
        </w:rPr>
        <w:t>Wykonawca zobowiązany jest znać wszystkie zarządzenia wydane przez władze centralne i miejscowe oraz inne przepisy, regulaminy i wytyczne, które są w jakikolwiek sposób związane z wykonywanymi robotami i będzie w pełni</w:t>
      </w:r>
      <w:r>
        <w:rPr>
          <w:rStyle w:val="WW-DefaultParagraphFont"/>
          <w:rFonts w:eastAsia="Times New Roman" w:cs="Arial"/>
          <w:lang w:val="pl-PL"/>
        </w:rPr>
        <w:t xml:space="preserve"> odpowiedzialny za przestrzeganie tych postanowień podczas prowadzenia robót.</w:t>
      </w:r>
    </w:p>
    <w:p w:rsidR="00B77F00" w:rsidRDefault="00865FA3">
      <w:pPr>
        <w:pStyle w:val="Standard"/>
        <w:jc w:val="both"/>
      </w:pPr>
      <w:r>
        <w:rPr>
          <w:rStyle w:val="WW-DefaultParagraphFont"/>
          <w:rFonts w:eastAsia="Times New Roman" w:cs="Arial"/>
          <w:lang w:val="pl-PL"/>
        </w:rPr>
        <w:t>Wykonawca będzie przestrzegać praw patentowych i będzie w pełni odpowiedzialny za wypełnienie wszelkich wymagań prawnych odnośnie znaków firmowych, nazw lub innych chronionych pr</w:t>
      </w:r>
      <w:r>
        <w:rPr>
          <w:rStyle w:val="WW-DefaultParagraphFont"/>
          <w:rFonts w:eastAsia="Times New Roman" w:cs="Arial"/>
          <w:lang w:val="pl-PL"/>
        </w:rPr>
        <w:t>aw w odniesieniu do sprzętu, materiałów lub urządzeń użytych lub związanych z wykonywaniem robót i w sposób ciągły będzie informować Inżyniera/Kierownika projektu o swoich działaniach, przedstawiając kopie zezwoleń i inne odnośne dokumenty. Wszelkie straty</w:t>
      </w:r>
      <w:r>
        <w:rPr>
          <w:rStyle w:val="WW-DefaultParagraphFont"/>
          <w:rFonts w:eastAsia="Times New Roman" w:cs="Arial"/>
          <w:lang w:val="pl-PL"/>
        </w:rPr>
        <w:t>, koszty postępowania, obciążenia i wydatki wynikłe z lub związane z naruszeniem jakichkolwiek praw patentowych pokryje Wykonawca, z wyjątkiem przypadków, kiedy takie naruszenie wyniknie z wykonania projektu lub specyfikacji dostarczonej przez Inżyniera/Ki</w:t>
      </w:r>
      <w:r>
        <w:rPr>
          <w:rStyle w:val="WW-DefaultParagraphFont"/>
          <w:rFonts w:eastAsia="Times New Roman" w:cs="Arial"/>
          <w:lang w:val="pl-PL"/>
        </w:rPr>
        <w:t>erownika projektu.</w:t>
      </w:r>
    </w:p>
    <w:p w:rsidR="00B77F00" w:rsidRDefault="00865FA3">
      <w:pPr>
        <w:pStyle w:val="Standard"/>
        <w:jc w:val="both"/>
      </w:pPr>
      <w:r>
        <w:rPr>
          <w:rStyle w:val="WW-DefaultParagraphFont"/>
          <w:rFonts w:eastAsia="Times New Roman" w:cs="Arial"/>
          <w:lang w:val="pl-PL"/>
        </w:rPr>
        <w:t>1.5.13. Równoważność norm i zbiorów przepisów prawnych</w:t>
      </w:r>
    </w:p>
    <w:p w:rsidR="00B77F00" w:rsidRDefault="00865FA3">
      <w:pPr>
        <w:pStyle w:val="Standard"/>
        <w:jc w:val="both"/>
      </w:pPr>
      <w:r>
        <w:rPr>
          <w:rStyle w:val="WW-DefaultParagraphFont"/>
          <w:rFonts w:eastAsia="Times New Roman" w:cs="Arial"/>
          <w:lang w:val="pl-PL"/>
        </w:rPr>
        <w:t xml:space="preserve">Gdziekolwiek w dokumentach kontraktowych powołane są konkretne normy i przepisy, które spełniać mają materiały, sprzęt i inne towary oraz wykonane i zbadane roboty, będą obowiązywać </w:t>
      </w:r>
      <w:r>
        <w:rPr>
          <w:rStyle w:val="WW-DefaultParagraphFont"/>
          <w:rFonts w:eastAsia="Times New Roman" w:cs="Arial"/>
          <w:lang w:val="pl-PL"/>
        </w:rPr>
        <w:t>postanowienia najnowszego wydania lub poprawionego wydania powołanych norm i przepisów o ile w warunkach kontraktu nie postanowiono inaczej. W przypadku gdy powołane normy i przepisy są państwowe lub odnoszą się do konkretnego kraju lub regionu, mogą być r</w:t>
      </w:r>
      <w:r>
        <w:rPr>
          <w:rStyle w:val="WW-DefaultParagraphFont"/>
          <w:rFonts w:eastAsia="Times New Roman" w:cs="Arial"/>
          <w:lang w:val="pl-PL"/>
        </w:rPr>
        <w:t>ównież stosowane inne odpowiednie normy zapewniające równy lub wyższy poziom wykonania niż powołane normy lub przepisy, pod warunkiem ich sprawdzenia i pisemnego zatwierdzenia przez Inżyniera/Kierownika projektu. Różnice pomiędzy powołanymi normami a ich p</w:t>
      </w:r>
      <w:r>
        <w:rPr>
          <w:rStyle w:val="WW-DefaultParagraphFont"/>
          <w:rFonts w:eastAsia="Times New Roman" w:cs="Arial"/>
          <w:lang w:val="pl-PL"/>
        </w:rPr>
        <w:t>roponowanymi zamiennikami muszą być dokładnie opisane przez Wykonawcę i przedłożone Inżynierowi/Kierownikowi projektu do zatwierdzenia.</w:t>
      </w:r>
    </w:p>
    <w:p w:rsidR="00B77F00" w:rsidRDefault="00865FA3">
      <w:pPr>
        <w:pStyle w:val="Standard"/>
        <w:jc w:val="both"/>
      </w:pPr>
      <w:r>
        <w:rPr>
          <w:rStyle w:val="WW-DefaultParagraphFont"/>
          <w:rFonts w:eastAsia="Times New Roman" w:cs="Arial"/>
          <w:lang w:val="pl-PL"/>
        </w:rPr>
        <w:t>1.5.14. Wykopaliska</w:t>
      </w:r>
    </w:p>
    <w:p w:rsidR="00B77F00" w:rsidRDefault="00865FA3">
      <w:pPr>
        <w:pStyle w:val="Standard"/>
        <w:jc w:val="both"/>
      </w:pPr>
      <w:r>
        <w:rPr>
          <w:rStyle w:val="WW-DefaultParagraphFont"/>
          <w:rFonts w:eastAsia="Times New Roman" w:cs="Arial"/>
          <w:lang w:val="pl-PL"/>
        </w:rPr>
        <w:t>Wszelkie wykopaliska, monety, przedmioty wartościowe, budowle oraz inne pozostałości o znaczeniu geo</w:t>
      </w:r>
      <w:r>
        <w:rPr>
          <w:rStyle w:val="WW-DefaultParagraphFont"/>
          <w:rFonts w:eastAsia="Times New Roman" w:cs="Arial"/>
          <w:lang w:val="pl-PL"/>
        </w:rPr>
        <w:t>logicznym lub archeologicznym odkryte na terenie budowy będą uważane za własność Zamawiającego. Wykonawca zobowiązany jest powiadomić Inżyniera/Kierownika projektu i postępować zgodnie z jego poleceniami. Jeżeli w wyniku tych poleceń Wykonawca poniesie kos</w:t>
      </w:r>
      <w:r>
        <w:rPr>
          <w:rStyle w:val="WW-DefaultParagraphFont"/>
          <w:rFonts w:eastAsia="Times New Roman" w:cs="Arial"/>
          <w:lang w:val="pl-PL"/>
        </w:rPr>
        <w:t>zty i/lub wystąpią opóźnienia w robotach, Inżynier/ Kierownik projektu po uzgodnieniu z Zamawiającym i Wykonawcą ustali wydłużenie czasu wykonania robót i/lub wysokość kwoty, o którą należy zwiększyć cenę kontraktową.</w:t>
      </w:r>
    </w:p>
    <w:p w:rsidR="00B77F00" w:rsidRDefault="00B77F00">
      <w:pPr>
        <w:pStyle w:val="Standard"/>
        <w:jc w:val="both"/>
      </w:pPr>
    </w:p>
    <w:p w:rsidR="00B77F00" w:rsidRDefault="00865FA3">
      <w:pPr>
        <w:pStyle w:val="Standard"/>
        <w:jc w:val="both"/>
      </w:pPr>
      <w:r>
        <w:rPr>
          <w:rStyle w:val="CharacterStyle1"/>
          <w:rFonts w:eastAsia="Times New Roman" w:cs="Arial"/>
          <w:b/>
          <w:bCs/>
          <w:lang w:val="pl-PL"/>
        </w:rPr>
        <w:t>2. MATERIAŁY</w:t>
      </w:r>
    </w:p>
    <w:p w:rsidR="00B77F00" w:rsidRDefault="00865FA3">
      <w:pPr>
        <w:pStyle w:val="Standard"/>
        <w:jc w:val="both"/>
      </w:pPr>
      <w:r>
        <w:rPr>
          <w:rStyle w:val="CharacterStyle1"/>
          <w:rFonts w:cs="Arial"/>
          <w:b/>
          <w:bCs/>
          <w:lang w:val="pl-PL"/>
        </w:rPr>
        <w:t xml:space="preserve">2.1. </w:t>
      </w:r>
      <w:r>
        <w:rPr>
          <w:rStyle w:val="CharacterStyle1"/>
          <w:rFonts w:eastAsia="Times New Roman" w:cs="Arial"/>
          <w:b/>
          <w:bCs/>
          <w:lang w:val="pl-PL"/>
        </w:rPr>
        <w:t>Źródła uzyskania ma</w:t>
      </w:r>
      <w:r>
        <w:rPr>
          <w:rStyle w:val="CharacterStyle1"/>
          <w:rFonts w:eastAsia="Times New Roman" w:cs="Arial"/>
          <w:b/>
          <w:bCs/>
          <w:lang w:val="pl-PL"/>
        </w:rPr>
        <w:t>teriałów</w:t>
      </w:r>
    </w:p>
    <w:p w:rsidR="00B77F00" w:rsidRDefault="00865FA3">
      <w:pPr>
        <w:pStyle w:val="Standard"/>
        <w:jc w:val="both"/>
      </w:pPr>
      <w:r>
        <w:rPr>
          <w:rStyle w:val="WW-DefaultParagraphFont"/>
          <w:rFonts w:eastAsia="Times New Roman" w:cs="Arial"/>
          <w:lang w:val="pl-PL"/>
        </w:rPr>
        <w:t>Co najmniej na trzy tygodnie przed zaplanowanym wykorzystaniem jakichkolwiek materiałów przeznaczonych do robót, Wykonawca przedstawi Inżynierowi/Kierownikowi projektu do zatwierdzenia, szczegółowe informacje dotyczące proponowanego źródła wytwarz</w:t>
      </w:r>
      <w:r>
        <w:rPr>
          <w:rStyle w:val="WW-DefaultParagraphFont"/>
          <w:rFonts w:eastAsia="Times New Roman" w:cs="Arial"/>
          <w:lang w:val="pl-PL"/>
        </w:rPr>
        <w:t>ania, zamawiania lub wydobywania tych materiałów jak również odpowiednie świadectwa badań laboratoryjnych oraz próbki materiałów.</w:t>
      </w:r>
    </w:p>
    <w:p w:rsidR="00B77F00" w:rsidRDefault="00865FA3">
      <w:pPr>
        <w:pStyle w:val="Standard"/>
        <w:jc w:val="both"/>
      </w:pPr>
      <w:r>
        <w:rPr>
          <w:rStyle w:val="WW-DefaultParagraphFont"/>
          <w:rFonts w:eastAsia="Times New Roman" w:cs="Arial"/>
          <w:lang w:val="pl-PL"/>
        </w:rPr>
        <w:t>Zatwierdzenie partii materiałów z danego źródła nie oznacza automatycznie, że wszelkie materiały z danego źródła uzyskają zatw</w:t>
      </w:r>
      <w:r>
        <w:rPr>
          <w:rStyle w:val="WW-DefaultParagraphFont"/>
          <w:rFonts w:eastAsia="Times New Roman" w:cs="Arial"/>
          <w:lang w:val="pl-PL"/>
        </w:rPr>
        <w:t>ierdzenie.</w:t>
      </w:r>
    </w:p>
    <w:p w:rsidR="00B77F00" w:rsidRDefault="00865FA3">
      <w:pPr>
        <w:pStyle w:val="Standard"/>
        <w:jc w:val="both"/>
      </w:pPr>
      <w:r>
        <w:rPr>
          <w:rStyle w:val="WW-DefaultParagraphFont"/>
          <w:rFonts w:eastAsia="Times New Roman" w:cs="Arial"/>
          <w:lang w:val="pl-PL"/>
        </w:rPr>
        <w:t>Wykonawca zobowiązany jest do prowadzenia badań w celu wykazania, że materiały uzyskane z dopuszczonego źródła w sposób ciągły spełniają wymagania STWIORB w czasie realizacji robót.</w:t>
      </w:r>
    </w:p>
    <w:p w:rsidR="00B77F00" w:rsidRDefault="00865FA3">
      <w:pPr>
        <w:pStyle w:val="Standard"/>
        <w:jc w:val="both"/>
      </w:pPr>
      <w:r>
        <w:rPr>
          <w:rStyle w:val="CharacterStyle1"/>
          <w:rFonts w:eastAsia="Times New Roman" w:cs="Arial"/>
          <w:b/>
          <w:bCs/>
          <w:lang w:val="pl-PL"/>
        </w:rPr>
        <w:t>2.2. Pozyskiwanie materiałów miejscowych</w:t>
      </w:r>
    </w:p>
    <w:p w:rsidR="00B77F00" w:rsidRDefault="00865FA3">
      <w:pPr>
        <w:pStyle w:val="Standard"/>
        <w:jc w:val="both"/>
      </w:pPr>
      <w:r>
        <w:rPr>
          <w:rStyle w:val="WW-DefaultParagraphFont"/>
          <w:rFonts w:eastAsia="Times New Roman" w:cs="Arial"/>
          <w:lang w:val="pl-PL"/>
        </w:rPr>
        <w:t xml:space="preserve">Wykonawca odpowiada </w:t>
      </w:r>
      <w:r>
        <w:rPr>
          <w:rStyle w:val="WW-DefaultParagraphFont"/>
          <w:rFonts w:eastAsia="Times New Roman" w:cs="Arial"/>
          <w:lang w:val="pl-PL"/>
        </w:rPr>
        <w:t>za uzyskanie pozwoleń od właścicieli i odnośnych władz na pozyskanie materiałów ze źródeł miejscowych włączając w to źródła wskazane przez Zamawiającego i jest zobowiązany dostarczyć Inżynierowi/Kierownikowi projektu wymagane dokumenty przed rozpoczęciem e</w:t>
      </w:r>
      <w:r>
        <w:rPr>
          <w:rStyle w:val="WW-DefaultParagraphFont"/>
          <w:rFonts w:eastAsia="Times New Roman" w:cs="Arial"/>
          <w:lang w:val="pl-PL"/>
        </w:rPr>
        <w:t>ksploatacji źródła.</w:t>
      </w:r>
    </w:p>
    <w:p w:rsidR="00B77F00" w:rsidRDefault="00865FA3">
      <w:pPr>
        <w:pStyle w:val="Standard"/>
        <w:jc w:val="both"/>
      </w:pPr>
      <w:r>
        <w:rPr>
          <w:rStyle w:val="WW-DefaultParagraphFont"/>
          <w:rFonts w:eastAsia="Times New Roman" w:cs="Arial"/>
          <w:lang w:val="pl-PL"/>
        </w:rPr>
        <w:t>Wykonawca przedstawi Inżynierowi/Kierownikowi projektu do zatwierdzenia dokumentację zawierającą raporty z badań terenowych i laboratoryjnych oraz proponowaną przez siebie metodę wydobycia i selekcji, uwzględniając aktualne decyzje o ek</w:t>
      </w:r>
      <w:r>
        <w:rPr>
          <w:rStyle w:val="WW-DefaultParagraphFont"/>
          <w:rFonts w:eastAsia="Times New Roman" w:cs="Arial"/>
          <w:lang w:val="pl-PL"/>
        </w:rPr>
        <w:t>sploatacji, organów administracji państwowej i samorządowej.</w:t>
      </w:r>
    </w:p>
    <w:p w:rsidR="00B77F00" w:rsidRDefault="00865FA3">
      <w:pPr>
        <w:pStyle w:val="Standard"/>
        <w:jc w:val="both"/>
      </w:pPr>
      <w:r>
        <w:rPr>
          <w:rStyle w:val="WW-DefaultParagraphFont"/>
          <w:rFonts w:eastAsia="Times New Roman" w:cs="Arial"/>
          <w:lang w:val="pl-PL"/>
        </w:rPr>
        <w:t>Wykonawca ponosi odpowiedzialność za spełnienie wymagań ilościowych i jakościowych materiałów pochodzących ze źródeł miejscowych.</w:t>
      </w:r>
    </w:p>
    <w:p w:rsidR="00B77F00" w:rsidRDefault="00865FA3">
      <w:pPr>
        <w:pStyle w:val="Standard"/>
        <w:jc w:val="both"/>
      </w:pPr>
      <w:r>
        <w:rPr>
          <w:rStyle w:val="WW-DefaultParagraphFont"/>
          <w:rFonts w:eastAsia="Times New Roman" w:cs="Arial"/>
          <w:lang w:val="pl-PL"/>
        </w:rPr>
        <w:t>Wykonawca ponosi wszystkie koszty, z tytułu wydobycia materiałów,</w:t>
      </w:r>
      <w:r>
        <w:rPr>
          <w:rStyle w:val="WW-DefaultParagraphFont"/>
          <w:rFonts w:eastAsia="Times New Roman" w:cs="Arial"/>
          <w:lang w:val="pl-PL"/>
        </w:rPr>
        <w:t xml:space="preserve"> dzierżawy i inne jakie okażą się potrzebne </w:t>
      </w:r>
      <w:r>
        <w:rPr>
          <w:rStyle w:val="WW-DefaultParagraphFont"/>
          <w:rFonts w:eastAsia="Times New Roman" w:cs="Arial"/>
          <w:lang w:val="pl-PL"/>
        </w:rPr>
        <w:lastRenderedPageBreak/>
        <w:t>w związku z dostarczeniem materiałów do robót.</w:t>
      </w:r>
    </w:p>
    <w:p w:rsidR="00B77F00" w:rsidRDefault="00865FA3">
      <w:pPr>
        <w:pStyle w:val="Standard"/>
        <w:jc w:val="both"/>
      </w:pPr>
      <w:r>
        <w:rPr>
          <w:noProof/>
        </w:rPr>
        <mc:AlternateContent>
          <mc:Choice Requires="wps">
            <w:drawing>
              <wp:anchor distT="0" distB="0" distL="114300" distR="114300" simplePos="0" relativeHeight="251659264" behindDoc="1" locked="0" layoutInCell="1" allowOverlap="1">
                <wp:simplePos x="0" y="0"/>
                <wp:positionH relativeFrom="page">
                  <wp:posOffset>36720</wp:posOffset>
                </wp:positionH>
                <wp:positionV relativeFrom="page">
                  <wp:posOffset>523079</wp:posOffset>
                </wp:positionV>
                <wp:extent cx="5727240" cy="0"/>
                <wp:effectExtent l="0" t="0" r="0" b="0"/>
                <wp:wrapNone/>
                <wp:docPr id="4" name="Łącznik prosty 4"/>
                <wp:cNvGraphicFramePr/>
                <a:graphic xmlns:a="http://schemas.openxmlformats.org/drawingml/2006/main">
                  <a:graphicData uri="http://schemas.microsoft.com/office/word/2010/wordprocessingShape">
                    <wps:wsp>
                      <wps:cNvCnPr/>
                      <wps:spPr>
                        <a:xfrm>
                          <a:off x="0" y="0"/>
                          <a:ext cx="5727240" cy="0"/>
                        </a:xfrm>
                        <a:prstGeom prst="line">
                          <a:avLst/>
                        </a:prstGeom>
                        <a:noFill/>
                        <a:ln w="7560">
                          <a:solidFill>
                            <a:srgbClr val="808080"/>
                          </a:solidFill>
                          <a:prstDash val="solid"/>
                          <a:round/>
                        </a:ln>
                      </wps:spPr>
                      <wps:bodyPr/>
                    </wps:wsp>
                  </a:graphicData>
                </a:graphic>
              </wp:anchor>
            </w:drawing>
          </mc:Choice>
          <mc:Fallback>
            <w:pict>
              <v:line w14:anchorId="3F215330" id="Łącznik prosty 4" o:spid="_x0000_s1026" style="position:absolute;z-index:-251657216;visibility:visible;mso-wrap-style:square;mso-wrap-distance-left:9pt;mso-wrap-distance-top:0;mso-wrap-distance-right:9pt;mso-wrap-distance-bottom:0;mso-position-horizontal:absolute;mso-position-horizontal-relative:page;mso-position-vertical:absolute;mso-position-vertical-relative:page" from="2.9pt,41.2pt" to="453.85pt,4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" strokecolor="gray" strokeweight=".21mm">
                <w10:wrap anchorx="page" anchory="page"/>
              </v:line>
            </w:pict>
          </mc:Fallback>
        </mc:AlternateContent>
      </w:r>
      <w:r>
        <w:rPr>
          <w:rStyle w:val="WW-DefaultParagraphFont"/>
          <w:rFonts w:eastAsia="Times New Roman" w:cs="Arial"/>
          <w:lang w:val="pl-PL"/>
        </w:rPr>
        <w:t>Humus i nadkład czasowo zdjęte z terenu wykopów, dokopów i miejsc pozyskania materiałów miejscowych będą formowane w hałdy i wykorzystane przy zasypce i rekultyw</w:t>
      </w:r>
      <w:r>
        <w:rPr>
          <w:rStyle w:val="WW-DefaultParagraphFont"/>
          <w:rFonts w:eastAsia="Times New Roman" w:cs="Arial"/>
          <w:lang w:val="pl-PL"/>
        </w:rPr>
        <w:t>acji terenu po ukończeniu robót.</w:t>
      </w:r>
    </w:p>
    <w:p w:rsidR="00B77F00" w:rsidRDefault="00865FA3">
      <w:pPr>
        <w:pStyle w:val="Standard"/>
        <w:jc w:val="both"/>
      </w:pPr>
      <w:r>
        <w:rPr>
          <w:rStyle w:val="WW-DefaultParagraphFont"/>
          <w:rFonts w:eastAsia="Times New Roman" w:cs="Arial"/>
          <w:lang w:val="pl-PL"/>
        </w:rPr>
        <w:t>Wszystkie odpowiednie materiały pozyskane z wykopów na terenie budowy lub z innych miejsc wskazanych w dokumentach umowy będą wykorzystane do robót lub odwiezione na odkład odpowiednio do wymagań umowy lub wskazań Inżyniera</w:t>
      </w:r>
      <w:r>
        <w:rPr>
          <w:rStyle w:val="WW-DefaultParagraphFont"/>
          <w:rFonts w:eastAsia="Times New Roman" w:cs="Arial"/>
          <w:lang w:val="pl-PL"/>
        </w:rPr>
        <w:t>/Kierownika projektu.</w:t>
      </w:r>
    </w:p>
    <w:p w:rsidR="00B77F00" w:rsidRDefault="00865FA3">
      <w:pPr>
        <w:pStyle w:val="Standard"/>
        <w:jc w:val="both"/>
      </w:pPr>
      <w:r>
        <w:rPr>
          <w:rStyle w:val="WW-DefaultParagraphFont"/>
          <w:rFonts w:eastAsia="Times New Roman" w:cs="Arial"/>
          <w:lang w:val="pl-PL"/>
        </w:rPr>
        <w:t>Wykonawca nie będzie prowadzić żadnych wykopów w obrębie terenu budowy poza tymi, które zostały wyszczególnione w dokumentach umowy, chyba, że uzyska na to pisemną zgodę Inżyniera/Kierownika projektu.</w:t>
      </w:r>
    </w:p>
    <w:p w:rsidR="00B77F00" w:rsidRDefault="00865FA3">
      <w:pPr>
        <w:pStyle w:val="Standard"/>
        <w:jc w:val="both"/>
      </w:pPr>
      <w:r>
        <w:rPr>
          <w:rStyle w:val="WW-DefaultParagraphFont"/>
          <w:rFonts w:eastAsia="Times New Roman" w:cs="Arial"/>
          <w:lang w:val="pl-PL"/>
        </w:rPr>
        <w:t>Eksploatacja źródeł materiałów bę</w:t>
      </w:r>
      <w:r>
        <w:rPr>
          <w:rStyle w:val="WW-DefaultParagraphFont"/>
          <w:rFonts w:eastAsia="Times New Roman" w:cs="Arial"/>
          <w:lang w:val="pl-PL"/>
        </w:rPr>
        <w:t>dzie zgodna z wszelkimi regulacjami prawnymi obowiązującymi na danym obszarze.</w:t>
      </w:r>
    </w:p>
    <w:p w:rsidR="00B77F00" w:rsidRDefault="00865FA3">
      <w:pPr>
        <w:pStyle w:val="Standard"/>
        <w:jc w:val="both"/>
      </w:pPr>
      <w:r>
        <w:rPr>
          <w:rStyle w:val="CharacterStyle1"/>
          <w:rFonts w:eastAsia="Times New Roman" w:cs="Arial"/>
          <w:b/>
          <w:bCs/>
          <w:lang w:val="pl-PL"/>
        </w:rPr>
        <w:t>2.3. Materiały nie odpowiadające wymaganiom</w:t>
      </w:r>
    </w:p>
    <w:p w:rsidR="00B77F00" w:rsidRDefault="00865FA3">
      <w:pPr>
        <w:pStyle w:val="Standard"/>
        <w:jc w:val="both"/>
      </w:pPr>
      <w:r>
        <w:rPr>
          <w:rStyle w:val="WW-DefaultParagraphFont"/>
          <w:rFonts w:eastAsia="Times New Roman" w:cs="Arial"/>
          <w:lang w:val="pl-PL"/>
        </w:rPr>
        <w:t>Materiały nie odpowiadające wymaganiom zostaną przez Wykonawcę wywiezione z terenu budowy i złożone w miejscu wskazanym przez Inżynie</w:t>
      </w:r>
      <w:r>
        <w:rPr>
          <w:rStyle w:val="WW-DefaultParagraphFont"/>
          <w:rFonts w:eastAsia="Times New Roman" w:cs="Arial"/>
          <w:lang w:val="pl-PL"/>
        </w:rPr>
        <w:t>ra/Kierownika projektu. Jeśli Inżynier/Kierownik projektu zezwoli Wykonawcy na użycie tych materiałów do innych robót, niż te dla których zostały zakupione, to koszt tych materiałów zostanie odpowiednio przewartościowany (skorygowany) przez Inżyniera/Kiero</w:t>
      </w:r>
      <w:r>
        <w:rPr>
          <w:rStyle w:val="WW-DefaultParagraphFont"/>
          <w:rFonts w:eastAsia="Times New Roman" w:cs="Arial"/>
          <w:lang w:val="pl-PL"/>
        </w:rPr>
        <w:t>wnika projektu.</w:t>
      </w:r>
    </w:p>
    <w:p w:rsidR="00B77F00" w:rsidRDefault="00865FA3">
      <w:pPr>
        <w:pStyle w:val="Standard"/>
        <w:jc w:val="both"/>
      </w:pPr>
      <w:r>
        <w:rPr>
          <w:rStyle w:val="WW-DefaultParagraphFont"/>
          <w:rFonts w:eastAsia="Times New Roman" w:cs="Arial"/>
          <w:lang w:val="pl-PL"/>
        </w:rPr>
        <w:t>Każdy rodzaj robót, w którym znajdują się nie zbadane i nie zaakceptowane materiały, Wykonawca wykonuje na własne ryzyko, licząc się z jego nieprzyjęciem, usunięciem i niezapłaceniem</w:t>
      </w:r>
    </w:p>
    <w:p w:rsidR="00B77F00" w:rsidRDefault="00865FA3">
      <w:pPr>
        <w:pStyle w:val="Standard"/>
        <w:jc w:val="both"/>
      </w:pPr>
      <w:r>
        <w:rPr>
          <w:rStyle w:val="CharacterStyle1"/>
          <w:rFonts w:eastAsia="Times New Roman" w:cs="Arial"/>
          <w:b/>
          <w:bCs/>
          <w:lang w:val="pl-PL"/>
        </w:rPr>
        <w:t>2.4. Wariantowe stosowanie materiałów</w:t>
      </w:r>
    </w:p>
    <w:p w:rsidR="00B77F00" w:rsidRDefault="00865FA3">
      <w:pPr>
        <w:pStyle w:val="Standard"/>
        <w:jc w:val="both"/>
      </w:pPr>
      <w:r>
        <w:rPr>
          <w:rStyle w:val="WW-DefaultParagraphFont"/>
          <w:rFonts w:eastAsia="Times New Roman" w:cs="Arial"/>
          <w:lang w:val="pl-PL"/>
        </w:rPr>
        <w:t xml:space="preserve">Jeśli dokumentacja </w:t>
      </w:r>
      <w:r>
        <w:rPr>
          <w:rStyle w:val="WW-DefaultParagraphFont"/>
          <w:rFonts w:eastAsia="Times New Roman" w:cs="Arial"/>
          <w:lang w:val="pl-PL"/>
        </w:rPr>
        <w:t>projektowa lub STWIORB przewidują możliwość wariantowego zastosowania rodzaju materiału w wykonywanych robotach, Wykonawca powiadomi Inżyniera/Kierownika projektu o swoim zamiarze co najmniej 3 tygodnie przed użyciem tego materiału, albo w okresie dłuższym</w:t>
      </w:r>
      <w:r>
        <w:rPr>
          <w:rStyle w:val="WW-DefaultParagraphFont"/>
          <w:rFonts w:eastAsia="Times New Roman" w:cs="Arial"/>
          <w:lang w:val="pl-PL"/>
        </w:rPr>
        <w:t>, jeśli będzie to potrzebne z uwagi na wykonanie badań wymaganych przez Inżyniera/Kierownika projektu. Wybrany i zaakceptowany rodzaj materiału nie może być później zmieniany bez zgody Inżyniera/Kierownika projektu.</w:t>
      </w:r>
    </w:p>
    <w:p w:rsidR="00B77F00" w:rsidRDefault="00865FA3">
      <w:pPr>
        <w:pStyle w:val="Standard"/>
        <w:jc w:val="both"/>
      </w:pPr>
      <w:r>
        <w:rPr>
          <w:rStyle w:val="CharacterStyle1"/>
          <w:rFonts w:eastAsia="Times New Roman" w:cs="Arial"/>
          <w:b/>
          <w:bCs/>
          <w:lang w:val="pl-PL"/>
        </w:rPr>
        <w:t>2.5. Przechowywanie i składowanie materi</w:t>
      </w:r>
      <w:r>
        <w:rPr>
          <w:rStyle w:val="CharacterStyle1"/>
          <w:rFonts w:eastAsia="Times New Roman" w:cs="Arial"/>
          <w:b/>
          <w:bCs/>
          <w:lang w:val="pl-PL"/>
        </w:rPr>
        <w:t>ałów</w:t>
      </w:r>
    </w:p>
    <w:p w:rsidR="00B77F00" w:rsidRDefault="00865FA3">
      <w:pPr>
        <w:pStyle w:val="Standard"/>
        <w:jc w:val="both"/>
      </w:pPr>
      <w:r>
        <w:rPr>
          <w:rStyle w:val="WW-DefaultParagraphFont"/>
          <w:rFonts w:eastAsia="Times New Roman" w:cs="Arial"/>
          <w:lang w:val="pl-PL"/>
        </w:rPr>
        <w:t>Wykonawca zapewni, aby tymczasowo składowane materiały, do czasu gdy będą one użyte do robót, były zabezpieczone przed zanieczyszczeniami, zachowały swoją jakość i właściwości i były dostępne do kontroli przez Inżyniera/Kierownika projektu.</w:t>
      </w:r>
    </w:p>
    <w:p w:rsidR="00B77F00" w:rsidRDefault="00865FA3">
      <w:pPr>
        <w:pStyle w:val="Standard"/>
        <w:jc w:val="both"/>
      </w:pPr>
      <w:r>
        <w:rPr>
          <w:rStyle w:val="WW-DefaultParagraphFont"/>
          <w:rFonts w:eastAsia="Times New Roman" w:cs="Arial"/>
          <w:lang w:val="pl-PL"/>
        </w:rPr>
        <w:t>Miejsca cz</w:t>
      </w:r>
      <w:r>
        <w:rPr>
          <w:rStyle w:val="WW-DefaultParagraphFont"/>
          <w:rFonts w:eastAsia="Times New Roman" w:cs="Arial"/>
          <w:lang w:val="pl-PL"/>
        </w:rPr>
        <w:t>asowego składowania materiałów będą zlokalizowane w obrębie terenu budowy w miejscach uzgodnionych z Inżynierem/Kierownikiem projektu lub poza terenem budowy w miejscach zorganizowanych przez Wykonawcę i zaakceptowanych przez Inżyniera/Kierownika projektu.</w:t>
      </w:r>
    </w:p>
    <w:p w:rsidR="00B77F00" w:rsidRDefault="00865FA3">
      <w:pPr>
        <w:pStyle w:val="Standard"/>
        <w:jc w:val="both"/>
      </w:pPr>
      <w:r>
        <w:rPr>
          <w:rStyle w:val="CharacterStyle1"/>
          <w:rFonts w:eastAsia="Times New Roman" w:cs="Arial"/>
          <w:b/>
          <w:bCs/>
          <w:lang w:val="pl-PL"/>
        </w:rPr>
        <w:t>2.6. Inspekcja wytwórni materiałów</w:t>
      </w:r>
    </w:p>
    <w:p w:rsidR="00B77F00" w:rsidRDefault="00865FA3">
      <w:pPr>
        <w:pStyle w:val="Standard"/>
        <w:jc w:val="both"/>
      </w:pPr>
      <w:r>
        <w:rPr>
          <w:rStyle w:val="WW-DefaultParagraphFont"/>
          <w:rFonts w:eastAsia="Times New Roman" w:cs="Arial"/>
          <w:lang w:val="pl-PL"/>
        </w:rPr>
        <w:t>Wytwórnie materiałów mogą być okresowo kontrolowane przez Inżyniera/ Kierownika projektu w celu sprawdzenia zgodności stosowanych metod produkcji z wymaganiami. Próbki materiałów mogą być pobierane w celu sprawdzenia ich</w:t>
      </w:r>
      <w:r>
        <w:rPr>
          <w:rStyle w:val="WW-DefaultParagraphFont"/>
          <w:rFonts w:eastAsia="Times New Roman" w:cs="Arial"/>
          <w:lang w:val="pl-PL"/>
        </w:rPr>
        <w:t xml:space="preserve"> właściwości. Wyniki tych kontroli będą stanowić podstawę do akceptacji określonej partii materiałów pod względem jakości.</w:t>
      </w:r>
    </w:p>
    <w:p w:rsidR="00B77F00" w:rsidRDefault="00865FA3">
      <w:pPr>
        <w:pStyle w:val="Standard"/>
        <w:jc w:val="both"/>
      </w:pPr>
      <w:r>
        <w:rPr>
          <w:rStyle w:val="WW-DefaultParagraphFont"/>
          <w:rFonts w:eastAsia="Times New Roman" w:cs="Arial"/>
          <w:lang w:val="pl-PL"/>
        </w:rPr>
        <w:t>W przypadku, gdy Inżynier/Kierownik projektu będzie przeprowadzał inspekcję wytwórni, muszą być spełnione następujące warunki:</w:t>
      </w:r>
    </w:p>
    <w:p w:rsidR="00B77F00" w:rsidRDefault="00865FA3">
      <w:pPr>
        <w:pStyle w:val="Standard"/>
        <w:numPr>
          <w:ilvl w:val="0"/>
          <w:numId w:val="87"/>
        </w:numPr>
        <w:tabs>
          <w:tab w:val="left" w:pos="0"/>
        </w:tabs>
        <w:jc w:val="both"/>
      </w:pPr>
      <w:r>
        <w:rPr>
          <w:rStyle w:val="WW-DefaultParagraphFont"/>
          <w:rFonts w:eastAsia="Times New Roman" w:cs="Arial"/>
          <w:lang w:val="pl-PL"/>
        </w:rPr>
        <w:t>Inżyni</w:t>
      </w:r>
      <w:r>
        <w:rPr>
          <w:rStyle w:val="WW-DefaultParagraphFont"/>
          <w:rFonts w:eastAsia="Times New Roman" w:cs="Arial"/>
          <w:lang w:val="pl-PL"/>
        </w:rPr>
        <w:t>er/Kierownik projektu będzie miał zapewnioną współpracę i pomoc Wykonawcy oraz producenta materiałów w czasie przeprowadzania inspekcji,</w:t>
      </w:r>
    </w:p>
    <w:p w:rsidR="00B77F00" w:rsidRDefault="00865FA3">
      <w:pPr>
        <w:pStyle w:val="Standard"/>
        <w:numPr>
          <w:ilvl w:val="0"/>
          <w:numId w:val="87"/>
        </w:numPr>
        <w:tabs>
          <w:tab w:val="left" w:pos="0"/>
        </w:tabs>
        <w:jc w:val="both"/>
      </w:pPr>
      <w:r>
        <w:rPr>
          <w:rStyle w:val="WW-DefaultParagraphFont"/>
          <w:rFonts w:eastAsia="Times New Roman" w:cs="Arial"/>
          <w:lang w:val="pl-PL"/>
        </w:rPr>
        <w:t>Inżynier/Kierownik projektu będzie miał wolny dostęp, w dowolnym czasie, do tych części wytwórni, gdzie odbywa się prod</w:t>
      </w:r>
      <w:r>
        <w:rPr>
          <w:rStyle w:val="WW-DefaultParagraphFont"/>
          <w:rFonts w:eastAsia="Times New Roman" w:cs="Arial"/>
          <w:lang w:val="pl-PL"/>
        </w:rPr>
        <w:t>ukcja materiałów przeznaczonych do realizacji robót,</w:t>
      </w:r>
    </w:p>
    <w:p w:rsidR="00B77F00" w:rsidRDefault="00865FA3">
      <w:pPr>
        <w:pStyle w:val="Standard"/>
        <w:numPr>
          <w:ilvl w:val="0"/>
          <w:numId w:val="87"/>
        </w:numPr>
        <w:tabs>
          <w:tab w:val="left" w:pos="0"/>
        </w:tabs>
        <w:jc w:val="both"/>
      </w:pPr>
      <w:r>
        <w:rPr>
          <w:rStyle w:val="WW-DefaultParagraphFont"/>
          <w:rFonts w:eastAsia="Times New Roman" w:cs="Arial"/>
          <w:lang w:val="pl-PL"/>
        </w:rPr>
        <w:t>Jeżeli produkcja odbywa się w miejscu nie należącym do Wykonawcy, Wykonawca uzyska dla Inżyniera/Kierownika projektu zezwolenie dla przeprowadzenia inspekcji i badań w tych miejscach.</w:t>
      </w:r>
    </w:p>
    <w:p w:rsidR="00B77F00" w:rsidRDefault="00B77F00">
      <w:pPr>
        <w:pStyle w:val="Standard"/>
        <w:jc w:val="both"/>
      </w:pPr>
    </w:p>
    <w:p w:rsidR="00B77F00" w:rsidRDefault="00865FA3">
      <w:pPr>
        <w:pStyle w:val="Standard"/>
        <w:jc w:val="both"/>
      </w:pPr>
      <w:r>
        <w:rPr>
          <w:rStyle w:val="CharacterStyle1"/>
          <w:rFonts w:eastAsia="Times New Roman" w:cs="Arial"/>
          <w:b/>
          <w:bCs/>
          <w:lang w:val="pl-PL"/>
        </w:rPr>
        <w:t>3. SPRZĘT</w:t>
      </w:r>
    </w:p>
    <w:p w:rsidR="00B77F00" w:rsidRDefault="00865FA3">
      <w:pPr>
        <w:pStyle w:val="Standard"/>
        <w:jc w:val="both"/>
      </w:pPr>
      <w:r>
        <w:rPr>
          <w:rStyle w:val="WW-DefaultParagraphFont"/>
          <w:rFonts w:eastAsia="Times New Roman" w:cs="Arial"/>
          <w:lang w:val="pl-PL"/>
        </w:rPr>
        <w:t>Wykonawca jest zobowiązany do używania jedynie takiego sprzętu, który nie spowoduje niekorzystnego wpływu na jakość wykonywanych robót. Sprzęt używany do robót powinien być zgodny z ofertą Wykonawcy i powinien odpowiadać pod względem typów i ilości wskazan</w:t>
      </w:r>
      <w:r>
        <w:rPr>
          <w:rStyle w:val="WW-DefaultParagraphFont"/>
          <w:rFonts w:eastAsia="Times New Roman" w:cs="Arial"/>
          <w:lang w:val="pl-PL"/>
        </w:rPr>
        <w:t>iom zawartym w STWIORB, PZJ lub projekcie organizacji robót, zaakceptowanym przez Inżyniera/Kierownika projektu; w przypadku braku ustaleń w wymienionych wyżej dokumentach, sprzęt powinien być uzgodniony i zaakceptowany przez Inżyniera/Kierownika projektu.</w:t>
      </w:r>
    </w:p>
    <w:p w:rsidR="00B77F00" w:rsidRDefault="00865FA3">
      <w:pPr>
        <w:pStyle w:val="Standard"/>
        <w:jc w:val="both"/>
      </w:pPr>
      <w:r>
        <w:rPr>
          <w:rStyle w:val="WW-DefaultParagraphFont"/>
          <w:rFonts w:eastAsia="Times New Roman" w:cs="Arial"/>
          <w:lang w:val="pl-PL"/>
        </w:rPr>
        <w:t>Liczba i wydajność sprzętu powinny gwarantować przeprowadzenie robót, zgodnie z zasadami określonymi w dokumentacji projektowej, STWIORB i wskazaniach Inżyniera/ Kierownika projektu.</w:t>
      </w:r>
    </w:p>
    <w:p w:rsidR="00B77F00" w:rsidRDefault="00865FA3">
      <w:pPr>
        <w:pStyle w:val="Standard"/>
        <w:jc w:val="both"/>
      </w:pPr>
      <w:r>
        <w:rPr>
          <w:rStyle w:val="WW-DefaultParagraphFont"/>
          <w:rFonts w:eastAsia="Times New Roman" w:cs="Arial"/>
          <w:lang w:val="pl-PL"/>
        </w:rPr>
        <w:t>Sprzęt będący własnością Wykonawcy lub wynajęty do wykonania robót ma by</w:t>
      </w:r>
      <w:r>
        <w:rPr>
          <w:rStyle w:val="WW-DefaultParagraphFont"/>
          <w:rFonts w:eastAsia="Times New Roman" w:cs="Arial"/>
          <w:lang w:val="pl-PL"/>
        </w:rPr>
        <w:t>ć utrzymywany w dobrym stanie i gotowości do pracy. Powinien być zgodny z normami ochrony środowiska i przepisami dotyczącymi jego użytkowania.</w:t>
      </w:r>
    </w:p>
    <w:p w:rsidR="00B77F00" w:rsidRDefault="00865FA3">
      <w:pPr>
        <w:pStyle w:val="Standard"/>
        <w:jc w:val="both"/>
      </w:pPr>
      <w:r>
        <w:rPr>
          <w:rStyle w:val="WW-DefaultParagraphFont"/>
          <w:rFonts w:eastAsia="Times New Roman" w:cs="Arial"/>
          <w:lang w:val="pl-PL"/>
        </w:rPr>
        <w:t xml:space="preserve">Wykonawca dostarczy Inżynierowi/Kierownikowi projektu kopie dokumentów potwierdzających dopuszczenie </w:t>
      </w:r>
      <w:r>
        <w:rPr>
          <w:rStyle w:val="WW-DefaultParagraphFont"/>
          <w:rFonts w:eastAsia="Times New Roman" w:cs="Arial"/>
          <w:lang w:val="pl-PL"/>
        </w:rPr>
        <w:lastRenderedPageBreak/>
        <w:t xml:space="preserve">sprzętu do </w:t>
      </w:r>
      <w:r>
        <w:rPr>
          <w:rStyle w:val="WW-DefaultParagraphFont"/>
          <w:rFonts w:eastAsia="Times New Roman" w:cs="Arial"/>
          <w:lang w:val="pl-PL"/>
        </w:rPr>
        <w:t>użytkowania i badań okresowych, tam gdzie jest to wymagane przepisami.</w:t>
      </w:r>
    </w:p>
    <w:p w:rsidR="00B77F00" w:rsidRDefault="00865FA3">
      <w:pPr>
        <w:pStyle w:val="Standard"/>
        <w:jc w:val="both"/>
      </w:pPr>
      <w:r>
        <w:rPr>
          <w:rStyle w:val="WW-DefaultParagraphFont"/>
          <w:rFonts w:eastAsia="Times New Roman" w:cs="Arial"/>
          <w:lang w:val="pl-PL"/>
        </w:rPr>
        <w:t>Wykonawca będzie konserwować sprzęt jak również naprawiać lub wymieniać sprzęt niesprawny.</w:t>
      </w:r>
    </w:p>
    <w:p w:rsidR="00B77F00" w:rsidRDefault="00865FA3">
      <w:pPr>
        <w:pStyle w:val="Standard"/>
        <w:jc w:val="both"/>
      </w:pPr>
      <w:r>
        <w:rPr>
          <w:rStyle w:val="WW-DefaultParagraphFont"/>
          <w:rFonts w:eastAsia="Times New Roman" w:cs="Arial"/>
          <w:lang w:val="pl-PL"/>
        </w:rPr>
        <w:t xml:space="preserve">Jeżeli dokumentacja projektowa lub STWIORB przewidują możliwość wariantowego użycia sprzętu </w:t>
      </w:r>
      <w:r>
        <w:rPr>
          <w:rStyle w:val="WW-DefaultParagraphFont"/>
          <w:rFonts w:eastAsia="Times New Roman" w:cs="Arial"/>
          <w:lang w:val="pl-PL"/>
        </w:rPr>
        <w:t>przy wykonywanych robotach, Wykonawca powiadomi Inżyniera/ Kierownika projektu o swoim zamiarze wyboru i uzyska jego akceptację przed użyciem sprzętu. Wybrany sprzęt, po akceptacji Inżyniera/Kierownika projektu, nie może być później zmieniany bez jego zgod</w:t>
      </w:r>
      <w:r>
        <w:rPr>
          <w:rStyle w:val="WW-DefaultParagraphFont"/>
          <w:rFonts w:eastAsia="Times New Roman" w:cs="Arial"/>
          <w:lang w:val="pl-PL"/>
        </w:rPr>
        <w:t>y.</w:t>
      </w:r>
    </w:p>
    <w:p w:rsidR="00B77F00" w:rsidRDefault="00865FA3">
      <w:pPr>
        <w:pStyle w:val="Standard"/>
        <w:jc w:val="both"/>
      </w:pPr>
      <w:r>
        <w:rPr>
          <w:rStyle w:val="WW-DefaultParagraphFont"/>
          <w:rFonts w:eastAsia="Times New Roman" w:cs="Arial"/>
          <w:lang w:val="pl-PL"/>
        </w:rPr>
        <w:t>Jakikolwiek sprzęt, maszyny, urządzenia i narzędzia nie gwarantujące zachowania warunków umowy, zostaną przez Inżyniera/Kierownika projektu zdyskwalifikowane i nie dopuszczone do robót.</w:t>
      </w:r>
    </w:p>
    <w:p w:rsidR="00B77F00" w:rsidRDefault="00B77F00">
      <w:pPr>
        <w:pStyle w:val="Standard"/>
        <w:jc w:val="both"/>
      </w:pPr>
    </w:p>
    <w:p w:rsidR="00B77F00" w:rsidRDefault="00865FA3">
      <w:pPr>
        <w:pStyle w:val="Standard"/>
        <w:jc w:val="both"/>
      </w:pPr>
      <w:r>
        <w:rPr>
          <w:rStyle w:val="CharacterStyle1"/>
          <w:rFonts w:eastAsia="Times New Roman" w:cs="Arial"/>
          <w:b/>
          <w:bCs/>
          <w:lang w:val="pl-PL"/>
        </w:rPr>
        <w:t>4. TRANSPORT</w:t>
      </w:r>
    </w:p>
    <w:p w:rsidR="00B77F00" w:rsidRDefault="00865FA3">
      <w:pPr>
        <w:pStyle w:val="Standard"/>
        <w:jc w:val="both"/>
      </w:pPr>
      <w:r>
        <w:rPr>
          <w:rStyle w:val="WW-DefaultParagraphFont"/>
          <w:rFonts w:eastAsia="Times New Roman" w:cs="Arial"/>
          <w:lang w:val="pl-PL"/>
        </w:rPr>
        <w:t>Wykonawca jest zobowiązany do stosowania jedynie taki</w:t>
      </w:r>
      <w:r>
        <w:rPr>
          <w:rStyle w:val="WW-DefaultParagraphFont"/>
          <w:rFonts w:eastAsia="Times New Roman" w:cs="Arial"/>
          <w:lang w:val="pl-PL"/>
        </w:rPr>
        <w:t>ch środków transportu, które nie wpłyną niekorzystnie na jakość wykonywanych robót i właściwości przewożonych materiałów.</w:t>
      </w:r>
    </w:p>
    <w:p w:rsidR="00B77F00" w:rsidRDefault="00865FA3">
      <w:pPr>
        <w:pStyle w:val="Standard"/>
        <w:jc w:val="both"/>
      </w:pPr>
      <w:r>
        <w:rPr>
          <w:rStyle w:val="WW-DefaultParagraphFont"/>
          <w:rFonts w:eastAsia="Times New Roman" w:cs="Arial"/>
          <w:lang w:val="pl-PL"/>
        </w:rPr>
        <w:t>Liczba środków transportu powinna zapewniać prowadzenie robót zgodnie z zasadami określonymi w dokumentacji projektowej, STWIORB i wsk</w:t>
      </w:r>
      <w:r>
        <w:rPr>
          <w:rStyle w:val="WW-DefaultParagraphFont"/>
          <w:rFonts w:eastAsia="Times New Roman" w:cs="Arial"/>
          <w:lang w:val="pl-PL"/>
        </w:rPr>
        <w:t>azaniach Inżyniera/ Kierownika projektu, w terminie przewidzianym umową.</w:t>
      </w:r>
    </w:p>
    <w:p w:rsidR="00B77F00" w:rsidRDefault="00865FA3">
      <w:pPr>
        <w:pStyle w:val="Standard"/>
        <w:jc w:val="both"/>
      </w:pPr>
      <w:r>
        <w:rPr>
          <w:rStyle w:val="WW-DefaultParagraphFont"/>
          <w:rFonts w:eastAsia="Times New Roman" w:cs="Arial"/>
          <w:lang w:val="pl-PL"/>
        </w:rPr>
        <w:t xml:space="preserve">Przy ruchu na drogach publicznych pojazdy będą spełniać wymagania dotyczące przepisów ruchu drogowego w odniesieniu do dopuszczalnych nacisków na oś i innych parametrów technicznych. </w:t>
      </w:r>
      <w:r>
        <w:rPr>
          <w:rStyle w:val="WW-DefaultParagraphFont"/>
          <w:rFonts w:eastAsia="Times New Roman" w:cs="Arial"/>
          <w:lang w:val="pl-PL"/>
        </w:rPr>
        <w:t>Środki transportu nie spełniające tych warunków mogą być dopuszczone przez Inżyniera/Kierownika projektu, pod warunkiem przywrócenia stanu pierwotnego użytkowanych odcinków dróg na koszt Wykonawcy.</w:t>
      </w:r>
    </w:p>
    <w:p w:rsidR="00B77F00" w:rsidRDefault="00865FA3">
      <w:pPr>
        <w:pStyle w:val="Standard"/>
        <w:jc w:val="both"/>
      </w:pPr>
      <w:r>
        <w:rPr>
          <w:rStyle w:val="WW-DefaultParagraphFont"/>
          <w:rFonts w:eastAsia="Times New Roman" w:cs="Arial"/>
          <w:lang w:val="pl-PL"/>
        </w:rPr>
        <w:t>Wykonawca będzie usuwać na bieżąco, na własny koszt, wszel</w:t>
      </w:r>
      <w:r>
        <w:rPr>
          <w:rStyle w:val="WW-DefaultParagraphFont"/>
          <w:rFonts w:eastAsia="Times New Roman" w:cs="Arial"/>
          <w:lang w:val="pl-PL"/>
        </w:rPr>
        <w:t>kie zanieczyszczenia, uszkodzenia spowodowane jego pojazdami na drogach publicznych oraz dojazdach do terenu budowy.</w:t>
      </w:r>
    </w:p>
    <w:p w:rsidR="00B77F00" w:rsidRDefault="00B77F00">
      <w:pPr>
        <w:pStyle w:val="Standard"/>
        <w:jc w:val="both"/>
      </w:pPr>
    </w:p>
    <w:p w:rsidR="00B77F00" w:rsidRDefault="00865FA3">
      <w:pPr>
        <w:pStyle w:val="Standard"/>
        <w:jc w:val="both"/>
      </w:pPr>
      <w:r>
        <w:rPr>
          <w:rStyle w:val="CharacterStyle1"/>
          <w:rFonts w:eastAsia="Times New Roman" w:cs="Arial"/>
          <w:b/>
          <w:bCs/>
          <w:lang w:val="pl-PL"/>
        </w:rPr>
        <w:t>5. WYKONANIE ROBÓT</w:t>
      </w:r>
    </w:p>
    <w:p w:rsidR="00B77F00" w:rsidRDefault="00865FA3">
      <w:pPr>
        <w:pStyle w:val="Standard"/>
        <w:jc w:val="both"/>
      </w:pPr>
      <w:r>
        <w:rPr>
          <w:rStyle w:val="WW-DefaultParagraphFont"/>
          <w:rFonts w:eastAsia="Times New Roman" w:cs="Arial"/>
          <w:lang w:val="pl-PL"/>
        </w:rPr>
        <w:t xml:space="preserve">Wykonawca jest odpowiedzialny za prowadzenie robót zgodnie z warunkami umowy oraz za jakość zastosowanych materiałów i </w:t>
      </w:r>
      <w:r>
        <w:rPr>
          <w:rStyle w:val="WW-DefaultParagraphFont"/>
          <w:rFonts w:eastAsia="Times New Roman" w:cs="Arial"/>
          <w:lang w:val="pl-PL"/>
        </w:rPr>
        <w:t>wykonywanych robót, za ich zgodność z dokumentacją projektową, wymaganiami STWIORB, PZJ, projektem organizacji robót opracowanym przez Wykonawcę oraz poleceniami Inżyniera/Kierownika projektu.</w:t>
      </w:r>
    </w:p>
    <w:p w:rsidR="00B77F00" w:rsidRDefault="00865FA3">
      <w:pPr>
        <w:pStyle w:val="Standard"/>
        <w:jc w:val="both"/>
      </w:pPr>
      <w:r>
        <w:rPr>
          <w:rStyle w:val="WW-DefaultParagraphFont"/>
          <w:rFonts w:eastAsia="Times New Roman" w:cs="Arial"/>
          <w:lang w:val="pl-PL"/>
        </w:rPr>
        <w:t>Wykonawca jest odpowiedzialny za stosowane metody wykonywania r</w:t>
      </w:r>
      <w:r>
        <w:rPr>
          <w:rStyle w:val="WW-DefaultParagraphFont"/>
          <w:rFonts w:eastAsia="Times New Roman" w:cs="Arial"/>
          <w:lang w:val="pl-PL"/>
        </w:rPr>
        <w:t>obót.</w:t>
      </w:r>
    </w:p>
    <w:p w:rsidR="00B77F00" w:rsidRDefault="00865FA3">
      <w:pPr>
        <w:pStyle w:val="Standard"/>
        <w:jc w:val="both"/>
      </w:pPr>
      <w:r>
        <w:rPr>
          <w:rStyle w:val="WW-DefaultParagraphFont"/>
          <w:rFonts w:eastAsia="Times New Roman" w:cs="Arial"/>
          <w:lang w:val="pl-PL"/>
        </w:rPr>
        <w:t>Wykonawca jest odpowiedzialny za dokładne wytyczenie w planie i wyznaczenie wysokości wszystkich elementów robót zgodnie z wymiarami i rzędnymi określonymi w dokumentacji projektowej lub przekazanymi na piśmie przez Inżyniera/Kierownika projektu.</w:t>
      </w:r>
    </w:p>
    <w:p w:rsidR="00B77F00" w:rsidRDefault="00865FA3">
      <w:pPr>
        <w:pStyle w:val="Standard"/>
        <w:jc w:val="both"/>
      </w:pPr>
      <w:r>
        <w:rPr>
          <w:rStyle w:val="WW-DefaultParagraphFont"/>
          <w:rFonts w:eastAsia="Times New Roman" w:cs="Arial"/>
          <w:lang w:val="pl-PL"/>
        </w:rPr>
        <w:t>Błę</w:t>
      </w:r>
      <w:r>
        <w:rPr>
          <w:rStyle w:val="WW-DefaultParagraphFont"/>
          <w:rFonts w:eastAsia="Times New Roman" w:cs="Arial"/>
          <w:lang w:val="pl-PL"/>
        </w:rPr>
        <w:t>dy popełnione przez Wykonawcę w wytyczeniu i wyznaczaniu robót zostaną, usunięte przez Wykonawcę na własny koszt, z wyjątkiem, kiedy dany błąd okaże się skutkiem błędu zawartego w danych dostarczonych Wykonawcy na piśmie przez Inżyniera/ Kierownika projekt</w:t>
      </w:r>
      <w:r>
        <w:rPr>
          <w:rStyle w:val="WW-DefaultParagraphFont"/>
          <w:rFonts w:eastAsia="Times New Roman" w:cs="Arial"/>
          <w:lang w:val="pl-PL"/>
        </w:rPr>
        <w:t>u.</w:t>
      </w:r>
    </w:p>
    <w:p w:rsidR="00B77F00" w:rsidRDefault="00865FA3">
      <w:pPr>
        <w:pStyle w:val="Standard"/>
        <w:jc w:val="both"/>
      </w:pPr>
      <w:r>
        <w:rPr>
          <w:rStyle w:val="WW-DefaultParagraphFont"/>
          <w:rFonts w:eastAsia="Times New Roman" w:cs="Arial"/>
          <w:lang w:val="pl-PL"/>
        </w:rPr>
        <w:t>Sprawdzenie wytyczenia robót lub wyznaczenia wysokości przez Inżyniera/ Kierownika projektu nie zwalnia Wykonawcy od odpowiedzialności za ich dokładność.</w:t>
      </w:r>
    </w:p>
    <w:p w:rsidR="00B77F00" w:rsidRDefault="00865FA3">
      <w:pPr>
        <w:pStyle w:val="Standard"/>
        <w:jc w:val="both"/>
      </w:pPr>
      <w:r>
        <w:rPr>
          <w:rStyle w:val="WW-DefaultParagraphFont"/>
          <w:rFonts w:eastAsia="Times New Roman" w:cs="Arial"/>
          <w:lang w:val="pl-PL"/>
        </w:rPr>
        <w:t>Decyzje Inżyniera/Kierownika projektu dotyczące akceptacji lub odrzucenia materiałów i elementów ro</w:t>
      </w:r>
      <w:r>
        <w:rPr>
          <w:rStyle w:val="WW-DefaultParagraphFont"/>
          <w:rFonts w:eastAsia="Times New Roman" w:cs="Arial"/>
          <w:lang w:val="pl-PL"/>
        </w:rPr>
        <w:t>bót będą oparte na wymaganiach określonych w dokumentach umowy, dokumentacji projektowej i w STWIORB, a także w normach i wytycznych. Przy podejmowaniu decyzji Inżynier/Kierownik projektu uwzględni wyniki badań materiałów i robót, rozrzuty normalnie występ</w:t>
      </w:r>
      <w:r>
        <w:rPr>
          <w:rStyle w:val="WW-DefaultParagraphFont"/>
          <w:rFonts w:eastAsia="Times New Roman" w:cs="Arial"/>
          <w:lang w:val="pl-PL"/>
        </w:rPr>
        <w:t>ujące przy produkcji i przy badaniach materiałów, doświadczenia z przeszłości, wyniki badań naukowych oraz inne czynniki wpływające na rozważaną kwestię.</w:t>
      </w:r>
    </w:p>
    <w:p w:rsidR="00B77F00" w:rsidRDefault="00865FA3">
      <w:pPr>
        <w:pStyle w:val="Standard"/>
        <w:jc w:val="both"/>
      </w:pPr>
      <w:r>
        <w:rPr>
          <w:rStyle w:val="WW-DefaultParagraphFont"/>
          <w:rFonts w:eastAsia="Times New Roman" w:cs="Arial"/>
          <w:lang w:val="pl-PL"/>
        </w:rPr>
        <w:t>Polecenia Inżyniera/Kierownika projektu powinny być wykonywane przez Wykonawcę w czasie określonym prz</w:t>
      </w:r>
      <w:r>
        <w:rPr>
          <w:rStyle w:val="WW-DefaultParagraphFont"/>
          <w:rFonts w:eastAsia="Times New Roman" w:cs="Arial"/>
          <w:lang w:val="pl-PL"/>
        </w:rPr>
        <w:t>ez Inżyniera/Kierownika projektu, pod groźbą zatrzymania robót. Skutki finansowe z tego tytułu poniesie Wykonawca.</w:t>
      </w:r>
    </w:p>
    <w:p w:rsidR="00B77F00" w:rsidRDefault="00B77F00">
      <w:pPr>
        <w:pStyle w:val="Standard"/>
        <w:jc w:val="both"/>
      </w:pPr>
    </w:p>
    <w:p w:rsidR="00B77F00" w:rsidRDefault="00865FA3">
      <w:pPr>
        <w:pStyle w:val="Standard"/>
        <w:jc w:val="both"/>
      </w:pPr>
      <w:r>
        <w:rPr>
          <w:rStyle w:val="CharacterStyle1"/>
          <w:rFonts w:eastAsia="Times New Roman" w:cs="Arial"/>
          <w:b/>
          <w:bCs/>
          <w:lang w:val="pl-PL"/>
        </w:rPr>
        <w:t>6. KONTROLA JAKOŚCI ROBÓT</w:t>
      </w:r>
    </w:p>
    <w:p w:rsidR="00B77F00" w:rsidRDefault="00865FA3">
      <w:pPr>
        <w:pStyle w:val="Standard"/>
        <w:jc w:val="both"/>
      </w:pPr>
      <w:r>
        <w:rPr>
          <w:rStyle w:val="CharacterStyle1"/>
          <w:rFonts w:eastAsia="Times New Roman" w:cs="Arial"/>
          <w:b/>
          <w:bCs/>
          <w:lang w:val="pl-PL"/>
        </w:rPr>
        <w:t>6.1. Program zapewnienia jakości</w:t>
      </w:r>
    </w:p>
    <w:p w:rsidR="00B77F00" w:rsidRDefault="00865FA3">
      <w:pPr>
        <w:pStyle w:val="Standard"/>
        <w:jc w:val="both"/>
      </w:pPr>
      <w:r>
        <w:rPr>
          <w:rStyle w:val="WW-DefaultParagraphFont"/>
          <w:rFonts w:eastAsia="Times New Roman" w:cs="Arial"/>
          <w:lang w:val="pl-PL"/>
        </w:rPr>
        <w:t>Wykonawca jest zobowiązany opracować i przedstawić do akceptacji Inżyniera/ Kiero</w:t>
      </w:r>
      <w:r>
        <w:rPr>
          <w:rStyle w:val="WW-DefaultParagraphFont"/>
          <w:rFonts w:eastAsia="Times New Roman" w:cs="Arial"/>
          <w:lang w:val="pl-PL"/>
        </w:rPr>
        <w:t>wnika projektu program zapewnienia jakości. W programie zapewnienia jakości Wykonawca powinien określić, zamierzony sposób wykonywania robót, możliwości techniczne, kadrowe i plan organizacji robót gwarantujący wykonanie robót zgodnie z dokumentacją projek</w:t>
      </w:r>
      <w:r>
        <w:rPr>
          <w:rStyle w:val="WW-DefaultParagraphFont"/>
          <w:rFonts w:eastAsia="Times New Roman" w:cs="Arial"/>
          <w:lang w:val="pl-PL"/>
        </w:rPr>
        <w:t>tową, STWIORB oraz ustaleniami</w:t>
      </w:r>
    </w:p>
    <w:p w:rsidR="00B77F00" w:rsidRDefault="00865FA3">
      <w:pPr>
        <w:pStyle w:val="Standard"/>
        <w:jc w:val="both"/>
      </w:pPr>
      <w:r>
        <w:rPr>
          <w:rStyle w:val="WW-DefaultParagraphFont"/>
          <w:rFonts w:eastAsia="Times New Roman" w:cs="Arial"/>
          <w:lang w:val="pl-PL"/>
        </w:rPr>
        <w:t>Program zapewnienia jakości powinien zawierać:</w:t>
      </w:r>
    </w:p>
    <w:p w:rsidR="00B77F00" w:rsidRDefault="00865FA3">
      <w:pPr>
        <w:pStyle w:val="Standard"/>
        <w:jc w:val="both"/>
      </w:pPr>
      <w:r>
        <w:rPr>
          <w:rStyle w:val="WW-DefaultParagraphFont"/>
          <w:rFonts w:eastAsia="Times New Roman" w:cs="Arial"/>
          <w:lang w:val="pl-PL"/>
        </w:rPr>
        <w:t>a) część ogólną opisującą:</w:t>
      </w:r>
    </w:p>
    <w:p w:rsidR="00B77F00" w:rsidRDefault="00865FA3">
      <w:pPr>
        <w:pStyle w:val="Standard"/>
        <w:numPr>
          <w:ilvl w:val="0"/>
          <w:numId w:val="88"/>
        </w:numPr>
        <w:jc w:val="both"/>
      </w:pPr>
      <w:r>
        <w:rPr>
          <w:rStyle w:val="WW-DefaultParagraphFont"/>
          <w:rFonts w:eastAsia="Times New Roman" w:cs="Arial"/>
          <w:lang w:val="pl-PL"/>
        </w:rPr>
        <w:t>organizację wykonania robót, w tym terminy i sposób prowadzenia robót,</w:t>
      </w:r>
    </w:p>
    <w:p w:rsidR="00B77F00" w:rsidRDefault="00865FA3">
      <w:pPr>
        <w:pStyle w:val="Standard"/>
        <w:numPr>
          <w:ilvl w:val="0"/>
          <w:numId w:val="18"/>
        </w:numPr>
        <w:jc w:val="both"/>
      </w:pPr>
      <w:r>
        <w:rPr>
          <w:rStyle w:val="WW-DefaultParagraphFont"/>
          <w:rFonts w:eastAsia="Times New Roman" w:cs="Arial"/>
          <w:lang w:val="pl-PL"/>
        </w:rPr>
        <w:t>organizację ruchu na budowie wraz z oznakowaniem robót,</w:t>
      </w:r>
    </w:p>
    <w:p w:rsidR="00B77F00" w:rsidRDefault="00865FA3">
      <w:pPr>
        <w:pStyle w:val="Standard"/>
        <w:numPr>
          <w:ilvl w:val="0"/>
          <w:numId w:val="18"/>
        </w:numPr>
        <w:jc w:val="both"/>
      </w:pPr>
      <w:r>
        <w:rPr>
          <w:rStyle w:val="WW-DefaultParagraphFont"/>
          <w:rFonts w:eastAsia="Times New Roman" w:cs="Arial"/>
          <w:lang w:val="pl-PL"/>
        </w:rPr>
        <w:t>sposób zapewnienia bhp.,</w:t>
      </w:r>
    </w:p>
    <w:p w:rsidR="00B77F00" w:rsidRDefault="00865FA3">
      <w:pPr>
        <w:pStyle w:val="Standard"/>
        <w:numPr>
          <w:ilvl w:val="0"/>
          <w:numId w:val="18"/>
        </w:numPr>
        <w:jc w:val="both"/>
      </w:pPr>
      <w:r>
        <w:rPr>
          <w:rStyle w:val="WW-DefaultParagraphFont"/>
          <w:rFonts w:eastAsia="Times New Roman" w:cs="Arial"/>
          <w:lang w:val="pl-PL"/>
        </w:rPr>
        <w:t>wykaz zespołów roboczych, ich kwalifikacje i przygotowanie praktyczne,</w:t>
      </w:r>
    </w:p>
    <w:p w:rsidR="00B77F00" w:rsidRDefault="00865FA3">
      <w:pPr>
        <w:pStyle w:val="Standard"/>
        <w:numPr>
          <w:ilvl w:val="0"/>
          <w:numId w:val="18"/>
        </w:numPr>
        <w:jc w:val="both"/>
      </w:pPr>
      <w:r>
        <w:rPr>
          <w:rStyle w:val="WW-DefaultParagraphFont"/>
          <w:rFonts w:eastAsia="Times New Roman" w:cs="Arial"/>
          <w:lang w:val="pl-PL"/>
        </w:rPr>
        <w:t>wykaz osób odpowiedzialnych za jakość i terminowość wykonania poszczególnych elementów robót,</w:t>
      </w:r>
    </w:p>
    <w:p w:rsidR="00B77F00" w:rsidRDefault="00865FA3">
      <w:pPr>
        <w:pStyle w:val="Standard"/>
        <w:numPr>
          <w:ilvl w:val="0"/>
          <w:numId w:val="18"/>
        </w:numPr>
        <w:jc w:val="both"/>
      </w:pPr>
      <w:r>
        <w:rPr>
          <w:rStyle w:val="WW-DefaultParagraphFont"/>
          <w:rFonts w:eastAsia="Times New Roman" w:cs="Arial"/>
          <w:lang w:val="pl-PL"/>
        </w:rPr>
        <w:lastRenderedPageBreak/>
        <w:t>system (sposób i procedurę) proponowanej kontroli i sterowania jakością wykonywanych robót</w:t>
      </w:r>
      <w:r>
        <w:rPr>
          <w:rStyle w:val="WW-DefaultParagraphFont"/>
          <w:rFonts w:eastAsia="Times New Roman" w:cs="Arial"/>
          <w:lang w:val="pl-PL"/>
        </w:rPr>
        <w:t>, wyposażenie w sprzęt i urządzenia do pomiarów i kontroli (opis laboratorium własnego lub laboratorium, któremu Wykonawca zamierza zlecić prowadzenie badań),</w:t>
      </w:r>
    </w:p>
    <w:p w:rsidR="00B77F00" w:rsidRDefault="00865FA3">
      <w:pPr>
        <w:pStyle w:val="Standard"/>
        <w:numPr>
          <w:ilvl w:val="0"/>
          <w:numId w:val="18"/>
        </w:numPr>
        <w:jc w:val="both"/>
      </w:pPr>
      <w:r>
        <w:rPr>
          <w:noProof/>
        </w:rPr>
        <mc:AlternateContent>
          <mc:Choice Requires="wps">
            <w:drawing>
              <wp:anchor distT="0" distB="0" distL="114300" distR="114300" simplePos="0" relativeHeight="2" behindDoc="1" locked="0" layoutInCell="1" allowOverlap="1">
                <wp:simplePos x="0" y="0"/>
                <wp:positionH relativeFrom="page">
                  <wp:posOffset>27360</wp:posOffset>
                </wp:positionH>
                <wp:positionV relativeFrom="page">
                  <wp:posOffset>623520</wp:posOffset>
                </wp:positionV>
                <wp:extent cx="5727240" cy="0"/>
                <wp:effectExtent l="0" t="0" r="0" b="0"/>
                <wp:wrapNone/>
                <wp:docPr id="5" name="Łącznik prosty 5"/>
                <wp:cNvGraphicFramePr/>
                <a:graphic xmlns:a="http://schemas.openxmlformats.org/drawingml/2006/main">
                  <a:graphicData uri="http://schemas.microsoft.com/office/word/2010/wordprocessingShape">
                    <wps:wsp>
                      <wps:cNvCnPr/>
                      <wps:spPr>
                        <a:xfrm>
                          <a:off x="0" y="0"/>
                          <a:ext cx="5727240" cy="0"/>
                        </a:xfrm>
                        <a:prstGeom prst="line">
                          <a:avLst/>
                        </a:prstGeom>
                        <a:noFill/>
                        <a:ln w="7560">
                          <a:solidFill>
                            <a:srgbClr val="808080"/>
                          </a:solidFill>
                          <a:prstDash val="solid"/>
                          <a:round/>
                        </a:ln>
                      </wps:spPr>
                      <wps:bodyPr/>
                    </wps:wsp>
                  </a:graphicData>
                </a:graphic>
              </wp:anchor>
            </w:drawing>
          </mc:Choice>
          <mc:Fallback>
            <w:pict>
              <v:line w14:anchorId="51E75084" id="Łącznik prosty 5" o:spid="_x0000_s1026" style="position:absolute;z-index:-503316478;visibility:visible;mso-wrap-style:square;mso-wrap-distance-left:9pt;mso-wrap-distance-top:0;mso-wrap-distance-right:9pt;mso-wrap-distance-bottom:0;mso-position-horizontal:absolute;mso-position-horizontal-relative:page;mso-position-vertical:absolute;mso-position-vertical-relative:page" from="2.15pt,49.1pt" to="453.1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" strokecolor="gray" strokeweight=".21mm">
                <w10:wrap anchorx="page" anchory="page"/>
              </v:line>
            </w:pict>
          </mc:Fallback>
        </mc:AlternateContent>
      </w:r>
      <w:r>
        <w:rPr>
          <w:rStyle w:val="WW-DefaultParagraphFont"/>
          <w:rFonts w:eastAsia="Times New Roman" w:cs="Arial"/>
          <w:lang w:val="pl-PL"/>
        </w:rPr>
        <w:t>sposób oraz formę gromadzenia wyników badań laboratoryjnych, zapis pomiarów, nastaw mechanizm</w:t>
      </w:r>
      <w:r>
        <w:rPr>
          <w:rStyle w:val="WW-DefaultParagraphFont"/>
          <w:rFonts w:eastAsia="Times New Roman" w:cs="Arial"/>
          <w:lang w:val="pl-PL"/>
        </w:rPr>
        <w:t>ów sterujących, a także wyciąganych wniosków i zastosowanych korekt w procesie</w:t>
      </w:r>
    </w:p>
    <w:p w:rsidR="00B77F00" w:rsidRDefault="00865FA3">
      <w:pPr>
        <w:pStyle w:val="Standard"/>
        <w:numPr>
          <w:ilvl w:val="0"/>
          <w:numId w:val="18"/>
        </w:numPr>
        <w:jc w:val="both"/>
      </w:pPr>
      <w:r>
        <w:rPr>
          <w:noProof/>
        </w:rPr>
        <mc:AlternateContent>
          <mc:Choice Requires="wps">
            <w:drawing>
              <wp:anchor distT="0" distB="0" distL="114300" distR="114300" simplePos="0" relativeHeight="3" behindDoc="1" locked="0" layoutInCell="1" allowOverlap="1">
                <wp:simplePos x="0" y="0"/>
                <wp:positionH relativeFrom="page">
                  <wp:posOffset>27360</wp:posOffset>
                </wp:positionH>
                <wp:positionV relativeFrom="page">
                  <wp:posOffset>3960</wp:posOffset>
                </wp:positionV>
                <wp:extent cx="5727240" cy="0"/>
                <wp:effectExtent l="0" t="0" r="0" b="0"/>
                <wp:wrapNone/>
                <wp:docPr id="6" name="Łącznik prosty 6"/>
                <wp:cNvGraphicFramePr/>
                <a:graphic xmlns:a="http://schemas.openxmlformats.org/drawingml/2006/main">
                  <a:graphicData uri="http://schemas.microsoft.com/office/word/2010/wordprocessingShape">
                    <wps:wsp>
                      <wps:cNvCnPr/>
                      <wps:spPr>
                        <a:xfrm>
                          <a:off x="0" y="0"/>
                          <a:ext cx="5727240" cy="0"/>
                        </a:xfrm>
                        <a:prstGeom prst="line">
                          <a:avLst/>
                        </a:prstGeom>
                        <a:noFill/>
                        <a:ln w="7560">
                          <a:solidFill>
                            <a:srgbClr val="808080"/>
                          </a:solidFill>
                          <a:prstDash val="solid"/>
                          <a:round/>
                        </a:ln>
                      </wps:spPr>
                      <wps:bodyPr/>
                    </wps:wsp>
                  </a:graphicData>
                </a:graphic>
              </wp:anchor>
            </w:drawing>
          </mc:Choice>
          <mc:Fallback>
            <w:pict>
              <v:line w14:anchorId="004D03A8" id="Łącznik prosty 6" o:spid="_x0000_s1026" style="position:absolute;z-index:-503316477;visibility:visible;mso-wrap-style:square;mso-wrap-distance-left:9pt;mso-wrap-distance-top:0;mso-wrap-distance-right:9pt;mso-wrap-distance-bottom:0;mso-position-horizontal:absolute;mso-position-horizontal-relative:page;mso-position-vertical:absolute;mso-position-vertical-relative:page" from="2.15pt,.3pt" to="453.1pt,.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" strokecolor="gray" strokeweight=".21mm">
                <w10:wrap anchorx="page" anchory="page"/>
              </v:line>
            </w:pict>
          </mc:Fallback>
        </mc:AlternateContent>
      </w:r>
      <w:r>
        <w:rPr>
          <w:rStyle w:val="WW-DefaultParagraphFont"/>
          <w:rFonts w:eastAsia="Times New Roman" w:cs="Arial"/>
          <w:lang w:val="pl-PL"/>
        </w:rPr>
        <w:t>technologicznym, proponowany sposób i formę przekazywania tych informacji Inżynierowi/Kierownikowi projektu;</w:t>
      </w:r>
    </w:p>
    <w:p w:rsidR="00B77F00" w:rsidRDefault="00865FA3">
      <w:pPr>
        <w:pStyle w:val="Standard"/>
        <w:jc w:val="both"/>
      </w:pPr>
      <w:r>
        <w:rPr>
          <w:rStyle w:val="WW-DefaultParagraphFont"/>
          <w:rFonts w:eastAsia="Times New Roman" w:cs="Arial"/>
          <w:lang w:val="pl-PL"/>
        </w:rPr>
        <w:t>b) część szczegółową opisującą dla każdego asortymentu robót:</w:t>
      </w:r>
    </w:p>
    <w:p w:rsidR="00B77F00" w:rsidRDefault="00865FA3">
      <w:pPr>
        <w:pStyle w:val="Standard"/>
        <w:numPr>
          <w:ilvl w:val="0"/>
          <w:numId w:val="89"/>
        </w:numPr>
        <w:jc w:val="both"/>
      </w:pPr>
      <w:r>
        <w:rPr>
          <w:rStyle w:val="WW-DefaultParagraphFont"/>
          <w:rFonts w:eastAsia="Times New Roman" w:cs="Arial"/>
          <w:lang w:val="pl-PL"/>
        </w:rPr>
        <w:t>wy</w:t>
      </w:r>
      <w:r>
        <w:rPr>
          <w:rStyle w:val="WW-DefaultParagraphFont"/>
          <w:rFonts w:eastAsia="Times New Roman" w:cs="Arial"/>
          <w:lang w:val="pl-PL"/>
        </w:rPr>
        <w:t>kaz maszyn i urządzeń stosowanych na budowie z ich parametrami technicznymi oraz wyposażeniem w mechanizmy do sterowania i urządzenia pomiarowo-kontrolne,</w:t>
      </w:r>
    </w:p>
    <w:p w:rsidR="00B77F00" w:rsidRDefault="00865FA3">
      <w:pPr>
        <w:pStyle w:val="Standard"/>
        <w:numPr>
          <w:ilvl w:val="0"/>
          <w:numId w:val="19"/>
        </w:numPr>
        <w:jc w:val="both"/>
      </w:pPr>
      <w:r>
        <w:rPr>
          <w:rStyle w:val="WW-DefaultParagraphFont"/>
          <w:rFonts w:eastAsia="Times New Roman" w:cs="Arial"/>
          <w:lang w:val="pl-PL"/>
        </w:rPr>
        <w:t>rodzaje i ilość środków transportu oraz urządzeń do magazynowania i załadunku materiałów, spoiw, lepi</w:t>
      </w:r>
      <w:r>
        <w:rPr>
          <w:rStyle w:val="WW-DefaultParagraphFont"/>
          <w:rFonts w:eastAsia="Times New Roman" w:cs="Arial"/>
          <w:lang w:val="pl-PL"/>
        </w:rPr>
        <w:t>szczy, kruszyw itp.,</w:t>
      </w:r>
    </w:p>
    <w:p w:rsidR="00B77F00" w:rsidRDefault="00865FA3">
      <w:pPr>
        <w:pStyle w:val="Standard"/>
        <w:numPr>
          <w:ilvl w:val="0"/>
          <w:numId w:val="19"/>
        </w:numPr>
        <w:jc w:val="both"/>
      </w:pPr>
      <w:r>
        <w:rPr>
          <w:rStyle w:val="WW-DefaultParagraphFont"/>
          <w:rFonts w:eastAsia="Times New Roman" w:cs="Arial"/>
          <w:lang w:val="pl-PL"/>
        </w:rPr>
        <w:t>sposób zabezpieczenia i ochrony ładunków przed utratą ich właściwości w czasie transportu,</w:t>
      </w:r>
    </w:p>
    <w:p w:rsidR="00B77F00" w:rsidRDefault="00865FA3">
      <w:pPr>
        <w:pStyle w:val="Standard"/>
        <w:numPr>
          <w:ilvl w:val="0"/>
          <w:numId w:val="19"/>
        </w:numPr>
        <w:jc w:val="both"/>
      </w:pPr>
      <w:r>
        <w:rPr>
          <w:rStyle w:val="WW-DefaultParagraphFont"/>
          <w:rFonts w:eastAsia="Times New Roman" w:cs="Arial"/>
          <w:lang w:val="pl-PL"/>
        </w:rPr>
        <w:t>sposób i procedurę pomiarów i badań (rodzaj i częstotliwość, pobieranie próbek, legalizacja i sprawdzanie urządzeń, itp.) prowadzonych podczas d</w:t>
      </w:r>
      <w:r>
        <w:rPr>
          <w:rStyle w:val="WW-DefaultParagraphFont"/>
          <w:rFonts w:eastAsia="Times New Roman" w:cs="Arial"/>
          <w:lang w:val="pl-PL"/>
        </w:rPr>
        <w:t>ostaw materiałów, wytwarzania mieszanek i wykonywania poszczególnych elementów robót,</w:t>
      </w:r>
    </w:p>
    <w:p w:rsidR="00B77F00" w:rsidRDefault="00865FA3">
      <w:pPr>
        <w:pStyle w:val="Standard"/>
        <w:numPr>
          <w:ilvl w:val="0"/>
          <w:numId w:val="19"/>
        </w:numPr>
        <w:jc w:val="both"/>
      </w:pPr>
      <w:r>
        <w:rPr>
          <w:rStyle w:val="WW-DefaultParagraphFont"/>
          <w:rFonts w:eastAsia="Times New Roman" w:cs="Arial"/>
          <w:lang w:val="pl-PL"/>
        </w:rPr>
        <w:t>sposób postępowania z materiałami i robotami nie odpowiadającymi wymaganiom.</w:t>
      </w:r>
    </w:p>
    <w:p w:rsidR="00B77F00" w:rsidRDefault="00865FA3">
      <w:pPr>
        <w:pStyle w:val="Standard"/>
        <w:jc w:val="both"/>
      </w:pPr>
      <w:r>
        <w:rPr>
          <w:rStyle w:val="CharacterStyle1"/>
          <w:rFonts w:eastAsia="Times New Roman" w:cs="Arial"/>
          <w:b/>
          <w:bCs/>
          <w:lang w:val="pl-PL"/>
        </w:rPr>
        <w:t>6.2. Zasady kontroli jakości robót</w:t>
      </w:r>
    </w:p>
    <w:p w:rsidR="00B77F00" w:rsidRDefault="00865FA3">
      <w:pPr>
        <w:pStyle w:val="Standard"/>
        <w:jc w:val="both"/>
      </w:pPr>
      <w:r>
        <w:rPr>
          <w:rStyle w:val="WW-DefaultParagraphFont"/>
          <w:rFonts w:eastAsia="Times New Roman" w:cs="Arial"/>
          <w:lang w:val="pl-PL"/>
        </w:rPr>
        <w:t>Celem kontroli robót będzie takie sterowanie ich przygotow</w:t>
      </w:r>
      <w:r>
        <w:rPr>
          <w:rStyle w:val="WW-DefaultParagraphFont"/>
          <w:rFonts w:eastAsia="Times New Roman" w:cs="Arial"/>
          <w:lang w:val="pl-PL"/>
        </w:rPr>
        <w:t>aniem i wykonaniem, aby osiągnąć założoną jakość robót.</w:t>
      </w:r>
    </w:p>
    <w:p w:rsidR="00B77F00" w:rsidRDefault="00865FA3">
      <w:pPr>
        <w:pStyle w:val="Standard"/>
        <w:jc w:val="both"/>
      </w:pPr>
      <w:r>
        <w:rPr>
          <w:rStyle w:val="WW-DefaultParagraphFont"/>
          <w:rFonts w:eastAsia="Times New Roman" w:cs="Arial"/>
          <w:lang w:val="pl-PL"/>
        </w:rPr>
        <w:t xml:space="preserve">Wykonawca jest odpowiedzialny za pełną kontrolę robót i jakości materiałów. Wykonawca zapewni odpowiedni system kontroli, włączając personel, laboratorium, sprzęt, zaopatrzenie i wszystkie urządzenia </w:t>
      </w:r>
      <w:r>
        <w:rPr>
          <w:rStyle w:val="WW-DefaultParagraphFont"/>
          <w:rFonts w:eastAsia="Times New Roman" w:cs="Arial"/>
          <w:lang w:val="pl-PL"/>
        </w:rPr>
        <w:t>niezbędne do pobierania próbek i badań materiałów oraz robót.</w:t>
      </w:r>
    </w:p>
    <w:p w:rsidR="00B77F00" w:rsidRDefault="00865FA3">
      <w:pPr>
        <w:pStyle w:val="Standard"/>
        <w:jc w:val="both"/>
      </w:pPr>
      <w:r>
        <w:rPr>
          <w:rStyle w:val="WW-DefaultParagraphFont"/>
          <w:rFonts w:eastAsia="Times New Roman" w:cs="Arial"/>
          <w:lang w:val="pl-PL"/>
        </w:rPr>
        <w:t>Przed zatwierdzeniem systemu kontroli Inżynier/Kierownik projektu może zażądać od Wykonawcy przeprowadzenia badań w celu zademonstrowania, że poziom ich wykonywania jest zadowalający.</w:t>
      </w:r>
    </w:p>
    <w:p w:rsidR="00B77F00" w:rsidRDefault="00865FA3">
      <w:pPr>
        <w:pStyle w:val="Standard"/>
        <w:jc w:val="both"/>
      </w:pPr>
      <w:r>
        <w:rPr>
          <w:rStyle w:val="WW-DefaultParagraphFont"/>
          <w:rFonts w:eastAsia="Times New Roman" w:cs="Arial"/>
          <w:lang w:val="pl-PL"/>
        </w:rPr>
        <w:t xml:space="preserve">Wykonawca </w:t>
      </w:r>
      <w:r>
        <w:rPr>
          <w:rStyle w:val="WW-DefaultParagraphFont"/>
          <w:rFonts w:eastAsia="Times New Roman" w:cs="Arial"/>
          <w:lang w:val="pl-PL"/>
        </w:rPr>
        <w:t>będzie przeprowadzać pomiary i badania materiałów oraz robót z częstotliwością zapewniającą stwierdzenie, że roboty wykonano zgodnie z wymaganiami zawartymi w dokumentacji projektowej i STWIORB</w:t>
      </w:r>
    </w:p>
    <w:p w:rsidR="00B77F00" w:rsidRDefault="00865FA3">
      <w:pPr>
        <w:pStyle w:val="Standard"/>
        <w:jc w:val="both"/>
      </w:pPr>
      <w:r>
        <w:rPr>
          <w:rStyle w:val="WW-DefaultParagraphFont"/>
          <w:rFonts w:eastAsia="Times New Roman" w:cs="Arial"/>
          <w:lang w:val="pl-PL"/>
        </w:rPr>
        <w:t>Minimalne wymagania co do zakresu badań i ich częstotliwość są</w:t>
      </w:r>
      <w:r>
        <w:rPr>
          <w:rStyle w:val="WW-DefaultParagraphFont"/>
          <w:rFonts w:eastAsia="Times New Roman" w:cs="Arial"/>
          <w:lang w:val="pl-PL"/>
        </w:rPr>
        <w:t xml:space="preserve"> określone w STWIORB, normach i wytycznych. W przypadku, gdy nie zostały one tam określone, Inżynier/ Kierownik projektu ustali jaki zakres kontroli jest konieczny, aby zapewnić wykonanie robót zgodnie z umową.</w:t>
      </w:r>
    </w:p>
    <w:p w:rsidR="00B77F00" w:rsidRDefault="00865FA3">
      <w:pPr>
        <w:pStyle w:val="Standard"/>
        <w:jc w:val="both"/>
      </w:pPr>
      <w:r>
        <w:rPr>
          <w:rStyle w:val="WW-DefaultParagraphFont"/>
          <w:rFonts w:eastAsia="Times New Roman" w:cs="Arial"/>
          <w:lang w:val="pl-PL"/>
        </w:rPr>
        <w:t xml:space="preserve">Wykonawca dostarczy Inżynierowi/Kierownikowi </w:t>
      </w:r>
      <w:r>
        <w:rPr>
          <w:rStyle w:val="WW-DefaultParagraphFont"/>
          <w:rFonts w:eastAsia="Times New Roman" w:cs="Arial"/>
          <w:lang w:val="pl-PL"/>
        </w:rPr>
        <w:t>projektu świadectwa, że wszystkie stosowane urządzenia i sprzęt badawczy posiadają ważną legalizację, zostały prawidłowo wykalibrowane i odpowiadają wymaganiom norm określających procedury badań.</w:t>
      </w:r>
    </w:p>
    <w:p w:rsidR="00B77F00" w:rsidRDefault="00865FA3">
      <w:pPr>
        <w:pStyle w:val="Standard"/>
        <w:jc w:val="both"/>
      </w:pPr>
      <w:r>
        <w:rPr>
          <w:rStyle w:val="WW-DefaultParagraphFont"/>
          <w:rFonts w:eastAsia="Times New Roman" w:cs="Arial"/>
          <w:lang w:val="pl-PL"/>
        </w:rPr>
        <w:t>Inżynier/Kierownik projektu będzie mieć nieograniczony dostę</w:t>
      </w:r>
      <w:r>
        <w:rPr>
          <w:rStyle w:val="WW-DefaultParagraphFont"/>
          <w:rFonts w:eastAsia="Times New Roman" w:cs="Arial"/>
          <w:lang w:val="pl-PL"/>
        </w:rPr>
        <w:t>p do pomieszczeń laboratoryjnych, w celu ich inspekcji.</w:t>
      </w:r>
    </w:p>
    <w:p w:rsidR="00B77F00" w:rsidRDefault="00865FA3">
      <w:pPr>
        <w:pStyle w:val="Standard"/>
        <w:jc w:val="both"/>
      </w:pPr>
      <w:r>
        <w:rPr>
          <w:rStyle w:val="WW-DefaultParagraphFont"/>
          <w:rFonts w:eastAsia="Times New Roman" w:cs="Arial"/>
          <w:lang w:val="pl-PL"/>
        </w:rPr>
        <w:t xml:space="preserve">Inżynier/Kierownik projektu będzie przekazywać Wykonawcy pisemne informacje o jakichkolwiek niedociągnięciach dotyczących urządzeń laboratoryjnych, sprzętu, zaopatrzenia laboratorium, pracy personelu </w:t>
      </w:r>
      <w:r>
        <w:rPr>
          <w:rStyle w:val="WW-DefaultParagraphFont"/>
          <w:rFonts w:eastAsia="Times New Roman" w:cs="Arial"/>
          <w:lang w:val="pl-PL"/>
        </w:rPr>
        <w:t>lub metod badawczych. Jeżeli niedociągnięcia te będą tak poważne, że mogą wpłynąć ujemnie na wyniki badań, Inżynier/Kierownik projektu natychmiast wstrzyma użycie do robót badanych materiałów i dopuści je do użycia dopiero wtedy, gdy niedociągnięcia w prac</w:t>
      </w:r>
      <w:r>
        <w:rPr>
          <w:rStyle w:val="WW-DefaultParagraphFont"/>
          <w:rFonts w:eastAsia="Times New Roman" w:cs="Arial"/>
          <w:lang w:val="pl-PL"/>
        </w:rPr>
        <w:t>y laboratorium Wykonawcy zostaną usunięte i stwierdzona zostanie odpowiednia jakość tych materiałów.</w:t>
      </w:r>
    </w:p>
    <w:p w:rsidR="00B77F00" w:rsidRDefault="00865FA3">
      <w:pPr>
        <w:pStyle w:val="Standard"/>
        <w:jc w:val="both"/>
      </w:pPr>
      <w:r>
        <w:rPr>
          <w:rStyle w:val="WW-DefaultParagraphFont"/>
          <w:rFonts w:eastAsia="Times New Roman" w:cs="Arial"/>
          <w:lang w:val="pl-PL"/>
        </w:rPr>
        <w:t>Wszystkie koszty związane z organizowaniem i prowadzeniem badań materiałów ponosi Wykonawca.</w:t>
      </w:r>
    </w:p>
    <w:p w:rsidR="00B77F00" w:rsidRDefault="00865FA3">
      <w:pPr>
        <w:pStyle w:val="Standard"/>
        <w:jc w:val="both"/>
      </w:pPr>
      <w:r>
        <w:rPr>
          <w:rStyle w:val="CharacterStyle1"/>
          <w:rFonts w:eastAsia="Times New Roman" w:cs="Arial"/>
          <w:b/>
          <w:bCs/>
          <w:lang w:val="pl-PL"/>
        </w:rPr>
        <w:t>6.3. Pobieranie próbek</w:t>
      </w:r>
    </w:p>
    <w:p w:rsidR="00B77F00" w:rsidRDefault="00865FA3">
      <w:pPr>
        <w:pStyle w:val="Standard"/>
        <w:jc w:val="both"/>
      </w:pPr>
      <w:r>
        <w:rPr>
          <w:rStyle w:val="WW-DefaultParagraphFont"/>
          <w:rFonts w:eastAsia="Times New Roman" w:cs="Arial"/>
          <w:lang w:val="pl-PL"/>
        </w:rPr>
        <w:t>Próbki będą pobierane losowo. Zaleca s</w:t>
      </w:r>
      <w:r>
        <w:rPr>
          <w:rStyle w:val="WW-DefaultParagraphFont"/>
          <w:rFonts w:eastAsia="Times New Roman" w:cs="Arial"/>
          <w:lang w:val="pl-PL"/>
        </w:rPr>
        <w:t>ię stosowanie statystycznych metod pobierania próbek, opartych na zasadzie, że wszystkie jednostkowe elementy produkcji mogą być z jednakowym prawdopodobieństwem wytypowane do badań.</w:t>
      </w:r>
    </w:p>
    <w:p w:rsidR="00B77F00" w:rsidRDefault="00865FA3">
      <w:pPr>
        <w:pStyle w:val="Standard"/>
        <w:jc w:val="both"/>
      </w:pPr>
      <w:r>
        <w:rPr>
          <w:rStyle w:val="WW-DefaultParagraphFont"/>
          <w:rFonts w:eastAsia="Times New Roman" w:cs="Arial"/>
          <w:lang w:val="pl-PL"/>
        </w:rPr>
        <w:t>Inżynier/Kierownik projektu będzie mieć zapewnioną możliwość udziału w</w:t>
      </w:r>
      <w:r>
        <w:rPr>
          <w:rStyle w:val="WW-DefaultParagraphFont"/>
          <w:rFonts w:eastAsia="Times New Roman" w:cs="Arial"/>
          <w:lang w:val="pl-PL"/>
        </w:rPr>
        <w:tab/>
        <w:t>po</w:t>
      </w:r>
      <w:r>
        <w:rPr>
          <w:rStyle w:val="WW-DefaultParagraphFont"/>
          <w:rFonts w:eastAsia="Times New Roman" w:cs="Arial"/>
          <w:lang w:val="pl-PL"/>
        </w:rPr>
        <w:t>bieraniu próbek.</w:t>
      </w:r>
    </w:p>
    <w:p w:rsidR="00B77F00" w:rsidRDefault="00865FA3">
      <w:pPr>
        <w:pStyle w:val="Standard"/>
        <w:jc w:val="both"/>
      </w:pPr>
      <w:r>
        <w:rPr>
          <w:rStyle w:val="WW-DefaultParagraphFont"/>
          <w:rFonts w:eastAsia="Times New Roman" w:cs="Arial"/>
          <w:lang w:val="pl-PL"/>
        </w:rPr>
        <w:t>Pojemniki do pobierania próbek będą dostarczone przez Wykonawcę i zatwierdzone przez Inżyniera/Kierownika projektu. Próbki dostarczone przez Wykonawcę do badań wykonywanych przez Inżyniera/Kierownik projektu będą odpowiednio opisane i ozna</w:t>
      </w:r>
      <w:r>
        <w:rPr>
          <w:rStyle w:val="WW-DefaultParagraphFont"/>
          <w:rFonts w:eastAsia="Times New Roman" w:cs="Arial"/>
          <w:lang w:val="pl-PL"/>
        </w:rPr>
        <w:t>kowane, w sposób zaakceptowany przez Inżyniera/Kierownika projektu.</w:t>
      </w:r>
    </w:p>
    <w:p w:rsidR="00B77F00" w:rsidRDefault="00865FA3">
      <w:pPr>
        <w:pStyle w:val="Standard"/>
        <w:jc w:val="both"/>
      </w:pPr>
      <w:r>
        <w:rPr>
          <w:rStyle w:val="WW-DefaultParagraphFont"/>
          <w:rFonts w:eastAsia="Times New Roman" w:cs="Arial"/>
          <w:lang w:val="pl-PL"/>
        </w:rPr>
        <w:t>Na zlecenie Inżyniera/Kierownika projektu Wykonawca będzie przeprowadzać dodatkowe badania tych materiałów, które budzą wątpliwości co do jakości, o ile kwestionowane materiały nie zostaną</w:t>
      </w:r>
      <w:r>
        <w:rPr>
          <w:rStyle w:val="WW-DefaultParagraphFont"/>
          <w:rFonts w:eastAsia="Times New Roman" w:cs="Arial"/>
          <w:lang w:val="pl-PL"/>
        </w:rPr>
        <w:t xml:space="preserve"> przez Wykonawcę usunięte lub ulepszone z własnej woli. Koszty tych dodatkowych badań pokrywa Wykonawca tylko w przypadku stwierdzenia usterek; w przeciwnym przypadku koszty te pokrywa Zamawiający.</w:t>
      </w:r>
    </w:p>
    <w:p w:rsidR="00B77F00" w:rsidRDefault="00865FA3">
      <w:pPr>
        <w:pStyle w:val="Standard"/>
        <w:jc w:val="both"/>
      </w:pPr>
      <w:r>
        <w:rPr>
          <w:rStyle w:val="CharacterStyle1"/>
          <w:rFonts w:eastAsia="Times New Roman" w:cs="Arial"/>
          <w:b/>
          <w:bCs/>
          <w:lang w:val="pl-PL"/>
        </w:rPr>
        <w:t>6.4. Badania i pomiary</w:t>
      </w:r>
    </w:p>
    <w:p w:rsidR="00B77F00" w:rsidRDefault="00865FA3">
      <w:pPr>
        <w:pStyle w:val="Standard"/>
        <w:jc w:val="both"/>
      </w:pPr>
      <w:r>
        <w:rPr>
          <w:rStyle w:val="WW-DefaultParagraphFont"/>
          <w:rFonts w:eastAsia="Times New Roman" w:cs="Arial"/>
          <w:lang w:val="pl-PL"/>
        </w:rPr>
        <w:t>Wszystkie badania i pomiary będą pr</w:t>
      </w:r>
      <w:r>
        <w:rPr>
          <w:rStyle w:val="WW-DefaultParagraphFont"/>
          <w:rFonts w:eastAsia="Times New Roman" w:cs="Arial"/>
          <w:lang w:val="pl-PL"/>
        </w:rPr>
        <w:t xml:space="preserve">zeprowadzone zgodnie z wymaganiami norm. W przypadku, gdy normy </w:t>
      </w:r>
      <w:r>
        <w:rPr>
          <w:rStyle w:val="WW-DefaultParagraphFont"/>
          <w:rFonts w:eastAsia="Times New Roman" w:cs="Arial"/>
          <w:lang w:val="pl-PL"/>
        </w:rPr>
        <w:lastRenderedPageBreak/>
        <w:t>nie obejmują jakiegokolwiek badania wymaganego w STWIORB, stosować można wytyczne krajowe, albo inne procedury, zaakceptowane przez Inżyniera/ Kierownika projektu.</w:t>
      </w:r>
    </w:p>
    <w:p w:rsidR="00B77F00" w:rsidRDefault="00865FA3">
      <w:pPr>
        <w:pStyle w:val="Standard"/>
        <w:jc w:val="both"/>
      </w:pPr>
      <w:r>
        <w:rPr>
          <w:rStyle w:val="WW-DefaultParagraphFont"/>
          <w:rFonts w:eastAsia="Times New Roman" w:cs="Arial"/>
          <w:lang w:val="pl-PL"/>
        </w:rPr>
        <w:t>Przed przystąpieniem do pomi</w:t>
      </w:r>
      <w:r>
        <w:rPr>
          <w:rStyle w:val="WW-DefaultParagraphFont"/>
          <w:rFonts w:eastAsia="Times New Roman" w:cs="Arial"/>
          <w:lang w:val="pl-PL"/>
        </w:rPr>
        <w:t>arów lub badań, Wykonawca powiadomi Inżyniera/ Kierownika projektu o rodzaju, miejscu i terminie pomiaru lub badania. Po wykonaniu pomiaru lub badania, Wykonawca przedstawi na piśmie ich wyniki do akceptacji Inżyniera/ Kierownika projektu.</w:t>
      </w:r>
    </w:p>
    <w:p w:rsidR="00B77F00" w:rsidRDefault="00865FA3">
      <w:pPr>
        <w:pStyle w:val="Standard"/>
        <w:jc w:val="both"/>
      </w:pPr>
      <w:r>
        <w:rPr>
          <w:rStyle w:val="CharacterStyle1"/>
          <w:rFonts w:eastAsia="Times New Roman" w:cs="Arial"/>
          <w:b/>
          <w:bCs/>
          <w:lang w:val="pl-PL"/>
        </w:rPr>
        <w:t>6.5. Raporty z b</w:t>
      </w:r>
      <w:r>
        <w:rPr>
          <w:rStyle w:val="CharacterStyle1"/>
          <w:rFonts w:eastAsia="Times New Roman" w:cs="Arial"/>
          <w:b/>
          <w:bCs/>
          <w:lang w:val="pl-PL"/>
        </w:rPr>
        <w:t>adań</w:t>
      </w:r>
    </w:p>
    <w:p w:rsidR="00B77F00" w:rsidRDefault="00865FA3">
      <w:pPr>
        <w:pStyle w:val="Standard"/>
        <w:jc w:val="both"/>
      </w:pPr>
      <w:r>
        <w:rPr>
          <w:rStyle w:val="WW-DefaultParagraphFont"/>
          <w:rFonts w:eastAsia="Times New Roman" w:cs="Arial"/>
          <w:lang w:val="pl-PL"/>
        </w:rPr>
        <w:t>Wykonawca będzie przekazywać Inżynierowi/Kierownikowi projektu kopie raportów z wynikami badań jak najszybciej, nie później jednak niż w terminie określonym w programie zapewnienia jakości.</w:t>
      </w:r>
    </w:p>
    <w:p w:rsidR="00B77F00" w:rsidRDefault="00865FA3">
      <w:pPr>
        <w:pStyle w:val="Standard"/>
        <w:jc w:val="both"/>
      </w:pPr>
      <w:r>
        <w:rPr>
          <w:rStyle w:val="WW-DefaultParagraphFont"/>
          <w:rFonts w:eastAsia="Times New Roman" w:cs="Arial"/>
          <w:lang w:val="pl-PL"/>
        </w:rPr>
        <w:t>Wyniki badań (kopie) będą przekazywane Inżynierowi/Kierowniko</w:t>
      </w:r>
      <w:r>
        <w:rPr>
          <w:rStyle w:val="WW-DefaultParagraphFont"/>
          <w:rFonts w:eastAsia="Times New Roman" w:cs="Arial"/>
          <w:lang w:val="pl-PL"/>
        </w:rPr>
        <w:t>wi projektu na formularzach według dostarczonego przez niego wzoru lub innych, przez niego zaaprobowanych.</w:t>
      </w:r>
    </w:p>
    <w:p w:rsidR="00B77F00" w:rsidRDefault="00865FA3">
      <w:pPr>
        <w:pStyle w:val="Standard"/>
        <w:jc w:val="both"/>
      </w:pPr>
      <w:r>
        <w:rPr>
          <w:rStyle w:val="CharacterStyle1"/>
          <w:rFonts w:eastAsia="Times New Roman" w:cs="Arial"/>
          <w:b/>
          <w:bCs/>
          <w:lang w:val="pl-PL"/>
        </w:rPr>
        <w:t>6.6. Badania prowadzone przez Inżyniera/Kierownika projektu</w:t>
      </w:r>
    </w:p>
    <w:p w:rsidR="00B77F00" w:rsidRDefault="00865FA3">
      <w:pPr>
        <w:pStyle w:val="Standard"/>
        <w:jc w:val="both"/>
      </w:pPr>
      <w:r>
        <w:rPr>
          <w:rStyle w:val="WW-DefaultParagraphFont"/>
          <w:rFonts w:eastAsia="Times New Roman" w:cs="Arial"/>
          <w:lang w:val="pl-PL"/>
        </w:rPr>
        <w:t xml:space="preserve">Inżynier/Kierownik projektu jest uprawniony do dokonywania kontroli, pobierania próbek i </w:t>
      </w:r>
      <w:r>
        <w:rPr>
          <w:rStyle w:val="WW-DefaultParagraphFont"/>
          <w:rFonts w:eastAsia="Times New Roman" w:cs="Arial"/>
          <w:lang w:val="pl-PL"/>
        </w:rPr>
        <w:t>badania materiałów w miejscu ich wytwarzania/pozyskiwania, a Wykonawca i producent materiałów powinien udzielić mu niezbędnej pomocy.</w:t>
      </w:r>
    </w:p>
    <w:p w:rsidR="00B77F00" w:rsidRDefault="00865FA3">
      <w:pPr>
        <w:pStyle w:val="Standard"/>
        <w:jc w:val="both"/>
      </w:pPr>
      <w:r>
        <w:rPr>
          <w:rStyle w:val="WW-DefaultParagraphFont"/>
          <w:rFonts w:eastAsia="Times New Roman" w:cs="Arial"/>
          <w:lang w:val="pl-PL"/>
        </w:rPr>
        <w:t>Inżynier/Kierownik projektu, dokonując weryfikacji systemu kontroli robót prowadzonego przez Wykonawcę, poprzez między inn</w:t>
      </w:r>
      <w:r>
        <w:rPr>
          <w:rStyle w:val="WW-DefaultParagraphFont"/>
          <w:rFonts w:eastAsia="Times New Roman" w:cs="Arial"/>
          <w:lang w:val="pl-PL"/>
        </w:rPr>
        <w:t>ymi swoje badania, będzie oceniać zgodność materiałów i robót z wymaganiami STWIORB na podstawie wyników własnych badań kontrolnych jak i wyników badań dostarczonych przez Wykonawcę.</w:t>
      </w:r>
    </w:p>
    <w:p w:rsidR="00B77F00" w:rsidRDefault="00865FA3">
      <w:pPr>
        <w:pStyle w:val="Standard"/>
        <w:jc w:val="both"/>
      </w:pPr>
      <w:r>
        <w:rPr>
          <w:rStyle w:val="WW-DefaultParagraphFont"/>
          <w:rFonts w:eastAsia="Times New Roman" w:cs="Arial"/>
          <w:lang w:val="pl-PL"/>
        </w:rPr>
        <w:t>Inżynier/Kierownik projektu powinien pobierać próbki materiałów i prowadz</w:t>
      </w:r>
      <w:r>
        <w:rPr>
          <w:rStyle w:val="WW-DefaultParagraphFont"/>
          <w:rFonts w:eastAsia="Times New Roman" w:cs="Arial"/>
          <w:lang w:val="pl-PL"/>
        </w:rPr>
        <w:t>ić badania niezależnie od Wykonawcy, na swój koszt. Jeżeli wyniki tych badań wykażą, że raporty Wykonawcy są niewiarygodne, to Inżynier/Kierownik projektu oprze się wyłącznie na własnych badaniach przy ocenie zgodności materiałów i robót z dokumentacją pro</w:t>
      </w:r>
      <w:r>
        <w:rPr>
          <w:rStyle w:val="WW-DefaultParagraphFont"/>
          <w:rFonts w:eastAsia="Times New Roman" w:cs="Arial"/>
          <w:lang w:val="pl-PL"/>
        </w:rPr>
        <w:t xml:space="preserve">jektową i STWIORB. Może również zlecić, sam lub poprzez Wykonawcę, przeprowadzenie powtórnych lub dodatkowych badań niezależnemu laboratorium. W takim przypadku całkowite koszty powtórnych lub dodatkowych badań i pobierania próbek poniesione zostaną przez </w:t>
      </w:r>
      <w:r>
        <w:rPr>
          <w:rStyle w:val="WW-DefaultParagraphFont"/>
          <w:rFonts w:eastAsia="Times New Roman" w:cs="Arial"/>
          <w:lang w:val="pl-PL"/>
        </w:rPr>
        <w:t>Wykonawcę.</w:t>
      </w:r>
    </w:p>
    <w:p w:rsidR="00B77F00" w:rsidRDefault="00865FA3">
      <w:pPr>
        <w:pStyle w:val="Standard"/>
        <w:jc w:val="both"/>
      </w:pPr>
      <w:r>
        <w:rPr>
          <w:rStyle w:val="CharacterStyle1"/>
          <w:rFonts w:eastAsia="Times New Roman" w:cs="Arial"/>
          <w:b/>
          <w:bCs/>
          <w:lang w:val="pl-PL"/>
        </w:rPr>
        <w:t>6.7. Certyfikaty i deklaracje</w:t>
      </w:r>
    </w:p>
    <w:p w:rsidR="00B77F00" w:rsidRDefault="00865FA3">
      <w:pPr>
        <w:pStyle w:val="Standard"/>
        <w:jc w:val="both"/>
      </w:pPr>
      <w:r>
        <w:rPr>
          <w:rStyle w:val="WW-DefaultParagraphFont"/>
          <w:rFonts w:eastAsia="Times New Roman" w:cs="Arial"/>
          <w:lang w:val="pl-PL"/>
        </w:rPr>
        <w:t>Do wykonania robót należy stosować materiały i wyroby spełniające wymagania ustawy z dnia 16 kwietnia 2004r o wyrobach budowlanych (DzU z 2004rNr 92 poz. 881 z późm. zmianami).</w:t>
      </w:r>
    </w:p>
    <w:p w:rsidR="00B77F00" w:rsidRDefault="00865FA3">
      <w:pPr>
        <w:pStyle w:val="Standard"/>
        <w:jc w:val="both"/>
      </w:pPr>
      <w:r>
        <w:rPr>
          <w:rStyle w:val="WW-DefaultParagraphFont"/>
          <w:rFonts w:eastAsia="Times New Roman" w:cs="Arial"/>
          <w:lang w:val="pl-PL"/>
        </w:rPr>
        <w:t>Inżynier/Kierownik projektu może dopu</w:t>
      </w:r>
      <w:r>
        <w:rPr>
          <w:rStyle w:val="WW-DefaultParagraphFont"/>
          <w:rFonts w:eastAsia="Times New Roman" w:cs="Arial"/>
          <w:lang w:val="pl-PL"/>
        </w:rPr>
        <w:t>ścić do użycia te materiały, które posiadają:</w:t>
      </w:r>
    </w:p>
    <w:p w:rsidR="00B77F00" w:rsidRDefault="00865FA3">
      <w:pPr>
        <w:pStyle w:val="Standard"/>
        <w:numPr>
          <w:ilvl w:val="0"/>
          <w:numId w:val="90"/>
        </w:numPr>
        <w:tabs>
          <w:tab w:val="left" w:pos="288"/>
        </w:tabs>
        <w:ind w:left="288" w:hanging="288"/>
        <w:jc w:val="both"/>
      </w:pPr>
      <w:r>
        <w:rPr>
          <w:rStyle w:val="WW-DefaultParagraphFont"/>
          <w:rFonts w:eastAsia="Times New Roman" w:cs="Arial"/>
          <w:lang w:val="pl-PL"/>
        </w:rPr>
        <w:t>certyfikat na znak bezpieczeństwa wykazujący, że zapewniono zgodność z kryteriami technicznymi określonymi na podstawie Polskich Norm, aprobat technicznych oraz właściwych przepisów i dokumentów technicznych,</w:t>
      </w:r>
    </w:p>
    <w:p w:rsidR="00B77F00" w:rsidRDefault="00865FA3">
      <w:pPr>
        <w:pStyle w:val="Standard"/>
        <w:numPr>
          <w:ilvl w:val="0"/>
          <w:numId w:val="90"/>
        </w:numPr>
        <w:tabs>
          <w:tab w:val="left" w:pos="288"/>
        </w:tabs>
        <w:ind w:left="288" w:hanging="288"/>
        <w:jc w:val="both"/>
      </w:pPr>
      <w:r>
        <w:rPr>
          <w:rStyle w:val="WW-DefaultParagraphFont"/>
          <w:rFonts w:eastAsia="Times New Roman" w:cs="Arial"/>
          <w:lang w:val="pl-PL"/>
        </w:rPr>
        <w:t>d</w:t>
      </w:r>
      <w:r>
        <w:rPr>
          <w:rStyle w:val="WW-DefaultParagraphFont"/>
          <w:rFonts w:eastAsia="Times New Roman" w:cs="Arial"/>
          <w:lang w:val="pl-PL"/>
        </w:rPr>
        <w:t>eklarację zgodności lub certyfikat zgodności z:</w:t>
      </w:r>
    </w:p>
    <w:p w:rsidR="00B77F00" w:rsidRDefault="00865FA3">
      <w:pPr>
        <w:pStyle w:val="Standard"/>
        <w:numPr>
          <w:ilvl w:val="0"/>
          <w:numId w:val="91"/>
        </w:numPr>
        <w:jc w:val="both"/>
      </w:pPr>
      <w:r>
        <w:rPr>
          <w:rStyle w:val="WW-DefaultParagraphFont"/>
          <w:rFonts w:eastAsia="Times New Roman" w:cs="Arial"/>
          <w:lang w:val="pl-PL"/>
        </w:rPr>
        <w:t>Polską Normą lub</w:t>
      </w:r>
    </w:p>
    <w:p w:rsidR="00B77F00" w:rsidRDefault="00865FA3">
      <w:pPr>
        <w:pStyle w:val="Standard"/>
        <w:numPr>
          <w:ilvl w:val="0"/>
          <w:numId w:val="20"/>
        </w:numPr>
        <w:jc w:val="both"/>
      </w:pPr>
      <w:r>
        <w:rPr>
          <w:rStyle w:val="WW-DefaultParagraphFont"/>
          <w:rFonts w:eastAsia="Times New Roman" w:cs="Arial"/>
          <w:lang w:val="pl-PL"/>
        </w:rPr>
        <w:t>aprobatą techniczną, w przypadku wyrobów, dla których nie ustanowiono Polskiej Normy, jeżeli nie są objęte certyfikacją określoną w pkt 1</w:t>
      </w:r>
    </w:p>
    <w:p w:rsidR="00B77F00" w:rsidRDefault="00865FA3">
      <w:pPr>
        <w:pStyle w:val="Standard"/>
        <w:jc w:val="both"/>
      </w:pPr>
      <w:r>
        <w:rPr>
          <w:rStyle w:val="WW-DefaultParagraphFont"/>
          <w:rFonts w:eastAsia="Times New Roman" w:cs="Arial"/>
          <w:lang w:val="pl-PL"/>
        </w:rPr>
        <w:t>i które spełniają wymogi STWIORB.</w:t>
      </w:r>
    </w:p>
    <w:p w:rsidR="00B77F00" w:rsidRDefault="00865FA3">
      <w:pPr>
        <w:pStyle w:val="Standard"/>
        <w:jc w:val="both"/>
      </w:pPr>
      <w:r>
        <w:rPr>
          <w:rStyle w:val="WW-DefaultParagraphFont"/>
          <w:rFonts w:eastAsia="Times New Roman" w:cs="Arial"/>
          <w:lang w:val="pl-PL"/>
        </w:rPr>
        <w:t xml:space="preserve">W przypadku </w:t>
      </w:r>
      <w:r>
        <w:rPr>
          <w:rStyle w:val="WW-DefaultParagraphFont"/>
          <w:rFonts w:eastAsia="Times New Roman" w:cs="Arial"/>
          <w:lang w:val="pl-PL"/>
        </w:rPr>
        <w:t>materiałów, dla których ww. dokumenty są wymagane przez STWIORB, każda partia dostarczona do robót będzie posiadać te dokumenty, określające w sposób jednoznaczny jej cechy.</w:t>
      </w:r>
    </w:p>
    <w:p w:rsidR="00B77F00" w:rsidRDefault="00865FA3">
      <w:pPr>
        <w:pStyle w:val="Standard"/>
        <w:jc w:val="both"/>
      </w:pPr>
      <w:r>
        <w:rPr>
          <w:rStyle w:val="WW-DefaultParagraphFont"/>
          <w:rFonts w:eastAsia="Times New Roman" w:cs="Arial"/>
          <w:lang w:val="pl-PL"/>
        </w:rPr>
        <w:t>Produkty przemysłowe muszą posiadać ww. dokumenty wydane przez producenta, a w raz</w:t>
      </w:r>
      <w:r>
        <w:rPr>
          <w:rStyle w:val="WW-DefaultParagraphFont"/>
          <w:rFonts w:eastAsia="Times New Roman" w:cs="Arial"/>
          <w:lang w:val="pl-PL"/>
        </w:rPr>
        <w:t>ie potrzeby poparte wynikami badań wykonanych przez niego. Kopie wyników tych badań będą dostarczone przez Wykonawcę Inżynierowi/Kierownikowi projektu.</w:t>
      </w:r>
    </w:p>
    <w:p w:rsidR="00B77F00" w:rsidRDefault="00865FA3">
      <w:pPr>
        <w:pStyle w:val="Standard"/>
        <w:jc w:val="both"/>
      </w:pPr>
      <w:r>
        <w:rPr>
          <w:rStyle w:val="WW-DefaultParagraphFont"/>
          <w:rFonts w:eastAsia="Times New Roman" w:cs="Arial"/>
          <w:lang w:val="pl-PL"/>
        </w:rPr>
        <w:t>Jakiekolwiek materiały, które nie spełniają tych wymagań będą odrzucone.</w:t>
      </w:r>
    </w:p>
    <w:p w:rsidR="00B77F00" w:rsidRDefault="00865FA3">
      <w:pPr>
        <w:pStyle w:val="Standard"/>
        <w:jc w:val="both"/>
      </w:pPr>
      <w:r>
        <w:rPr>
          <w:rStyle w:val="CharacterStyle1"/>
          <w:rFonts w:eastAsia="Times New Roman" w:cs="Arial"/>
          <w:b/>
          <w:bCs/>
          <w:lang w:val="pl-PL"/>
        </w:rPr>
        <w:t>6.8. Dokumenty budowy</w:t>
      </w:r>
    </w:p>
    <w:p w:rsidR="00B77F00" w:rsidRDefault="00865FA3">
      <w:pPr>
        <w:pStyle w:val="Standard"/>
        <w:jc w:val="both"/>
      </w:pPr>
      <w:r>
        <w:rPr>
          <w:rStyle w:val="WW-DefaultParagraphFont"/>
          <w:rFonts w:eastAsia="Times New Roman" w:cs="Arial"/>
          <w:lang w:val="pl-PL"/>
        </w:rPr>
        <w:t>(1) Dzien</w:t>
      </w:r>
      <w:r>
        <w:rPr>
          <w:rStyle w:val="WW-DefaultParagraphFont"/>
          <w:rFonts w:eastAsia="Times New Roman" w:cs="Arial"/>
          <w:lang w:val="pl-PL"/>
        </w:rPr>
        <w:t>nik budowy</w:t>
      </w:r>
    </w:p>
    <w:p w:rsidR="00B77F00" w:rsidRDefault="00865FA3">
      <w:pPr>
        <w:pStyle w:val="Standard"/>
        <w:jc w:val="both"/>
      </w:pPr>
      <w:r>
        <w:rPr>
          <w:rStyle w:val="WW-DefaultParagraphFont"/>
          <w:rFonts w:eastAsia="Times New Roman" w:cs="Arial"/>
          <w:lang w:val="pl-PL"/>
        </w:rPr>
        <w:t>Dziennik budowy jest wymaganym dokumentem prawnym obowiązującym Zamawiającego i Wykonawcę w okresie od przekazania Wykonawcy terenu budowy do końca okresu gwarancyjnego. Odpowiedzialność za prowadzenie dziennika budowy zgodnie z obowiązującymi p</w:t>
      </w:r>
      <w:r>
        <w:rPr>
          <w:rStyle w:val="WW-DefaultParagraphFont"/>
          <w:rFonts w:eastAsia="Times New Roman" w:cs="Arial"/>
          <w:lang w:val="pl-PL"/>
        </w:rPr>
        <w:t>rzepisami [2] spoczywa na Wykonawcy.</w:t>
      </w:r>
    </w:p>
    <w:p w:rsidR="00B77F00" w:rsidRDefault="00865FA3">
      <w:pPr>
        <w:pStyle w:val="Standard"/>
        <w:jc w:val="both"/>
      </w:pPr>
      <w:r>
        <w:rPr>
          <w:rStyle w:val="WW-DefaultParagraphFont"/>
          <w:rFonts w:eastAsia="Times New Roman" w:cs="Arial"/>
          <w:lang w:val="pl-PL"/>
        </w:rPr>
        <w:t>Zapisy w dzienniku budowy będą dokonywane na bieżąco i będą dotyczyć przebiegu robót, stanu bezpieczeństwa ludzi i mienia oraz technicznej i gospodarczej strony budowy.</w:t>
      </w:r>
    </w:p>
    <w:p w:rsidR="00B77F00" w:rsidRDefault="00865FA3">
      <w:pPr>
        <w:pStyle w:val="Standard"/>
        <w:jc w:val="both"/>
      </w:pPr>
      <w:r>
        <w:rPr>
          <w:rStyle w:val="WW-DefaultParagraphFont"/>
          <w:rFonts w:eastAsia="Times New Roman" w:cs="Arial"/>
          <w:lang w:val="pl-PL"/>
        </w:rPr>
        <w:t>Każdy zapis w dzienniku budowy będzie opatrzony da</w:t>
      </w:r>
      <w:r>
        <w:rPr>
          <w:rStyle w:val="WW-DefaultParagraphFont"/>
          <w:rFonts w:eastAsia="Times New Roman" w:cs="Arial"/>
          <w:lang w:val="pl-PL"/>
        </w:rPr>
        <w:t>tą jego dokonania, podpisem osoby, która dokonała zapisu, z podaniem jej imienia i nazwiska oraz stanowiska służbowego. Zapisy będą czytelne, dokonane trwałą techniką, w porządku chronologicznym, bezpośrednio jeden pod drugim, bez przerw.</w:t>
      </w:r>
    </w:p>
    <w:p w:rsidR="00B77F00" w:rsidRDefault="00865FA3">
      <w:pPr>
        <w:pStyle w:val="Standard"/>
        <w:jc w:val="both"/>
      </w:pPr>
      <w:r>
        <w:rPr>
          <w:rStyle w:val="WW-DefaultParagraphFont"/>
          <w:rFonts w:eastAsia="Times New Roman" w:cs="Arial"/>
          <w:lang w:val="pl-PL"/>
        </w:rPr>
        <w:t>Załączone do dzie</w:t>
      </w:r>
      <w:r>
        <w:rPr>
          <w:rStyle w:val="WW-DefaultParagraphFont"/>
          <w:rFonts w:eastAsia="Times New Roman" w:cs="Arial"/>
          <w:lang w:val="pl-PL"/>
        </w:rPr>
        <w:t>nnika budowy protokoły i inne dokumenty będą oznaczone kolejnym numerem załącznika i opatrzone datą i podpisem Wykonawcy i Inżyniera/ Kierownika projektu.</w:t>
      </w:r>
    </w:p>
    <w:p w:rsidR="00B77F00" w:rsidRDefault="00865FA3">
      <w:pPr>
        <w:pStyle w:val="Standard"/>
        <w:jc w:val="both"/>
      </w:pPr>
      <w:r>
        <w:rPr>
          <w:rStyle w:val="WW-DefaultParagraphFont"/>
          <w:rFonts w:eastAsia="Times New Roman" w:cs="Arial"/>
          <w:lang w:val="pl-PL"/>
        </w:rPr>
        <w:t>Do dziennika budowy należy wpisywać w szczególności:</w:t>
      </w:r>
    </w:p>
    <w:p w:rsidR="00B77F00" w:rsidRDefault="00865FA3">
      <w:pPr>
        <w:pStyle w:val="Standard"/>
        <w:numPr>
          <w:ilvl w:val="0"/>
          <w:numId w:val="92"/>
        </w:numPr>
        <w:jc w:val="both"/>
      </w:pPr>
      <w:r>
        <w:rPr>
          <w:rStyle w:val="WW-DefaultParagraphFont"/>
          <w:rFonts w:eastAsia="Times New Roman" w:cs="Arial"/>
          <w:lang w:val="pl-PL"/>
        </w:rPr>
        <w:t>datę przekazania Wykonawcy terenu budowy,</w:t>
      </w:r>
    </w:p>
    <w:p w:rsidR="00B77F00" w:rsidRDefault="00865FA3">
      <w:pPr>
        <w:pStyle w:val="Standard"/>
        <w:numPr>
          <w:ilvl w:val="0"/>
          <w:numId w:val="21"/>
        </w:numPr>
        <w:jc w:val="both"/>
      </w:pPr>
      <w:r>
        <w:rPr>
          <w:rStyle w:val="WW-DefaultParagraphFont"/>
          <w:rFonts w:eastAsia="Times New Roman" w:cs="Arial"/>
          <w:lang w:val="pl-PL"/>
        </w:rPr>
        <w:t>datę p</w:t>
      </w:r>
      <w:r>
        <w:rPr>
          <w:rStyle w:val="WW-DefaultParagraphFont"/>
          <w:rFonts w:eastAsia="Times New Roman" w:cs="Arial"/>
          <w:lang w:val="pl-PL"/>
        </w:rPr>
        <w:t>rzekazania przez Zamawiającego dokumentacji projektowej,</w:t>
      </w:r>
    </w:p>
    <w:p w:rsidR="00B77F00" w:rsidRDefault="00865FA3">
      <w:pPr>
        <w:pStyle w:val="Standard"/>
        <w:numPr>
          <w:ilvl w:val="0"/>
          <w:numId w:val="21"/>
        </w:numPr>
        <w:jc w:val="both"/>
      </w:pPr>
      <w:r>
        <w:rPr>
          <w:rStyle w:val="WW-DefaultParagraphFont"/>
          <w:rFonts w:eastAsia="Times New Roman" w:cs="Arial"/>
          <w:lang w:val="pl-PL"/>
        </w:rPr>
        <w:t xml:space="preserve">datę uzgodnienia przez Inżyniera/Kierownika projektu programu zapewnienia jakości </w:t>
      </w:r>
      <w:r>
        <w:rPr>
          <w:rStyle w:val="WW-DefaultParagraphFont"/>
          <w:rFonts w:eastAsia="Times New Roman" w:cs="Arial"/>
          <w:lang w:val="pl-PL"/>
        </w:rPr>
        <w:lastRenderedPageBreak/>
        <w:t>i harmonogramów robót,</w:t>
      </w:r>
    </w:p>
    <w:p w:rsidR="00B77F00" w:rsidRDefault="00865FA3">
      <w:pPr>
        <w:pStyle w:val="Standard"/>
        <w:numPr>
          <w:ilvl w:val="0"/>
          <w:numId w:val="21"/>
        </w:numPr>
        <w:jc w:val="both"/>
      </w:pPr>
      <w:r>
        <w:rPr>
          <w:rStyle w:val="WW-DefaultParagraphFont"/>
          <w:rFonts w:eastAsia="Times New Roman" w:cs="Arial"/>
          <w:lang w:val="pl-PL"/>
        </w:rPr>
        <w:t>terminy rozpoczęcia i zakończenia poszczególnych elementów robót,</w:t>
      </w:r>
    </w:p>
    <w:p w:rsidR="00B77F00" w:rsidRDefault="00865FA3">
      <w:pPr>
        <w:pStyle w:val="Standard"/>
        <w:numPr>
          <w:ilvl w:val="0"/>
          <w:numId w:val="21"/>
        </w:numPr>
        <w:jc w:val="both"/>
      </w:pPr>
      <w:r>
        <w:rPr>
          <w:rStyle w:val="WW-DefaultParagraphFont"/>
          <w:rFonts w:eastAsia="Times New Roman" w:cs="Arial"/>
          <w:lang w:val="pl-PL"/>
        </w:rPr>
        <w:t xml:space="preserve">przebieg robót, trudności i </w:t>
      </w:r>
      <w:r>
        <w:rPr>
          <w:rStyle w:val="WW-DefaultParagraphFont"/>
          <w:rFonts w:eastAsia="Times New Roman" w:cs="Arial"/>
          <w:lang w:val="pl-PL"/>
        </w:rPr>
        <w:t>przeszkody w ich prowadzeniu, okresy i przyczyny przerw w robotach,</w:t>
      </w:r>
    </w:p>
    <w:p w:rsidR="00B77F00" w:rsidRDefault="00865FA3">
      <w:pPr>
        <w:pStyle w:val="Standard"/>
        <w:numPr>
          <w:ilvl w:val="0"/>
          <w:numId w:val="21"/>
        </w:numPr>
        <w:jc w:val="both"/>
      </w:pPr>
      <w:r>
        <w:rPr>
          <w:rStyle w:val="WW-DefaultParagraphFont"/>
          <w:rFonts w:eastAsia="Times New Roman" w:cs="Arial"/>
          <w:lang w:val="pl-PL"/>
        </w:rPr>
        <w:t>uwagi i polecenia Inżyniera/Kierownika projektu,</w:t>
      </w:r>
    </w:p>
    <w:p w:rsidR="00B77F00" w:rsidRDefault="00865FA3">
      <w:pPr>
        <w:pStyle w:val="Standard"/>
        <w:numPr>
          <w:ilvl w:val="0"/>
          <w:numId w:val="21"/>
        </w:numPr>
        <w:jc w:val="both"/>
      </w:pPr>
      <w:r>
        <w:rPr>
          <w:noProof/>
        </w:rPr>
        <mc:AlternateContent>
          <mc:Choice Requires="wps">
            <w:drawing>
              <wp:anchor distT="0" distB="0" distL="114300" distR="114300" simplePos="0" relativeHeight="4" behindDoc="1" locked="0" layoutInCell="1" allowOverlap="1">
                <wp:simplePos x="0" y="0"/>
                <wp:positionH relativeFrom="page">
                  <wp:posOffset>27360</wp:posOffset>
                </wp:positionH>
                <wp:positionV relativeFrom="page">
                  <wp:posOffset>444960</wp:posOffset>
                </wp:positionV>
                <wp:extent cx="5727240" cy="0"/>
                <wp:effectExtent l="0" t="0" r="0" b="0"/>
                <wp:wrapNone/>
                <wp:docPr id="7" name="Łącznik prosty 7"/>
                <wp:cNvGraphicFramePr/>
                <a:graphic xmlns:a="http://schemas.openxmlformats.org/drawingml/2006/main">
                  <a:graphicData uri="http://schemas.microsoft.com/office/word/2010/wordprocessingShape">
                    <wps:wsp>
                      <wps:cNvCnPr/>
                      <wps:spPr>
                        <a:xfrm>
                          <a:off x="0" y="0"/>
                          <a:ext cx="5727240" cy="0"/>
                        </a:xfrm>
                        <a:prstGeom prst="line">
                          <a:avLst/>
                        </a:prstGeom>
                        <a:noFill/>
                        <a:ln w="7560">
                          <a:solidFill>
                            <a:srgbClr val="808080"/>
                          </a:solidFill>
                          <a:prstDash val="solid"/>
                          <a:round/>
                        </a:ln>
                      </wps:spPr>
                      <wps:bodyPr/>
                    </wps:wsp>
                  </a:graphicData>
                </a:graphic>
              </wp:anchor>
            </w:drawing>
          </mc:Choice>
          <mc:Fallback>
            <w:pict>
              <v:line w14:anchorId="12636A53" id="Łącznik prosty 7" o:spid="_x0000_s1026" style="position:absolute;z-index:-503316476;visibility:visible;mso-wrap-style:square;mso-wrap-distance-left:9pt;mso-wrap-distance-top:0;mso-wrap-distance-right:9pt;mso-wrap-distance-bottom:0;mso-position-horizontal:absolute;mso-position-horizontal-relative:page;mso-position-vertical:absolute;mso-position-vertical-relative:page" from="2.15pt,35.05pt" to="453.1pt,3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" strokecolor="gray" strokeweight=".21mm">
                <w10:wrap anchorx="page" anchory="page"/>
              </v:line>
            </w:pict>
          </mc:Fallback>
        </mc:AlternateContent>
      </w:r>
      <w:r>
        <w:rPr>
          <w:rStyle w:val="WW-DefaultParagraphFont"/>
          <w:rFonts w:eastAsia="Times New Roman" w:cs="Arial"/>
          <w:lang w:val="pl-PL"/>
        </w:rPr>
        <w:t>daty zarządzenia wstrzymania robót, z podaniem powodu,</w:t>
      </w:r>
    </w:p>
    <w:p w:rsidR="00B77F00" w:rsidRDefault="00865FA3">
      <w:pPr>
        <w:pStyle w:val="Standard"/>
        <w:numPr>
          <w:ilvl w:val="0"/>
          <w:numId w:val="21"/>
        </w:numPr>
        <w:jc w:val="both"/>
      </w:pPr>
      <w:r>
        <w:rPr>
          <w:noProof/>
        </w:rPr>
        <mc:AlternateContent>
          <mc:Choice Requires="wps">
            <w:drawing>
              <wp:anchor distT="0" distB="0" distL="114300" distR="114300" simplePos="0" relativeHeight="5" behindDoc="1" locked="0" layoutInCell="1" allowOverlap="1">
                <wp:simplePos x="0" y="0"/>
                <wp:positionH relativeFrom="page">
                  <wp:posOffset>36720</wp:posOffset>
                </wp:positionH>
                <wp:positionV relativeFrom="page">
                  <wp:posOffset>4320</wp:posOffset>
                </wp:positionV>
                <wp:extent cx="5727240" cy="0"/>
                <wp:effectExtent l="0" t="0" r="0" b="0"/>
                <wp:wrapNone/>
                <wp:docPr id="8" name="Łącznik prosty 8"/>
                <wp:cNvGraphicFramePr/>
                <a:graphic xmlns:a="http://schemas.openxmlformats.org/drawingml/2006/main">
                  <a:graphicData uri="http://schemas.microsoft.com/office/word/2010/wordprocessingShape">
                    <wps:wsp>
                      <wps:cNvCnPr/>
                      <wps:spPr>
                        <a:xfrm>
                          <a:off x="0" y="0"/>
                          <a:ext cx="5727240" cy="0"/>
                        </a:xfrm>
                        <a:prstGeom prst="line">
                          <a:avLst/>
                        </a:prstGeom>
                        <a:noFill/>
                        <a:ln w="7560">
                          <a:solidFill>
                            <a:srgbClr val="808080"/>
                          </a:solidFill>
                          <a:prstDash val="solid"/>
                          <a:round/>
                        </a:ln>
                      </wps:spPr>
                      <wps:bodyPr/>
                    </wps:wsp>
                  </a:graphicData>
                </a:graphic>
              </wp:anchor>
            </w:drawing>
          </mc:Choice>
          <mc:Fallback>
            <w:pict>
              <v:line w14:anchorId="7D35A906" id="Łącznik prosty 8" o:spid="_x0000_s1026" style="position:absolute;z-index:-503316475;visibility:visible;mso-wrap-style:square;mso-wrap-distance-left:9pt;mso-wrap-distance-top:0;mso-wrap-distance-right:9pt;mso-wrap-distance-bottom:0;mso-position-horizontal:absolute;mso-position-horizontal-relative:page;mso-position-vertical:absolute;mso-position-vertical-relative:page" from="2.9pt,.35pt" to="453.85pt,.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" strokecolor="gray" strokeweight=".21mm">
                <w10:wrap anchorx="page" anchory="page"/>
              </v:line>
            </w:pict>
          </mc:Fallback>
        </mc:AlternateContent>
      </w:r>
      <w:r>
        <w:rPr>
          <w:rStyle w:val="WW-DefaultParagraphFont"/>
          <w:rFonts w:eastAsia="Times New Roman" w:cs="Arial"/>
          <w:lang w:val="pl-PL"/>
        </w:rPr>
        <w:t xml:space="preserve">zgłoszenia i daty odbiorów robót zanikających i ulegających zakryciu, </w:t>
      </w:r>
      <w:r>
        <w:rPr>
          <w:rStyle w:val="WW-DefaultParagraphFont"/>
          <w:rFonts w:eastAsia="Times New Roman" w:cs="Arial"/>
          <w:lang w:val="pl-PL"/>
        </w:rPr>
        <w:t>częściowych i ostatecznych odbiorów robót,</w:t>
      </w:r>
    </w:p>
    <w:p w:rsidR="00B77F00" w:rsidRDefault="00865FA3">
      <w:pPr>
        <w:pStyle w:val="Standard"/>
        <w:numPr>
          <w:ilvl w:val="0"/>
          <w:numId w:val="21"/>
        </w:numPr>
        <w:jc w:val="both"/>
      </w:pPr>
      <w:r>
        <w:rPr>
          <w:rStyle w:val="WW-DefaultParagraphFont"/>
          <w:rFonts w:eastAsia="Times New Roman" w:cs="Arial"/>
          <w:lang w:val="pl-PL"/>
        </w:rPr>
        <w:t>wyjaśnienia, uwagi i propozycje Wykonawcy,</w:t>
      </w:r>
    </w:p>
    <w:p w:rsidR="00B77F00" w:rsidRDefault="00865FA3">
      <w:pPr>
        <w:pStyle w:val="Standard"/>
        <w:numPr>
          <w:ilvl w:val="0"/>
          <w:numId w:val="21"/>
        </w:numPr>
        <w:jc w:val="both"/>
      </w:pPr>
      <w:r>
        <w:rPr>
          <w:rStyle w:val="WW-DefaultParagraphFont"/>
          <w:rFonts w:eastAsia="Times New Roman" w:cs="Arial"/>
          <w:lang w:val="pl-PL"/>
        </w:rPr>
        <w:t>stan pogody i temperaturę powietrza w okresie wykonywania robót podlegających ograniczeniom lub wymaganiom szczególnym w związku z warunkami klimatycznymi,</w:t>
      </w:r>
    </w:p>
    <w:p w:rsidR="00B77F00" w:rsidRDefault="00865FA3">
      <w:pPr>
        <w:pStyle w:val="Standard"/>
        <w:numPr>
          <w:ilvl w:val="0"/>
          <w:numId w:val="21"/>
        </w:numPr>
        <w:jc w:val="both"/>
      </w:pPr>
      <w:r>
        <w:rPr>
          <w:rStyle w:val="WW-DefaultParagraphFont"/>
          <w:rFonts w:eastAsia="Times New Roman" w:cs="Arial"/>
          <w:lang w:val="pl-PL"/>
        </w:rPr>
        <w:t>zgodność rzecz</w:t>
      </w:r>
      <w:r>
        <w:rPr>
          <w:rStyle w:val="WW-DefaultParagraphFont"/>
          <w:rFonts w:eastAsia="Times New Roman" w:cs="Arial"/>
          <w:lang w:val="pl-PL"/>
        </w:rPr>
        <w:t>ywistych warunków geotechnicznych z ich opisem w dokumentacji projektowej, dane dotyczące czynności geodezyjnych (pomiarowych) dokonywanych przed i w trakcie wykonywania robót,</w:t>
      </w:r>
    </w:p>
    <w:p w:rsidR="00B77F00" w:rsidRDefault="00865FA3">
      <w:pPr>
        <w:pStyle w:val="Standard"/>
        <w:numPr>
          <w:ilvl w:val="0"/>
          <w:numId w:val="21"/>
        </w:numPr>
        <w:jc w:val="both"/>
      </w:pPr>
      <w:r>
        <w:rPr>
          <w:rStyle w:val="WW-DefaultParagraphFont"/>
          <w:rFonts w:eastAsia="Times New Roman" w:cs="Arial"/>
          <w:lang w:val="pl-PL"/>
        </w:rPr>
        <w:t>dane dotyczące sposobu wykonywania zabezpieczenia robót,</w:t>
      </w:r>
    </w:p>
    <w:p w:rsidR="00B77F00" w:rsidRDefault="00865FA3">
      <w:pPr>
        <w:pStyle w:val="Standard"/>
        <w:numPr>
          <w:ilvl w:val="0"/>
          <w:numId w:val="21"/>
        </w:numPr>
        <w:jc w:val="both"/>
      </w:pPr>
      <w:r>
        <w:rPr>
          <w:rStyle w:val="WW-DefaultParagraphFont"/>
          <w:rFonts w:eastAsia="Times New Roman" w:cs="Arial"/>
          <w:lang w:val="pl-PL"/>
        </w:rPr>
        <w:t>dane dotyczące jakości</w:t>
      </w:r>
      <w:r>
        <w:rPr>
          <w:rStyle w:val="WW-DefaultParagraphFont"/>
          <w:rFonts w:eastAsia="Times New Roman" w:cs="Arial"/>
          <w:lang w:val="pl-PL"/>
        </w:rPr>
        <w:t xml:space="preserve"> materiałów, pobierania próbek oraz wyniki przeprowadzonych badań z podaniem, kto je przeprowadzał,</w:t>
      </w:r>
    </w:p>
    <w:p w:rsidR="00B77F00" w:rsidRDefault="00865FA3">
      <w:pPr>
        <w:pStyle w:val="Standard"/>
        <w:numPr>
          <w:ilvl w:val="0"/>
          <w:numId w:val="21"/>
        </w:numPr>
        <w:jc w:val="both"/>
      </w:pPr>
      <w:r>
        <w:rPr>
          <w:rStyle w:val="WW-DefaultParagraphFont"/>
          <w:rFonts w:eastAsia="Times New Roman" w:cs="Arial"/>
          <w:lang w:val="pl-PL"/>
        </w:rPr>
        <w:t>wyniki prób poszczególnych elementów budowli z podaniem, kto je przeprowadzał,</w:t>
      </w:r>
    </w:p>
    <w:p w:rsidR="00B77F00" w:rsidRDefault="00865FA3">
      <w:pPr>
        <w:pStyle w:val="Standard"/>
        <w:numPr>
          <w:ilvl w:val="0"/>
          <w:numId w:val="21"/>
        </w:numPr>
        <w:jc w:val="both"/>
      </w:pPr>
      <w:r>
        <w:rPr>
          <w:rStyle w:val="WW-DefaultParagraphFont"/>
          <w:rFonts w:eastAsia="Times New Roman" w:cs="Arial"/>
          <w:lang w:val="pl-PL"/>
        </w:rPr>
        <w:t>inne istotne informacje o przebiegu robót.</w:t>
      </w:r>
    </w:p>
    <w:p w:rsidR="00B77F00" w:rsidRDefault="00865FA3">
      <w:pPr>
        <w:pStyle w:val="Standard"/>
        <w:jc w:val="both"/>
      </w:pPr>
      <w:r>
        <w:rPr>
          <w:rStyle w:val="WW-DefaultParagraphFont"/>
          <w:rFonts w:eastAsia="Times New Roman" w:cs="Arial"/>
          <w:lang w:val="pl-PL"/>
        </w:rPr>
        <w:t>Propozycje, uwagi i wyjaśnienia Wy</w:t>
      </w:r>
      <w:r>
        <w:rPr>
          <w:rStyle w:val="WW-DefaultParagraphFont"/>
          <w:rFonts w:eastAsia="Times New Roman" w:cs="Arial"/>
          <w:lang w:val="pl-PL"/>
        </w:rPr>
        <w:t>konawcy, wpisane do dziennika budowy będą przedłożone Inżynierowi/Kierownikowi projektu do ustosunkowania się.</w:t>
      </w:r>
    </w:p>
    <w:p w:rsidR="00B77F00" w:rsidRDefault="00865FA3">
      <w:pPr>
        <w:pStyle w:val="Standard"/>
        <w:jc w:val="both"/>
      </w:pPr>
      <w:r>
        <w:rPr>
          <w:rStyle w:val="WW-DefaultParagraphFont"/>
          <w:rFonts w:eastAsia="Times New Roman" w:cs="Arial"/>
          <w:lang w:val="pl-PL"/>
        </w:rPr>
        <w:t>Decyzje Inżyniera/Kierownika projektu wpisane do dziennika budowy Wykonawca podpisuje z zaznaczeniem ich przyjęcia lub zajęciem stanowiska.</w:t>
      </w:r>
    </w:p>
    <w:p w:rsidR="00B77F00" w:rsidRDefault="00865FA3">
      <w:pPr>
        <w:pStyle w:val="Standard"/>
        <w:jc w:val="both"/>
      </w:pPr>
      <w:r>
        <w:rPr>
          <w:rStyle w:val="WW-DefaultParagraphFont"/>
          <w:rFonts w:eastAsia="Times New Roman" w:cs="Arial"/>
          <w:lang w:val="pl-PL"/>
        </w:rPr>
        <w:t xml:space="preserve">Wpis </w:t>
      </w:r>
      <w:r>
        <w:rPr>
          <w:rStyle w:val="WW-DefaultParagraphFont"/>
          <w:rFonts w:eastAsia="Times New Roman" w:cs="Arial"/>
          <w:lang w:val="pl-PL"/>
        </w:rPr>
        <w:t>projektanta do dziennika budowy obliguje Inżyniera/Kierownika projektu do ustosunkowania się. Projektant nie jest jednak stroną umowy i nie ma uprawnień do wydawania poleceń Wykonawcy robót.</w:t>
      </w:r>
    </w:p>
    <w:p w:rsidR="00B77F00" w:rsidRDefault="00865FA3">
      <w:pPr>
        <w:pStyle w:val="Standard"/>
        <w:jc w:val="both"/>
      </w:pPr>
      <w:r>
        <w:rPr>
          <w:rStyle w:val="WW-DefaultParagraphFont"/>
          <w:rFonts w:eastAsia="Times New Roman" w:cs="Arial"/>
          <w:lang w:val="pl-PL"/>
        </w:rPr>
        <w:t>(2) Książka obmiarów</w:t>
      </w:r>
    </w:p>
    <w:p w:rsidR="00B77F00" w:rsidRDefault="00865FA3">
      <w:pPr>
        <w:pStyle w:val="Standard"/>
        <w:jc w:val="both"/>
      </w:pPr>
      <w:r>
        <w:rPr>
          <w:rStyle w:val="WW-DefaultParagraphFont"/>
          <w:rFonts w:eastAsia="Times New Roman" w:cs="Arial"/>
          <w:lang w:val="pl-PL"/>
        </w:rPr>
        <w:t>Książka obmiarów stanowi dokument pozwalając</w:t>
      </w:r>
      <w:r>
        <w:rPr>
          <w:rStyle w:val="WW-DefaultParagraphFont"/>
          <w:rFonts w:eastAsia="Times New Roman" w:cs="Arial"/>
          <w:lang w:val="pl-PL"/>
        </w:rPr>
        <w:t>y na rozliczenie faktycznego postępu każdego z elementów robót. Obmiary wykonanych robót przeprowadza się w sposób ciągły w jednostkach przyjętych w kosztorysie i wpisuje do książki obmiarów.</w:t>
      </w:r>
    </w:p>
    <w:p w:rsidR="00B77F00" w:rsidRDefault="00865FA3">
      <w:pPr>
        <w:pStyle w:val="Standard"/>
        <w:jc w:val="both"/>
      </w:pPr>
      <w:r>
        <w:rPr>
          <w:rStyle w:val="WW-DefaultParagraphFont"/>
          <w:rFonts w:eastAsia="Times New Roman" w:cs="Arial"/>
          <w:lang w:val="pl-PL"/>
        </w:rPr>
        <w:t>(3) Dokumenty laboratoryjne</w:t>
      </w:r>
    </w:p>
    <w:p w:rsidR="00B77F00" w:rsidRDefault="00865FA3">
      <w:pPr>
        <w:pStyle w:val="Standard"/>
        <w:jc w:val="both"/>
      </w:pPr>
      <w:r>
        <w:rPr>
          <w:rStyle w:val="WW-DefaultParagraphFont"/>
          <w:rFonts w:eastAsia="Times New Roman" w:cs="Arial"/>
          <w:lang w:val="pl-PL"/>
        </w:rPr>
        <w:t xml:space="preserve">Dzienniki laboratoryjne, deklaracje </w:t>
      </w:r>
      <w:r>
        <w:rPr>
          <w:rStyle w:val="WW-DefaultParagraphFont"/>
          <w:rFonts w:eastAsia="Times New Roman" w:cs="Arial"/>
          <w:lang w:val="pl-PL"/>
        </w:rPr>
        <w:t>zgodności lub certyfikaty zgodności materiałów, orzeczenia o jakości materiałów, recepty robocze i kontrolne wyniki badań Wykonawcy będą gromadzone w formie uzgodnionej w programie zapewnienia jakości. Dokumenty te stanowią załączniki do odbioru robót. Win</w:t>
      </w:r>
      <w:r>
        <w:rPr>
          <w:rStyle w:val="WW-DefaultParagraphFont"/>
          <w:rFonts w:eastAsia="Times New Roman" w:cs="Arial"/>
          <w:lang w:val="pl-PL"/>
        </w:rPr>
        <w:t>ny być udostępnione na każde życzenie Inżyniera/Kierownika projektu.</w:t>
      </w:r>
    </w:p>
    <w:p w:rsidR="00B77F00" w:rsidRDefault="00865FA3">
      <w:pPr>
        <w:pStyle w:val="Standard"/>
        <w:jc w:val="both"/>
      </w:pPr>
      <w:r>
        <w:rPr>
          <w:rStyle w:val="WW-DefaultParagraphFont"/>
          <w:rFonts w:eastAsia="Times New Roman" w:cs="Arial"/>
          <w:lang w:val="pl-PL"/>
        </w:rPr>
        <w:t>(4) Pozostałe dokumenty budowy</w:t>
      </w:r>
    </w:p>
    <w:p w:rsidR="00B77F00" w:rsidRDefault="00865FA3">
      <w:pPr>
        <w:pStyle w:val="Standard"/>
        <w:jc w:val="both"/>
      </w:pPr>
      <w:r>
        <w:rPr>
          <w:rStyle w:val="WW-DefaultParagraphFont"/>
          <w:rFonts w:eastAsia="Times New Roman" w:cs="Arial"/>
          <w:lang w:val="pl-PL"/>
        </w:rPr>
        <w:t>Do dokumentów budowy zalicza się, oprócz wymienionych w punktach (1) - (3) następujące dokumenty:</w:t>
      </w:r>
    </w:p>
    <w:p w:rsidR="00B77F00" w:rsidRDefault="00865FA3">
      <w:pPr>
        <w:pStyle w:val="Standard"/>
        <w:numPr>
          <w:ilvl w:val="0"/>
          <w:numId w:val="12"/>
        </w:numPr>
        <w:tabs>
          <w:tab w:val="left" w:pos="288"/>
        </w:tabs>
        <w:jc w:val="both"/>
      </w:pPr>
      <w:r>
        <w:rPr>
          <w:rStyle w:val="WW-DefaultParagraphFont"/>
          <w:rFonts w:eastAsia="Times New Roman" w:cs="Arial"/>
          <w:lang w:val="pl-PL"/>
        </w:rPr>
        <w:t>pozwolenie na realizację zadania budowlanego,</w:t>
      </w:r>
    </w:p>
    <w:p w:rsidR="00B77F00" w:rsidRDefault="00865FA3">
      <w:pPr>
        <w:pStyle w:val="Standard"/>
        <w:numPr>
          <w:ilvl w:val="0"/>
          <w:numId w:val="12"/>
        </w:numPr>
        <w:tabs>
          <w:tab w:val="left" w:pos="288"/>
        </w:tabs>
        <w:jc w:val="both"/>
      </w:pPr>
      <w:r>
        <w:rPr>
          <w:rStyle w:val="WW-DefaultParagraphFont"/>
          <w:rFonts w:eastAsia="Times New Roman" w:cs="Arial"/>
          <w:lang w:val="pl-PL"/>
        </w:rPr>
        <w:t>protokoły pr</w:t>
      </w:r>
      <w:r>
        <w:rPr>
          <w:rStyle w:val="WW-DefaultParagraphFont"/>
          <w:rFonts w:eastAsia="Times New Roman" w:cs="Arial"/>
          <w:lang w:val="pl-PL"/>
        </w:rPr>
        <w:t>zekazania terenu budowy,</w:t>
      </w:r>
    </w:p>
    <w:p w:rsidR="00B77F00" w:rsidRDefault="00865FA3">
      <w:pPr>
        <w:pStyle w:val="Standard"/>
        <w:numPr>
          <w:ilvl w:val="0"/>
          <w:numId w:val="12"/>
        </w:numPr>
        <w:tabs>
          <w:tab w:val="left" w:pos="288"/>
        </w:tabs>
        <w:jc w:val="both"/>
      </w:pPr>
      <w:r>
        <w:rPr>
          <w:rStyle w:val="WW-DefaultParagraphFont"/>
          <w:rFonts w:eastAsia="Times New Roman" w:cs="Arial"/>
          <w:lang w:val="pl-PL"/>
        </w:rPr>
        <w:t>umowy cywilno-prawne z osobami trzecimi i inne umowy cywilno-prawne,</w:t>
      </w:r>
    </w:p>
    <w:p w:rsidR="00B77F00" w:rsidRDefault="00865FA3">
      <w:pPr>
        <w:pStyle w:val="Standard"/>
        <w:numPr>
          <w:ilvl w:val="0"/>
          <w:numId w:val="12"/>
        </w:numPr>
        <w:tabs>
          <w:tab w:val="left" w:pos="288"/>
        </w:tabs>
        <w:jc w:val="both"/>
      </w:pPr>
      <w:r>
        <w:rPr>
          <w:rStyle w:val="WW-DefaultParagraphFont"/>
          <w:rFonts w:eastAsia="Times New Roman" w:cs="Arial"/>
          <w:lang w:val="pl-PL"/>
        </w:rPr>
        <w:t>protokoły odbioru robót,</w:t>
      </w:r>
    </w:p>
    <w:p w:rsidR="00B77F00" w:rsidRDefault="00865FA3">
      <w:pPr>
        <w:pStyle w:val="Standard"/>
        <w:numPr>
          <w:ilvl w:val="0"/>
          <w:numId w:val="12"/>
        </w:numPr>
        <w:tabs>
          <w:tab w:val="left" w:pos="288"/>
        </w:tabs>
        <w:jc w:val="both"/>
      </w:pPr>
      <w:r>
        <w:rPr>
          <w:rStyle w:val="WW-DefaultParagraphFont"/>
          <w:rFonts w:eastAsia="Times New Roman" w:cs="Arial"/>
          <w:lang w:val="pl-PL"/>
        </w:rPr>
        <w:t>protokoły z narad i ustaleń,</w:t>
      </w:r>
    </w:p>
    <w:p w:rsidR="00B77F00" w:rsidRDefault="00865FA3">
      <w:pPr>
        <w:pStyle w:val="Standard"/>
        <w:numPr>
          <w:ilvl w:val="0"/>
          <w:numId w:val="12"/>
        </w:numPr>
        <w:tabs>
          <w:tab w:val="left" w:pos="288"/>
        </w:tabs>
        <w:jc w:val="both"/>
      </w:pPr>
      <w:r>
        <w:rPr>
          <w:rStyle w:val="WW-DefaultParagraphFont"/>
          <w:rFonts w:eastAsia="Times New Roman" w:cs="Arial"/>
          <w:lang w:val="pl-PL"/>
        </w:rPr>
        <w:t>korespondencję na budowie.</w:t>
      </w:r>
    </w:p>
    <w:p w:rsidR="00B77F00" w:rsidRDefault="00865FA3">
      <w:pPr>
        <w:pStyle w:val="Standard"/>
        <w:jc w:val="both"/>
      </w:pPr>
      <w:r>
        <w:rPr>
          <w:rStyle w:val="WW-DefaultParagraphFont"/>
          <w:rFonts w:eastAsia="Times New Roman" w:cs="Arial"/>
          <w:lang w:val="pl-PL"/>
        </w:rPr>
        <w:t>(5) Przechowywanie dokumentów budowy</w:t>
      </w:r>
    </w:p>
    <w:p w:rsidR="00B77F00" w:rsidRDefault="00865FA3">
      <w:pPr>
        <w:pStyle w:val="Standard"/>
        <w:jc w:val="both"/>
      </w:pPr>
      <w:r>
        <w:rPr>
          <w:rStyle w:val="WW-DefaultParagraphFont"/>
          <w:rFonts w:eastAsia="Times New Roman" w:cs="Arial"/>
          <w:lang w:val="pl-PL"/>
        </w:rPr>
        <w:t>Dokumenty budowy będą przechowywane na teren</w:t>
      </w:r>
      <w:r>
        <w:rPr>
          <w:rStyle w:val="WW-DefaultParagraphFont"/>
          <w:rFonts w:eastAsia="Times New Roman" w:cs="Arial"/>
          <w:lang w:val="pl-PL"/>
        </w:rPr>
        <w:t>ie budowy w miejscu odpowiednio zabezpieczonym. Zaginięcie któregokolwiek z dokumentów budowy spowoduje jego natychmiastowe odtworzenie w formie przewidzianej prawem.</w:t>
      </w:r>
    </w:p>
    <w:p w:rsidR="00B77F00" w:rsidRDefault="00865FA3">
      <w:pPr>
        <w:pStyle w:val="Standard"/>
        <w:jc w:val="both"/>
      </w:pPr>
      <w:r>
        <w:rPr>
          <w:rStyle w:val="WW-DefaultParagraphFont"/>
          <w:rFonts w:eastAsia="Times New Roman" w:cs="Arial"/>
          <w:lang w:val="pl-PL"/>
        </w:rPr>
        <w:t xml:space="preserve">Wszelkie dokumenty budowy będą zawsze dostępne dla Inżyniera/Kierownika projektu i </w:t>
      </w:r>
      <w:r>
        <w:rPr>
          <w:rStyle w:val="WW-DefaultParagraphFont"/>
          <w:rFonts w:eastAsia="Times New Roman" w:cs="Arial"/>
          <w:lang w:val="pl-PL"/>
        </w:rPr>
        <w:t>przedstawiane do wglądu na życzenie Zamawiającego.</w:t>
      </w:r>
    </w:p>
    <w:p w:rsidR="00B77F00" w:rsidRDefault="00B77F00">
      <w:pPr>
        <w:pStyle w:val="Standard"/>
        <w:jc w:val="both"/>
      </w:pPr>
    </w:p>
    <w:p w:rsidR="00B77F00" w:rsidRDefault="00865FA3">
      <w:pPr>
        <w:pStyle w:val="Standard"/>
        <w:jc w:val="both"/>
      </w:pPr>
      <w:r>
        <w:rPr>
          <w:rStyle w:val="CharacterStyle1"/>
          <w:rFonts w:eastAsia="Times New Roman" w:cs="Arial"/>
          <w:b/>
          <w:bCs/>
          <w:lang w:val="pl-PL"/>
        </w:rPr>
        <w:t>7. OBMIAR ROBÓT</w:t>
      </w:r>
    </w:p>
    <w:p w:rsidR="00B77F00" w:rsidRDefault="00865FA3">
      <w:pPr>
        <w:pStyle w:val="Standard"/>
        <w:jc w:val="both"/>
      </w:pPr>
      <w:r>
        <w:rPr>
          <w:rStyle w:val="CharacterStyle1"/>
          <w:rFonts w:eastAsia="Times New Roman" w:cs="Arial"/>
          <w:b/>
          <w:bCs/>
          <w:lang w:val="pl-PL"/>
        </w:rPr>
        <w:t>7.1. Ogólne zasady obmiaru robót</w:t>
      </w:r>
    </w:p>
    <w:p w:rsidR="00B77F00" w:rsidRDefault="00865FA3">
      <w:pPr>
        <w:pStyle w:val="Standard"/>
        <w:jc w:val="both"/>
      </w:pPr>
      <w:r>
        <w:rPr>
          <w:rStyle w:val="WW-DefaultParagraphFont"/>
          <w:rFonts w:eastAsia="Times New Roman" w:cs="Arial"/>
          <w:lang w:val="pl-PL"/>
        </w:rPr>
        <w:t>Obmiar robót będzie określać faktyczny zakres wykonywanych robót zgodnie z dokumentacją projektową i STWIORB, w jednostkach ustalonych w kosztorysie.</w:t>
      </w:r>
    </w:p>
    <w:p w:rsidR="00B77F00" w:rsidRDefault="00865FA3">
      <w:pPr>
        <w:pStyle w:val="Standard"/>
        <w:jc w:val="both"/>
      </w:pPr>
      <w:r>
        <w:rPr>
          <w:rStyle w:val="WW-DefaultParagraphFont"/>
          <w:rFonts w:eastAsia="Times New Roman" w:cs="Arial"/>
          <w:lang w:val="pl-PL"/>
        </w:rPr>
        <w:t>Obmia</w:t>
      </w:r>
      <w:r>
        <w:rPr>
          <w:rStyle w:val="WW-DefaultParagraphFont"/>
          <w:rFonts w:eastAsia="Times New Roman" w:cs="Arial"/>
          <w:lang w:val="pl-PL"/>
        </w:rPr>
        <w:t>ru robót dokonuje Wykonawca po pisemnym powiadomieniu Inżyniera/ Kierownika projektu o zakresie obmierzanych robót i terminie obmiaru, co najmniej na 3 dni przed tym terminem.</w:t>
      </w:r>
    </w:p>
    <w:p w:rsidR="00B77F00" w:rsidRDefault="00865FA3">
      <w:pPr>
        <w:pStyle w:val="Standard"/>
        <w:jc w:val="both"/>
      </w:pPr>
      <w:r>
        <w:rPr>
          <w:rStyle w:val="WW-DefaultParagraphFont"/>
          <w:rFonts w:eastAsia="Times New Roman" w:cs="Arial"/>
          <w:lang w:val="pl-PL"/>
        </w:rPr>
        <w:t>Wyniki obmiaru będą wpisane do książki obmiarów.</w:t>
      </w:r>
    </w:p>
    <w:p w:rsidR="00B77F00" w:rsidRDefault="00865FA3">
      <w:pPr>
        <w:pStyle w:val="Standard"/>
        <w:jc w:val="both"/>
      </w:pPr>
      <w:r>
        <w:rPr>
          <w:rStyle w:val="WW-DefaultParagraphFont"/>
          <w:rFonts w:eastAsia="Times New Roman" w:cs="Arial"/>
          <w:lang w:val="pl-PL"/>
        </w:rPr>
        <w:t>Jakikolwiek błąd lub przeoczeni</w:t>
      </w:r>
      <w:r>
        <w:rPr>
          <w:rStyle w:val="WW-DefaultParagraphFont"/>
          <w:rFonts w:eastAsia="Times New Roman" w:cs="Arial"/>
          <w:lang w:val="pl-PL"/>
        </w:rPr>
        <w:t xml:space="preserve">e (opuszczenie) w ilościach podanych w ślepym kosztorysie lub gdzie indziej w STWIORB nie zwalnia Wykonawcy od obowiązku ukończenia wszystkich robót. Błędne dane zostaną </w:t>
      </w:r>
      <w:r>
        <w:rPr>
          <w:rStyle w:val="WW-DefaultParagraphFont"/>
          <w:rFonts w:eastAsia="Times New Roman" w:cs="Arial"/>
          <w:lang w:val="pl-PL"/>
        </w:rPr>
        <w:lastRenderedPageBreak/>
        <w:t>poprawione wg instrukcji Inżyniera/Kierownika projektu na piśmie.</w:t>
      </w:r>
    </w:p>
    <w:p w:rsidR="00B77F00" w:rsidRDefault="00865FA3">
      <w:pPr>
        <w:pStyle w:val="Standard"/>
        <w:jc w:val="both"/>
      </w:pPr>
      <w:r>
        <w:rPr>
          <w:rStyle w:val="WW-DefaultParagraphFont"/>
          <w:rFonts w:eastAsia="Times New Roman" w:cs="Arial"/>
          <w:lang w:val="pl-PL"/>
        </w:rPr>
        <w:t>Obmiar gotowych robó</w:t>
      </w:r>
      <w:r>
        <w:rPr>
          <w:rStyle w:val="WW-DefaultParagraphFont"/>
          <w:rFonts w:eastAsia="Times New Roman" w:cs="Arial"/>
          <w:lang w:val="pl-PL"/>
        </w:rPr>
        <w:t>t będzie przeprowadzony z częstością wymaganą do celu miesięcznej płatności na rzecz Wykonawcy lub w innym czasie określonym w umowie lub oczekiwanym przez Wykonawcę i Inżyniera/Kierownika projektu.</w:t>
      </w:r>
    </w:p>
    <w:p w:rsidR="00B77F00" w:rsidRDefault="00865FA3">
      <w:pPr>
        <w:pStyle w:val="Standard"/>
        <w:jc w:val="both"/>
      </w:pPr>
      <w:r>
        <w:rPr>
          <w:rStyle w:val="CharacterStyle1"/>
          <w:rFonts w:eastAsia="Times New Roman" w:cs="Arial"/>
          <w:b/>
          <w:bCs/>
          <w:lang w:val="pl-PL"/>
        </w:rPr>
        <w:t>7.2. Zasady określania ilości robót i materiałów</w:t>
      </w:r>
    </w:p>
    <w:p w:rsidR="00B77F00" w:rsidRDefault="00865FA3">
      <w:pPr>
        <w:pStyle w:val="Standard"/>
        <w:jc w:val="both"/>
      </w:pPr>
      <w:r>
        <w:rPr>
          <w:rStyle w:val="WW-DefaultParagraphFont"/>
          <w:rFonts w:eastAsia="Times New Roman" w:cs="Arial"/>
          <w:lang w:val="pl-PL"/>
        </w:rPr>
        <w:t>Długości</w:t>
      </w:r>
      <w:r>
        <w:rPr>
          <w:rStyle w:val="WW-DefaultParagraphFont"/>
          <w:rFonts w:eastAsia="Times New Roman" w:cs="Arial"/>
          <w:lang w:val="pl-PL"/>
        </w:rPr>
        <w:t xml:space="preserve"> i odległości pomiędzy wyszczególnionymi punktami skrajnymi będą obmierzone poziomo wzdłuż linii osiowej.</w:t>
      </w:r>
    </w:p>
    <w:p w:rsidR="00B77F00" w:rsidRDefault="00865FA3">
      <w:pPr>
        <w:pStyle w:val="Standard"/>
        <w:jc w:val="both"/>
      </w:pPr>
      <w:r>
        <w:rPr>
          <w:rStyle w:val="WW-DefaultParagraphFont"/>
          <w:rFonts w:eastAsia="Times New Roman" w:cs="Arial"/>
          <w:lang w:val="pl-PL"/>
        </w:rPr>
        <w:t>Jeśli STWIORB właściwe dla danych robót nie wymagają tego inaczej, objętości będą wyliczone w m3 jako długość pomnożona przez średni przekrój.</w:t>
      </w:r>
    </w:p>
    <w:p w:rsidR="00B77F00" w:rsidRDefault="00865FA3">
      <w:pPr>
        <w:pStyle w:val="Standard"/>
        <w:jc w:val="both"/>
      </w:pPr>
      <w:r>
        <w:rPr>
          <w:rStyle w:val="WW-DefaultParagraphFont"/>
          <w:rFonts w:eastAsia="Times New Roman" w:cs="Arial"/>
          <w:lang w:val="pl-PL"/>
        </w:rPr>
        <w:t>Ilości,</w:t>
      </w:r>
      <w:r>
        <w:rPr>
          <w:rStyle w:val="WW-DefaultParagraphFont"/>
          <w:rFonts w:eastAsia="Times New Roman" w:cs="Arial"/>
          <w:lang w:val="pl-PL"/>
        </w:rPr>
        <w:t xml:space="preserve"> które mają być obmierzone wagowo, będą ważone w tonach lub kilogramach zgodnie z wymaganiami STWIORB.</w:t>
      </w:r>
    </w:p>
    <w:p w:rsidR="00B77F00" w:rsidRDefault="00865FA3">
      <w:pPr>
        <w:pStyle w:val="Standard"/>
        <w:jc w:val="both"/>
      </w:pPr>
      <w:r>
        <w:rPr>
          <w:rStyle w:val="CharacterStyle1"/>
          <w:rFonts w:eastAsia="Times New Roman" w:cs="Arial"/>
          <w:b/>
          <w:bCs/>
          <w:lang w:val="pl-PL"/>
        </w:rPr>
        <w:t>7.3. Urządzenia i sprzęt pomiarowy</w:t>
      </w:r>
    </w:p>
    <w:p w:rsidR="00B77F00" w:rsidRDefault="00865FA3">
      <w:pPr>
        <w:pStyle w:val="Standard"/>
        <w:jc w:val="both"/>
      </w:pPr>
      <w:r>
        <w:rPr>
          <w:rStyle w:val="WW-DefaultParagraphFont"/>
          <w:rFonts w:eastAsia="Times New Roman" w:cs="Arial"/>
          <w:lang w:val="pl-PL"/>
        </w:rPr>
        <w:t>Wszystkie urządzenia i sprzęt pomiarowy, stosowany w czasie obmiaru robót będą zaakceptowane przez Inżyniera/Kierownik</w:t>
      </w:r>
      <w:r>
        <w:rPr>
          <w:rStyle w:val="WW-DefaultParagraphFont"/>
          <w:rFonts w:eastAsia="Times New Roman" w:cs="Arial"/>
          <w:lang w:val="pl-PL"/>
        </w:rPr>
        <w:t>a projektu.</w:t>
      </w:r>
    </w:p>
    <w:p w:rsidR="00B77F00" w:rsidRDefault="00865FA3">
      <w:pPr>
        <w:pStyle w:val="Standard"/>
        <w:jc w:val="both"/>
      </w:pPr>
      <w:r>
        <w:rPr>
          <w:rStyle w:val="WW-DefaultParagraphFont"/>
          <w:rFonts w:eastAsia="Times New Roman" w:cs="Arial"/>
          <w:lang w:val="pl-PL"/>
        </w:rPr>
        <w:t>Urządzenia i sprzęt pomiarowy zostaną dostarczone przez Wykonawcę. Jeżeli urządzenia te lub sprzęt wymagają badań atestujących to Wykonawca będzie posiadać ważne świadectwa wzorcowania i legalizacji.</w:t>
      </w:r>
    </w:p>
    <w:p w:rsidR="00B77F00" w:rsidRDefault="00865FA3">
      <w:pPr>
        <w:pStyle w:val="Standard"/>
        <w:jc w:val="both"/>
      </w:pPr>
      <w:r>
        <w:rPr>
          <w:rStyle w:val="WW-DefaultParagraphFont"/>
          <w:rFonts w:eastAsia="Times New Roman" w:cs="Arial"/>
          <w:lang w:val="pl-PL"/>
        </w:rPr>
        <w:t>Wszystkie urządzenia pomiarowe będą przez Wy</w:t>
      </w:r>
      <w:r>
        <w:rPr>
          <w:rStyle w:val="WW-DefaultParagraphFont"/>
          <w:rFonts w:eastAsia="Times New Roman" w:cs="Arial"/>
          <w:lang w:val="pl-PL"/>
        </w:rPr>
        <w:t>konawcę utrzymywane w dobrym stanie, w całym okresie trwania robót.</w:t>
      </w:r>
    </w:p>
    <w:p w:rsidR="00B77F00" w:rsidRDefault="00865FA3">
      <w:pPr>
        <w:pStyle w:val="Standard"/>
        <w:jc w:val="both"/>
      </w:pPr>
      <w:r>
        <w:rPr>
          <w:rStyle w:val="CharacterStyle1"/>
          <w:rFonts w:eastAsia="Times New Roman" w:cs="Arial"/>
          <w:b/>
          <w:bCs/>
          <w:lang w:val="pl-PL"/>
        </w:rPr>
        <w:t>7.4. Wagi i zasady ważenia</w:t>
      </w:r>
    </w:p>
    <w:p w:rsidR="00B77F00" w:rsidRDefault="00865FA3">
      <w:pPr>
        <w:pStyle w:val="Standard"/>
        <w:jc w:val="both"/>
      </w:pPr>
      <w:r>
        <w:rPr>
          <w:rStyle w:val="WW-DefaultParagraphFont"/>
          <w:rFonts w:eastAsia="Times New Roman" w:cs="Arial"/>
          <w:lang w:val="pl-PL"/>
        </w:rPr>
        <w:t>Wykonawca dostarczy i zainstaluje urządzenia wagowe odpowiadające odnośnym wymaganiom STWIORB Będzie utrzymywać to wyposażenie zapewniając w sposób ciągły zachow</w:t>
      </w:r>
      <w:r>
        <w:rPr>
          <w:rStyle w:val="WW-DefaultParagraphFont"/>
          <w:rFonts w:eastAsia="Times New Roman" w:cs="Arial"/>
          <w:lang w:val="pl-PL"/>
        </w:rPr>
        <w:t>anie dokładności wg norm zatwierdzonych przez Inżyniera/Kierownika projektu.</w:t>
      </w:r>
    </w:p>
    <w:p w:rsidR="00B77F00" w:rsidRDefault="00865FA3">
      <w:pPr>
        <w:pStyle w:val="Standard"/>
        <w:jc w:val="both"/>
      </w:pPr>
      <w:r>
        <w:rPr>
          <w:rStyle w:val="CharacterStyle1"/>
          <w:rFonts w:eastAsia="Times New Roman" w:cs="Arial"/>
          <w:b/>
          <w:bCs/>
          <w:lang w:val="pl-PL"/>
        </w:rPr>
        <w:t>7.5. Czas przeprowadzenia obmiaru</w:t>
      </w:r>
    </w:p>
    <w:p w:rsidR="00B77F00" w:rsidRDefault="00865FA3">
      <w:pPr>
        <w:pStyle w:val="Standard"/>
        <w:jc w:val="both"/>
      </w:pPr>
      <w:r>
        <w:rPr>
          <w:rStyle w:val="WW-DefaultParagraphFont"/>
          <w:rFonts w:eastAsia="Times New Roman" w:cs="Arial"/>
          <w:lang w:val="pl-PL"/>
        </w:rPr>
        <w:t>Obmiary będą przeprowadzone przed częściowym lub ostatecznym odbiorem odcinków robót, a także w przypadku występowania dłuższej przerwy w robotac</w:t>
      </w:r>
      <w:r>
        <w:rPr>
          <w:rStyle w:val="WW-DefaultParagraphFont"/>
          <w:rFonts w:eastAsia="Times New Roman" w:cs="Arial"/>
          <w:lang w:val="pl-PL"/>
        </w:rPr>
        <w:t>h.</w:t>
      </w:r>
    </w:p>
    <w:p w:rsidR="00B77F00" w:rsidRDefault="00865FA3">
      <w:pPr>
        <w:pStyle w:val="Standard"/>
        <w:jc w:val="both"/>
      </w:pPr>
      <w:r>
        <w:rPr>
          <w:rStyle w:val="WW-DefaultParagraphFont"/>
          <w:rFonts w:eastAsia="Times New Roman" w:cs="Arial"/>
          <w:lang w:val="pl-PL"/>
        </w:rPr>
        <w:t>Obmiar robót zanikających przeprowadza się w czasie ich wykonywania.</w:t>
      </w:r>
    </w:p>
    <w:p w:rsidR="00B77F00" w:rsidRDefault="00865FA3">
      <w:pPr>
        <w:pStyle w:val="Standard"/>
        <w:jc w:val="both"/>
      </w:pPr>
      <w:r>
        <w:rPr>
          <w:rStyle w:val="WW-DefaultParagraphFont"/>
          <w:rFonts w:eastAsia="Times New Roman" w:cs="Arial"/>
          <w:lang w:val="pl-PL"/>
        </w:rPr>
        <w:t>Obmiar robót podlegających zakryciu przeprowadza się przed ich zakryciem.</w:t>
      </w:r>
    </w:p>
    <w:p w:rsidR="00B77F00" w:rsidRDefault="00865FA3">
      <w:pPr>
        <w:pStyle w:val="Standard"/>
        <w:jc w:val="both"/>
      </w:pPr>
      <w:r>
        <w:rPr>
          <w:rStyle w:val="WW-DefaultParagraphFont"/>
          <w:rFonts w:eastAsia="Times New Roman" w:cs="Arial"/>
          <w:lang w:val="pl-PL"/>
        </w:rPr>
        <w:t>Roboty pomiarowe do obmiaru oraz nieodzowne obliczenia będą wykonane w sposób zrozumiały i jednoznaczny.</w:t>
      </w:r>
    </w:p>
    <w:p w:rsidR="00B77F00" w:rsidRDefault="00865FA3">
      <w:pPr>
        <w:pStyle w:val="Standard"/>
        <w:jc w:val="both"/>
      </w:pPr>
      <w:r>
        <w:rPr>
          <w:rStyle w:val="WW-DefaultParagraphFont"/>
          <w:rFonts w:eastAsia="Times New Roman" w:cs="Arial"/>
          <w:lang w:val="pl-PL"/>
        </w:rPr>
        <w:t>Wymia</w:t>
      </w:r>
      <w:r>
        <w:rPr>
          <w:rStyle w:val="WW-DefaultParagraphFont"/>
          <w:rFonts w:eastAsia="Times New Roman" w:cs="Arial"/>
          <w:lang w:val="pl-PL"/>
        </w:rPr>
        <w:t>ry skomplikowanych powierzchni lub objętości będą uzupełnione odpowiednimi szkicami umieszczonymi na karcie książki obmiarów. W razie braku miejsca szkice mogą być dołączone w formie oddzielnego załącznika do książki obmiarów, którego wzór zostanie uzgodni</w:t>
      </w:r>
      <w:r>
        <w:rPr>
          <w:rStyle w:val="WW-DefaultParagraphFont"/>
          <w:rFonts w:eastAsia="Times New Roman" w:cs="Arial"/>
          <w:lang w:val="pl-PL"/>
        </w:rPr>
        <w:t>ony z Inżynierem/Kierownikiem projektu.</w:t>
      </w:r>
    </w:p>
    <w:p w:rsidR="00B77F00" w:rsidRDefault="00B77F00">
      <w:pPr>
        <w:pStyle w:val="Standard"/>
        <w:jc w:val="both"/>
      </w:pPr>
    </w:p>
    <w:p w:rsidR="00B77F00" w:rsidRDefault="00865FA3">
      <w:pPr>
        <w:pStyle w:val="Standard"/>
        <w:jc w:val="both"/>
      </w:pPr>
      <w:r>
        <w:rPr>
          <w:rStyle w:val="CharacterStyle1"/>
          <w:rFonts w:eastAsia="Times New Roman" w:cs="Arial"/>
          <w:b/>
          <w:bCs/>
          <w:lang w:val="pl-PL"/>
        </w:rPr>
        <w:t>8. ODBIÓR ROBÓT</w:t>
      </w:r>
    </w:p>
    <w:p w:rsidR="00B77F00" w:rsidRDefault="00865FA3">
      <w:pPr>
        <w:pStyle w:val="Standard"/>
        <w:jc w:val="both"/>
      </w:pPr>
      <w:r>
        <w:rPr>
          <w:rStyle w:val="CharacterStyle1"/>
          <w:rFonts w:eastAsia="Times New Roman" w:cs="Arial"/>
          <w:b/>
          <w:bCs/>
          <w:lang w:val="pl-PL"/>
        </w:rPr>
        <w:t>8.1. Rodzaje odbiorów robót</w:t>
      </w:r>
    </w:p>
    <w:p w:rsidR="00B77F00" w:rsidRDefault="00865FA3">
      <w:pPr>
        <w:pStyle w:val="Standard"/>
        <w:jc w:val="both"/>
      </w:pPr>
      <w:r>
        <w:rPr>
          <w:rStyle w:val="WW-DefaultParagraphFont"/>
          <w:rFonts w:eastAsia="Times New Roman" w:cs="Arial"/>
          <w:lang w:val="pl-PL"/>
        </w:rPr>
        <w:t>W zależności od ustaleń odpowiednich STWIORB, roboty podlegają następującym etapom odbioru:</w:t>
      </w:r>
    </w:p>
    <w:p w:rsidR="00B77F00" w:rsidRDefault="00865FA3">
      <w:pPr>
        <w:pStyle w:val="Standard"/>
        <w:numPr>
          <w:ilvl w:val="0"/>
          <w:numId w:val="93"/>
        </w:numPr>
        <w:tabs>
          <w:tab w:val="left" w:pos="288"/>
        </w:tabs>
        <w:jc w:val="both"/>
      </w:pPr>
      <w:r>
        <w:rPr>
          <w:rStyle w:val="WW-DefaultParagraphFont"/>
          <w:rFonts w:eastAsia="Times New Roman" w:cs="Arial"/>
          <w:lang w:val="pl-PL"/>
        </w:rPr>
        <w:t>odbiorowi robót zanikających i ulegających zakryciu,</w:t>
      </w:r>
    </w:p>
    <w:p w:rsidR="00B77F00" w:rsidRDefault="00865FA3">
      <w:pPr>
        <w:pStyle w:val="Standard"/>
        <w:numPr>
          <w:ilvl w:val="0"/>
          <w:numId w:val="23"/>
        </w:numPr>
        <w:tabs>
          <w:tab w:val="left" w:pos="288"/>
        </w:tabs>
        <w:jc w:val="both"/>
      </w:pPr>
      <w:r>
        <w:rPr>
          <w:rStyle w:val="WW-DefaultParagraphFont"/>
          <w:rFonts w:eastAsia="Times New Roman" w:cs="Arial"/>
          <w:lang w:val="pl-PL"/>
        </w:rPr>
        <w:t>odbiorowi częściowemu,</w:t>
      </w:r>
    </w:p>
    <w:p w:rsidR="00B77F00" w:rsidRDefault="00865FA3">
      <w:pPr>
        <w:pStyle w:val="Standard"/>
        <w:numPr>
          <w:ilvl w:val="0"/>
          <w:numId w:val="23"/>
        </w:numPr>
        <w:tabs>
          <w:tab w:val="left" w:pos="288"/>
        </w:tabs>
        <w:jc w:val="both"/>
      </w:pPr>
      <w:r>
        <w:rPr>
          <w:rStyle w:val="WW-DefaultParagraphFont"/>
          <w:rFonts w:eastAsia="Times New Roman" w:cs="Arial"/>
          <w:lang w:val="pl-PL"/>
        </w:rPr>
        <w:t>odbiorowi ostatecznemu,</w:t>
      </w:r>
    </w:p>
    <w:p w:rsidR="00B77F00" w:rsidRDefault="00865FA3">
      <w:pPr>
        <w:pStyle w:val="Standard"/>
        <w:numPr>
          <w:ilvl w:val="0"/>
          <w:numId w:val="23"/>
        </w:numPr>
        <w:tabs>
          <w:tab w:val="left" w:pos="288"/>
        </w:tabs>
        <w:jc w:val="both"/>
      </w:pPr>
      <w:r>
        <w:rPr>
          <w:rStyle w:val="WW-DefaultParagraphFont"/>
          <w:rFonts w:eastAsia="Times New Roman" w:cs="Arial"/>
          <w:lang w:val="pl-PL"/>
        </w:rPr>
        <w:t>odbiorowi pogwarancyjnemu.</w:t>
      </w:r>
    </w:p>
    <w:p w:rsidR="00B77F00" w:rsidRDefault="00865FA3">
      <w:pPr>
        <w:pStyle w:val="Standard"/>
        <w:jc w:val="both"/>
      </w:pPr>
      <w:r>
        <w:rPr>
          <w:rStyle w:val="CharacterStyle1"/>
          <w:rFonts w:eastAsia="Times New Roman" w:cs="Arial"/>
          <w:b/>
          <w:bCs/>
          <w:lang w:val="pl-PL"/>
        </w:rPr>
        <w:t>8.2. Odbiór robót zanikających i ulegających zakryciu</w:t>
      </w:r>
    </w:p>
    <w:p w:rsidR="00B77F00" w:rsidRDefault="00865FA3">
      <w:pPr>
        <w:pStyle w:val="Standard"/>
        <w:jc w:val="both"/>
      </w:pPr>
      <w:r>
        <w:rPr>
          <w:rStyle w:val="WW-DefaultParagraphFont"/>
          <w:rFonts w:eastAsia="Times New Roman" w:cs="Arial"/>
          <w:lang w:val="pl-PL"/>
        </w:rPr>
        <w:t>Odbiór robót zanikających i ulegających zakryciu polega na fmalnej ocenie ilości i jakości wykonywanych robót, które w dalszym procesie realizacji uleg</w:t>
      </w:r>
      <w:r>
        <w:rPr>
          <w:rStyle w:val="WW-DefaultParagraphFont"/>
          <w:rFonts w:eastAsia="Times New Roman" w:cs="Arial"/>
          <w:lang w:val="pl-PL"/>
        </w:rPr>
        <w:t>ną zakryciu.</w:t>
      </w:r>
    </w:p>
    <w:p w:rsidR="00B77F00" w:rsidRDefault="00865FA3">
      <w:pPr>
        <w:pStyle w:val="Standard"/>
        <w:jc w:val="both"/>
      </w:pPr>
      <w:r>
        <w:rPr>
          <w:rStyle w:val="WW-DefaultParagraphFont"/>
          <w:rFonts w:eastAsia="Times New Roman" w:cs="Arial"/>
          <w:lang w:val="pl-PL"/>
        </w:rPr>
        <w:t>Odbiór robót zanikających i ulegających zakryciu będzie dokonany w czasie umożliwiającym wykonanie ewentualnych korekt i poprawek bez hamowania ogólnego postępu robót.</w:t>
      </w:r>
    </w:p>
    <w:p w:rsidR="00B77F00" w:rsidRDefault="00865FA3">
      <w:pPr>
        <w:pStyle w:val="Standard"/>
        <w:jc w:val="both"/>
      </w:pPr>
      <w:r>
        <w:rPr>
          <w:rStyle w:val="WW-DefaultParagraphFont"/>
          <w:rFonts w:eastAsia="Times New Roman" w:cs="Arial"/>
          <w:lang w:val="pl-PL"/>
        </w:rPr>
        <w:t>Odbioru robót dokonuje Inżynier/Kierownik projektu.</w:t>
      </w:r>
    </w:p>
    <w:p w:rsidR="00B77F00" w:rsidRDefault="00865FA3">
      <w:pPr>
        <w:pStyle w:val="Standard"/>
        <w:jc w:val="both"/>
      </w:pPr>
      <w:r>
        <w:rPr>
          <w:rStyle w:val="WW-DefaultParagraphFont"/>
          <w:rFonts w:eastAsia="Times New Roman" w:cs="Arial"/>
          <w:lang w:val="pl-PL"/>
        </w:rPr>
        <w:t>Gotowość danej części r</w:t>
      </w:r>
      <w:r>
        <w:rPr>
          <w:rStyle w:val="WW-DefaultParagraphFont"/>
          <w:rFonts w:eastAsia="Times New Roman" w:cs="Arial"/>
          <w:lang w:val="pl-PL"/>
        </w:rPr>
        <w:t>obót do odbioru zgłasza Wykonawca wpisem do dziennika budowy i jednoczesnym powiadomieniem Inżyniera/Kierownika projektu. Odbiór będzie przeprowadzony niezwłocznie, nie później jednak niż w ciągu 3 dni od daty zgłoszenia wpisem do dziennika budowy i powiad</w:t>
      </w:r>
      <w:r>
        <w:rPr>
          <w:rStyle w:val="WW-DefaultParagraphFont"/>
          <w:rFonts w:eastAsia="Times New Roman" w:cs="Arial"/>
          <w:lang w:val="pl-PL"/>
        </w:rPr>
        <w:t>omienia o tym fakcie Inżyniera/Kierownika projektu.</w:t>
      </w:r>
    </w:p>
    <w:p w:rsidR="00B77F00" w:rsidRDefault="00865FA3">
      <w:pPr>
        <w:pStyle w:val="Standard"/>
        <w:jc w:val="both"/>
      </w:pPr>
      <w:r>
        <w:rPr>
          <w:rStyle w:val="WW-DefaultParagraphFont"/>
          <w:rFonts w:eastAsia="Times New Roman" w:cs="Arial"/>
          <w:lang w:val="pl-PL"/>
        </w:rPr>
        <w:t>Jakość i ilość robót ulegających zakryciu ocenia Inżynier/Kierownik projektu na podstawie dokumentów zawierających komplet wyników badań laboratoryjnych i w oparciu o przeprowadzone pomiary, w konfrontacj</w:t>
      </w:r>
      <w:r>
        <w:rPr>
          <w:rStyle w:val="WW-DefaultParagraphFont"/>
          <w:rFonts w:eastAsia="Times New Roman" w:cs="Arial"/>
          <w:lang w:val="pl-PL"/>
        </w:rPr>
        <w:t>i z dokumentacją projektową, STWIORB i uprzednimi ustaleniami.</w:t>
      </w:r>
    </w:p>
    <w:p w:rsidR="00B77F00" w:rsidRDefault="00865FA3">
      <w:pPr>
        <w:pStyle w:val="Standard"/>
        <w:jc w:val="both"/>
      </w:pPr>
      <w:r>
        <w:rPr>
          <w:rStyle w:val="CharacterStyle1"/>
          <w:rFonts w:eastAsia="Times New Roman" w:cs="Arial"/>
          <w:b/>
          <w:bCs/>
          <w:lang w:val="pl-PL"/>
        </w:rPr>
        <w:t>8.3. Odbiór częściowy</w:t>
      </w:r>
    </w:p>
    <w:p w:rsidR="00B77F00" w:rsidRDefault="00865FA3">
      <w:pPr>
        <w:pStyle w:val="Standard"/>
        <w:jc w:val="both"/>
      </w:pPr>
      <w:r>
        <w:rPr>
          <w:rStyle w:val="WW-DefaultParagraphFont"/>
          <w:rFonts w:eastAsia="Times New Roman" w:cs="Arial"/>
          <w:lang w:val="pl-PL"/>
        </w:rPr>
        <w:t>Odbiór częściowy polega na ocenie ilości i jakości wykonanych części robót. Odbioru częściowego robót dokonuje się wg zasad jak przy odbiorze ostatecznym robót. Odbioru ro</w:t>
      </w:r>
      <w:r>
        <w:rPr>
          <w:rStyle w:val="WW-DefaultParagraphFont"/>
          <w:rFonts w:eastAsia="Times New Roman" w:cs="Arial"/>
          <w:lang w:val="pl-PL"/>
        </w:rPr>
        <w:t>bót dokonuje Inżynier/Kierownik projektu.</w:t>
      </w:r>
    </w:p>
    <w:p w:rsidR="00B77F00" w:rsidRDefault="00865FA3">
      <w:pPr>
        <w:pStyle w:val="Standard"/>
        <w:jc w:val="both"/>
      </w:pPr>
      <w:r>
        <w:rPr>
          <w:rStyle w:val="CharacterStyle1"/>
          <w:rFonts w:eastAsia="Times New Roman" w:cs="Arial"/>
          <w:b/>
          <w:bCs/>
          <w:lang w:val="pl-PL"/>
        </w:rPr>
        <w:lastRenderedPageBreak/>
        <w:t>8.4. Odbiór ostateczny robót</w:t>
      </w:r>
    </w:p>
    <w:p w:rsidR="00B77F00" w:rsidRDefault="00865FA3">
      <w:pPr>
        <w:pStyle w:val="Standard"/>
        <w:jc w:val="both"/>
      </w:pPr>
      <w:r>
        <w:rPr>
          <w:rStyle w:val="WW-DefaultParagraphFont"/>
          <w:rFonts w:eastAsia="Times New Roman" w:cs="Arial"/>
          <w:lang w:val="pl-PL"/>
        </w:rPr>
        <w:t>8.4.1. Zasady odbioru ostatecznego robót</w:t>
      </w:r>
    </w:p>
    <w:p w:rsidR="00B77F00" w:rsidRDefault="00865FA3">
      <w:pPr>
        <w:pStyle w:val="Standard"/>
        <w:jc w:val="both"/>
      </w:pPr>
      <w:r>
        <w:rPr>
          <w:rStyle w:val="WW-DefaultParagraphFont"/>
          <w:rFonts w:eastAsia="Times New Roman" w:cs="Arial"/>
          <w:lang w:val="pl-PL"/>
        </w:rPr>
        <w:t>Odbiór ostateczny polega na finalnej ocenie rzeczywistego wykonania robót w odniesieniu do ich ilości, jakości i wartości.</w:t>
      </w:r>
    </w:p>
    <w:p w:rsidR="00B77F00" w:rsidRDefault="00865FA3">
      <w:pPr>
        <w:pStyle w:val="Standard"/>
        <w:jc w:val="both"/>
      </w:pPr>
      <w:r>
        <w:rPr>
          <w:rStyle w:val="WW-DefaultParagraphFont"/>
          <w:rFonts w:eastAsia="Times New Roman" w:cs="Arial"/>
          <w:lang w:val="pl-PL"/>
        </w:rPr>
        <w:t>Całkowite zakończenie</w:t>
      </w:r>
      <w:r>
        <w:rPr>
          <w:rStyle w:val="WW-DefaultParagraphFont"/>
          <w:rFonts w:eastAsia="Times New Roman" w:cs="Arial"/>
          <w:lang w:val="pl-PL"/>
        </w:rPr>
        <w:t xml:space="preserve"> robót oraz gotowość do odbioru ostatecznego będzie stwierdzona przez Wykonawcę wpisem do dziennika budowy z bezzwłocznym powiadomieniem na piśmie o tym fakcie Inżyniera/Kierownika projektu.</w:t>
      </w:r>
    </w:p>
    <w:p w:rsidR="00B77F00" w:rsidRDefault="00865FA3">
      <w:pPr>
        <w:pStyle w:val="Standard"/>
        <w:jc w:val="both"/>
      </w:pPr>
      <w:r>
        <w:rPr>
          <w:rStyle w:val="WW-DefaultParagraphFont"/>
          <w:rFonts w:eastAsia="Times New Roman" w:cs="Arial"/>
          <w:lang w:val="pl-PL"/>
        </w:rPr>
        <w:t>Odbiór ostateczny robót nastąpi w terminie ustalonym w dokumentac</w:t>
      </w:r>
      <w:r>
        <w:rPr>
          <w:rStyle w:val="WW-DefaultParagraphFont"/>
          <w:rFonts w:eastAsia="Times New Roman" w:cs="Arial"/>
          <w:lang w:val="pl-PL"/>
        </w:rPr>
        <w:t>h umowy, licząc od dnia potwierdzenia przez Inżyniera/Kierownika projektu zakończenia robót i przyjęcia dokumentów, o których mowa w punkcie 8.4.2.</w:t>
      </w:r>
    </w:p>
    <w:p w:rsidR="00B77F00" w:rsidRDefault="00865FA3">
      <w:pPr>
        <w:pStyle w:val="Standard"/>
        <w:jc w:val="both"/>
      </w:pPr>
      <w:r>
        <w:rPr>
          <w:rStyle w:val="WW-DefaultParagraphFont"/>
          <w:rFonts w:eastAsia="Times New Roman" w:cs="Arial"/>
          <w:lang w:val="pl-PL"/>
        </w:rPr>
        <w:t>Odbioru ostatecznego robót dokona komisja wyznaczona przez Zamawiającego w obecności Inżyniera/Kierownika pr</w:t>
      </w:r>
      <w:r>
        <w:rPr>
          <w:rStyle w:val="WW-DefaultParagraphFont"/>
          <w:rFonts w:eastAsia="Times New Roman" w:cs="Arial"/>
          <w:lang w:val="pl-PL"/>
        </w:rPr>
        <w:t>ojektu i Wykonawcy. Komisja odbierająca roboty dokona ich oceny jakościowej na podstawie przedłożonych dokumentów, wyników badań i pomiarów, ocenie wizualnej oraz zgodności wykonania robót z dokumentacją projektową i STWIORB.</w:t>
      </w:r>
    </w:p>
    <w:p w:rsidR="00B77F00" w:rsidRDefault="00865FA3">
      <w:pPr>
        <w:pStyle w:val="Standard"/>
        <w:jc w:val="both"/>
      </w:pPr>
      <w:r>
        <w:rPr>
          <w:rStyle w:val="WW-DefaultParagraphFont"/>
          <w:rFonts w:eastAsia="Times New Roman" w:cs="Arial"/>
          <w:lang w:val="pl-PL"/>
        </w:rPr>
        <w:t>W toku odbioru ostatecznego ro</w:t>
      </w:r>
      <w:r>
        <w:rPr>
          <w:rStyle w:val="WW-DefaultParagraphFont"/>
          <w:rFonts w:eastAsia="Times New Roman" w:cs="Arial"/>
          <w:lang w:val="pl-PL"/>
        </w:rPr>
        <w:t>bót komisja zapozna się z realizacją ustaleń przyjętych w trakcie odbiorów robót zanikających i ulegających zakryciu, zwłaszcza w zakresie wykonania robót uzupełniających i robót poprawkowych.</w:t>
      </w:r>
    </w:p>
    <w:p w:rsidR="00B77F00" w:rsidRDefault="00865FA3">
      <w:pPr>
        <w:pStyle w:val="Standard"/>
        <w:jc w:val="both"/>
      </w:pPr>
      <w:r>
        <w:rPr>
          <w:rStyle w:val="WW-DefaultParagraphFont"/>
          <w:rFonts w:eastAsia="Times New Roman" w:cs="Arial"/>
          <w:lang w:val="pl-PL"/>
        </w:rPr>
        <w:t xml:space="preserve">W przypadkach niewykonania wyznaczonych robót poprawkowych lub </w:t>
      </w:r>
      <w:r>
        <w:rPr>
          <w:rStyle w:val="WW-DefaultParagraphFont"/>
          <w:rFonts w:eastAsia="Times New Roman" w:cs="Arial"/>
          <w:lang w:val="pl-PL"/>
        </w:rPr>
        <w:t>robót uzupełniających w warstwie ścieralnej lub robotach wykończeniowych, komisja przerwie swoje czynności i ustali nowy termin odbioru ostatecznego.</w:t>
      </w:r>
    </w:p>
    <w:p w:rsidR="00B77F00" w:rsidRDefault="00865FA3">
      <w:pPr>
        <w:pStyle w:val="Standard"/>
        <w:jc w:val="both"/>
      </w:pPr>
      <w:r>
        <w:rPr>
          <w:rStyle w:val="WW-DefaultParagraphFont"/>
          <w:rFonts w:eastAsia="Times New Roman" w:cs="Arial"/>
          <w:lang w:val="pl-PL"/>
        </w:rPr>
        <w:t>W przypadku stwierdzenia przez komisję, że jakość wykonywanych robót w poszczególnych asortymentach niezna</w:t>
      </w:r>
      <w:r>
        <w:rPr>
          <w:rStyle w:val="WW-DefaultParagraphFont"/>
          <w:rFonts w:eastAsia="Times New Roman" w:cs="Arial"/>
          <w:lang w:val="pl-PL"/>
        </w:rPr>
        <w:t>cznie odbiega od wymaganej dokumentacją projektową i STWIORB z uwzględnieniem tolerancji i nie ma większego wpływu na cechy eksploatacyjne obiektu i bezpieczeństwo ruchu, komisja dokona potrąceń, oceniając pomniejszoną wartość wykonywanych robót w stosunku</w:t>
      </w:r>
      <w:r>
        <w:rPr>
          <w:rStyle w:val="WW-DefaultParagraphFont"/>
          <w:rFonts w:eastAsia="Times New Roman" w:cs="Arial"/>
          <w:lang w:val="pl-PL"/>
        </w:rPr>
        <w:t xml:space="preserve"> do wymagań przyjętych w dokumentach umowy.</w:t>
      </w:r>
    </w:p>
    <w:p w:rsidR="00B77F00" w:rsidRDefault="00865FA3">
      <w:pPr>
        <w:pStyle w:val="Standard"/>
        <w:jc w:val="both"/>
      </w:pPr>
      <w:r>
        <w:rPr>
          <w:rStyle w:val="WW-DefaultParagraphFont"/>
          <w:rFonts w:eastAsia="Times New Roman" w:cs="Arial"/>
          <w:lang w:val="pl-PL"/>
        </w:rPr>
        <w:t>8.4.2. Dokumenty do odbioru ostatecznego</w:t>
      </w:r>
    </w:p>
    <w:p w:rsidR="00B77F00" w:rsidRDefault="00865FA3">
      <w:pPr>
        <w:pStyle w:val="Standard"/>
        <w:jc w:val="both"/>
      </w:pPr>
      <w:r>
        <w:rPr>
          <w:rStyle w:val="WW-DefaultParagraphFont"/>
          <w:rFonts w:eastAsia="Times New Roman" w:cs="Arial"/>
          <w:lang w:val="pl-PL"/>
        </w:rPr>
        <w:t>Podstawowym dokumentem do dokonania odbioru ostatecznego robót jest protokół odbioru ostatecznego robót sporządzony wg wzoru ustalonego przez Zamawiającego.</w:t>
      </w:r>
    </w:p>
    <w:p w:rsidR="00B77F00" w:rsidRDefault="00865FA3">
      <w:pPr>
        <w:pStyle w:val="Standard"/>
        <w:jc w:val="both"/>
      </w:pPr>
      <w:r>
        <w:rPr>
          <w:rStyle w:val="WW-DefaultParagraphFont"/>
          <w:rFonts w:eastAsia="Times New Roman" w:cs="Arial"/>
          <w:lang w:val="pl-PL"/>
        </w:rPr>
        <w:t>Do odbioru ost</w:t>
      </w:r>
      <w:r>
        <w:rPr>
          <w:rStyle w:val="WW-DefaultParagraphFont"/>
          <w:rFonts w:eastAsia="Times New Roman" w:cs="Arial"/>
          <w:lang w:val="pl-PL"/>
        </w:rPr>
        <w:t>atecznego Wykonawca jest zobowiązany przygotować następujące dokumenty:</w:t>
      </w:r>
    </w:p>
    <w:p w:rsidR="00B77F00" w:rsidRDefault="00865FA3">
      <w:pPr>
        <w:pStyle w:val="Standard"/>
        <w:numPr>
          <w:ilvl w:val="0"/>
          <w:numId w:val="94"/>
        </w:numPr>
        <w:tabs>
          <w:tab w:val="left" w:pos="288"/>
        </w:tabs>
        <w:jc w:val="both"/>
      </w:pPr>
      <w:r>
        <w:rPr>
          <w:rStyle w:val="WW-DefaultParagraphFont"/>
          <w:rFonts w:eastAsia="Times New Roman" w:cs="Arial"/>
          <w:lang w:val="pl-PL"/>
        </w:rPr>
        <w:t>dokumentację projektową podstawową z naniesionymi zmianami oraz dodatkową, jeśli została sporządzona w trakcie realizacji umowy,</w:t>
      </w:r>
    </w:p>
    <w:p w:rsidR="00B77F00" w:rsidRDefault="00865FA3">
      <w:pPr>
        <w:pStyle w:val="Standard"/>
        <w:numPr>
          <w:ilvl w:val="0"/>
          <w:numId w:val="24"/>
        </w:numPr>
        <w:tabs>
          <w:tab w:val="left" w:pos="288"/>
        </w:tabs>
        <w:jc w:val="both"/>
      </w:pPr>
      <w:r>
        <w:rPr>
          <w:rStyle w:val="WW-DefaultParagraphFont"/>
          <w:rFonts w:eastAsia="Times New Roman" w:cs="Arial"/>
          <w:lang w:val="pl-PL"/>
        </w:rPr>
        <w:t xml:space="preserve">umowa wraz z zabezpieczeniem należytego wykonania </w:t>
      </w:r>
      <w:r>
        <w:rPr>
          <w:rStyle w:val="WW-DefaultParagraphFont"/>
          <w:rFonts w:eastAsia="Times New Roman" w:cs="Arial"/>
          <w:lang w:val="pl-PL"/>
        </w:rPr>
        <w:t>umowy,</w:t>
      </w:r>
    </w:p>
    <w:p w:rsidR="00B77F00" w:rsidRDefault="00865FA3">
      <w:pPr>
        <w:pStyle w:val="Standard"/>
        <w:numPr>
          <w:ilvl w:val="0"/>
          <w:numId w:val="24"/>
        </w:numPr>
        <w:tabs>
          <w:tab w:val="left" w:pos="288"/>
        </w:tabs>
        <w:jc w:val="both"/>
      </w:pPr>
      <w:r>
        <w:rPr>
          <w:rStyle w:val="WW-DefaultParagraphFont"/>
          <w:rFonts w:eastAsia="Times New Roman" w:cs="Arial"/>
          <w:lang w:val="pl-PL"/>
        </w:rPr>
        <w:t>protokoły przekazania terenu, odbioru oznakowania,</w:t>
      </w:r>
    </w:p>
    <w:p w:rsidR="00B77F00" w:rsidRDefault="00865FA3">
      <w:pPr>
        <w:pStyle w:val="Standard"/>
        <w:numPr>
          <w:ilvl w:val="0"/>
          <w:numId w:val="24"/>
        </w:numPr>
        <w:tabs>
          <w:tab w:val="left" w:pos="288"/>
        </w:tabs>
        <w:jc w:val="both"/>
      </w:pPr>
      <w:r>
        <w:rPr>
          <w:rStyle w:val="WW-DefaultParagraphFont"/>
          <w:rFonts w:eastAsia="Times New Roman" w:cs="Arial"/>
          <w:lang w:val="pl-PL"/>
        </w:rPr>
        <w:t>notatki służbowe, protokoły konieczności,</w:t>
      </w:r>
    </w:p>
    <w:p w:rsidR="00B77F00" w:rsidRDefault="00865FA3">
      <w:pPr>
        <w:pStyle w:val="Standard"/>
        <w:numPr>
          <w:ilvl w:val="0"/>
          <w:numId w:val="24"/>
        </w:numPr>
        <w:tabs>
          <w:tab w:val="left" w:pos="288"/>
        </w:tabs>
        <w:jc w:val="both"/>
      </w:pPr>
      <w:r>
        <w:rPr>
          <w:rStyle w:val="WW-DefaultParagraphFont"/>
          <w:rFonts w:eastAsia="Times New Roman" w:cs="Arial"/>
          <w:lang w:val="pl-PL"/>
        </w:rPr>
        <w:t>zestawienie użytych materiałów wraz z podaniem aprobat technicznych, deklaracji, norm</w:t>
      </w:r>
    </w:p>
    <w:p w:rsidR="00B77F00" w:rsidRDefault="00865FA3">
      <w:pPr>
        <w:pStyle w:val="Standard"/>
        <w:numPr>
          <w:ilvl w:val="0"/>
          <w:numId w:val="24"/>
        </w:numPr>
        <w:tabs>
          <w:tab w:val="left" w:pos="288"/>
        </w:tabs>
        <w:jc w:val="both"/>
      </w:pPr>
      <w:r>
        <w:rPr>
          <w:rStyle w:val="WW-DefaultParagraphFont"/>
          <w:rFonts w:eastAsia="Times New Roman" w:cs="Arial"/>
          <w:lang w:val="pl-PL"/>
        </w:rPr>
        <w:t>protokoły częściowego odbioru robót,</w:t>
      </w:r>
    </w:p>
    <w:p w:rsidR="00B77F00" w:rsidRDefault="00865FA3">
      <w:pPr>
        <w:pStyle w:val="Standard"/>
        <w:numPr>
          <w:ilvl w:val="0"/>
          <w:numId w:val="24"/>
        </w:numPr>
        <w:tabs>
          <w:tab w:val="left" w:pos="288"/>
        </w:tabs>
        <w:jc w:val="both"/>
      </w:pPr>
      <w:r>
        <w:rPr>
          <w:rStyle w:val="WW-DefaultParagraphFont"/>
          <w:rFonts w:eastAsia="Times New Roman" w:cs="Arial"/>
          <w:lang w:val="pl-PL"/>
        </w:rPr>
        <w:t xml:space="preserve">rozliczenie budowy wraz z </w:t>
      </w:r>
      <w:r>
        <w:rPr>
          <w:rStyle w:val="WW-DefaultParagraphFont"/>
          <w:rFonts w:eastAsia="Times New Roman" w:cs="Arial"/>
          <w:lang w:val="pl-PL"/>
        </w:rPr>
        <w:t>zestawienie faktur</w:t>
      </w:r>
    </w:p>
    <w:p w:rsidR="00B77F00" w:rsidRDefault="00865FA3">
      <w:pPr>
        <w:pStyle w:val="Standard"/>
        <w:numPr>
          <w:ilvl w:val="0"/>
          <w:numId w:val="24"/>
        </w:numPr>
        <w:tabs>
          <w:tab w:val="left" w:pos="288"/>
        </w:tabs>
        <w:jc w:val="both"/>
      </w:pPr>
      <w:r>
        <w:rPr>
          <w:rStyle w:val="WW-DefaultParagraphFont"/>
          <w:rFonts w:eastAsia="Times New Roman" w:cs="Arial"/>
          <w:lang w:val="pl-PL"/>
        </w:rPr>
        <w:t>szczegółowe specyfikacje techniczne (podstawowe z dokumentów umowy i ew. uzupełniające lub zamienne),</w:t>
      </w:r>
    </w:p>
    <w:p w:rsidR="00B77F00" w:rsidRDefault="00865FA3">
      <w:pPr>
        <w:pStyle w:val="Standard"/>
        <w:numPr>
          <w:ilvl w:val="0"/>
          <w:numId w:val="24"/>
        </w:numPr>
        <w:tabs>
          <w:tab w:val="left" w:pos="288"/>
        </w:tabs>
        <w:jc w:val="both"/>
      </w:pPr>
      <w:r>
        <w:rPr>
          <w:rStyle w:val="WW-DefaultParagraphFont"/>
          <w:rFonts w:eastAsia="Times New Roman" w:cs="Arial"/>
          <w:lang w:val="pl-PL"/>
        </w:rPr>
        <w:t>recepty i ustalenia technologiczne,</w:t>
      </w:r>
    </w:p>
    <w:p w:rsidR="00B77F00" w:rsidRDefault="00865FA3">
      <w:pPr>
        <w:pStyle w:val="Standard"/>
        <w:numPr>
          <w:ilvl w:val="0"/>
          <w:numId w:val="24"/>
        </w:numPr>
        <w:tabs>
          <w:tab w:val="left" w:pos="288"/>
        </w:tabs>
        <w:jc w:val="both"/>
      </w:pPr>
      <w:r>
        <w:rPr>
          <w:rStyle w:val="WW-DefaultParagraphFont"/>
          <w:rFonts w:eastAsia="Times New Roman" w:cs="Arial"/>
          <w:lang w:val="pl-PL"/>
        </w:rPr>
        <w:t>dzienniki budowy i książki obmiarów (oryginały),</w:t>
      </w:r>
    </w:p>
    <w:p w:rsidR="00B77F00" w:rsidRDefault="00865FA3">
      <w:pPr>
        <w:pStyle w:val="Standard"/>
        <w:numPr>
          <w:ilvl w:val="0"/>
          <w:numId w:val="24"/>
        </w:numPr>
        <w:tabs>
          <w:tab w:val="left" w:pos="288"/>
        </w:tabs>
        <w:jc w:val="both"/>
      </w:pPr>
      <w:r>
        <w:rPr>
          <w:rStyle w:val="WW-DefaultParagraphFont"/>
          <w:rFonts w:eastAsia="Times New Roman" w:cs="Arial"/>
          <w:lang w:val="pl-PL"/>
        </w:rPr>
        <w:t xml:space="preserve">wyniki pomiarów kontrolnych oraz badań i oznaczeń </w:t>
      </w:r>
      <w:r>
        <w:rPr>
          <w:rStyle w:val="WW-DefaultParagraphFont"/>
          <w:rFonts w:eastAsia="Times New Roman" w:cs="Arial"/>
          <w:lang w:val="pl-PL"/>
        </w:rPr>
        <w:t>laboratoryjnych, zgodne z STWIORB</w:t>
      </w:r>
      <w:r>
        <w:rPr>
          <w:rStyle w:val="WW-DefaultParagraphFont"/>
          <w:rFonts w:eastAsia="Times New Roman" w:cs="Arial"/>
          <w:lang w:val="pl-PL"/>
        </w:rPr>
        <w:tab/>
        <w:t>i ew. PZJ,</w:t>
      </w:r>
    </w:p>
    <w:p w:rsidR="00B77F00" w:rsidRDefault="00865FA3">
      <w:pPr>
        <w:pStyle w:val="Standard"/>
        <w:numPr>
          <w:ilvl w:val="0"/>
          <w:numId w:val="24"/>
        </w:numPr>
        <w:tabs>
          <w:tab w:val="left" w:pos="288"/>
        </w:tabs>
        <w:jc w:val="both"/>
      </w:pPr>
      <w:r>
        <w:rPr>
          <w:rStyle w:val="WW-DefaultParagraphFont"/>
          <w:rFonts w:eastAsia="Times New Roman" w:cs="Arial"/>
          <w:lang w:val="pl-PL"/>
        </w:rPr>
        <w:t>deklaracje zgodności lub certyfikaty zgodności wbudowanych materiałów zgodnie z STWIORB i ew. PZJ,</w:t>
      </w:r>
    </w:p>
    <w:p w:rsidR="00B77F00" w:rsidRDefault="00865FA3">
      <w:pPr>
        <w:pStyle w:val="Standard"/>
        <w:numPr>
          <w:ilvl w:val="0"/>
          <w:numId w:val="24"/>
        </w:numPr>
        <w:tabs>
          <w:tab w:val="left" w:pos="288"/>
        </w:tabs>
        <w:jc w:val="both"/>
      </w:pPr>
      <w:r>
        <w:rPr>
          <w:rStyle w:val="WW-DefaultParagraphFont"/>
          <w:rFonts w:eastAsia="Times New Roman" w:cs="Arial"/>
          <w:lang w:val="pl-PL"/>
        </w:rPr>
        <w:t>opinię technologiczną sporządzoną na podstawie wszystkich wyników badań i pomiarów załączonych do dokumentów odb</w:t>
      </w:r>
      <w:r>
        <w:rPr>
          <w:rStyle w:val="WW-DefaultParagraphFont"/>
          <w:rFonts w:eastAsia="Times New Roman" w:cs="Arial"/>
          <w:lang w:val="pl-PL"/>
        </w:rPr>
        <w:t>ioru, wykonanych zgodnie z STWIORB i PZJ,</w:t>
      </w:r>
    </w:p>
    <w:p w:rsidR="00B77F00" w:rsidRDefault="00865FA3">
      <w:pPr>
        <w:pStyle w:val="Standard"/>
        <w:numPr>
          <w:ilvl w:val="0"/>
          <w:numId w:val="24"/>
        </w:numPr>
        <w:tabs>
          <w:tab w:val="left" w:pos="288"/>
        </w:tabs>
        <w:jc w:val="both"/>
      </w:pPr>
      <w:r>
        <w:rPr>
          <w:rStyle w:val="WW-DefaultParagraphFont"/>
          <w:rFonts w:eastAsia="Times New Roman" w:cs="Arial"/>
          <w:lang w:val="pl-PL"/>
        </w:rPr>
        <w:t>rysunki (dokumentacje) na wykonanie robót towarzyszących (np. na przełożenie linii telefonicznej, energetycznej, gazowej, oświetlenia itp.) oraz protokoły odbioru i przekazania tych robót właścicielom urządzeń,</w:t>
      </w:r>
    </w:p>
    <w:p w:rsidR="00B77F00" w:rsidRDefault="00865FA3">
      <w:pPr>
        <w:pStyle w:val="Standard"/>
        <w:numPr>
          <w:ilvl w:val="0"/>
          <w:numId w:val="24"/>
        </w:numPr>
        <w:tabs>
          <w:tab w:val="left" w:pos="288"/>
        </w:tabs>
        <w:jc w:val="both"/>
      </w:pPr>
      <w:r>
        <w:rPr>
          <w:rStyle w:val="WW-DefaultParagraphFont"/>
          <w:rFonts w:eastAsia="Times New Roman" w:cs="Arial"/>
          <w:lang w:val="pl-PL"/>
        </w:rPr>
        <w:t>geo</w:t>
      </w:r>
      <w:r>
        <w:rPr>
          <w:rStyle w:val="WW-DefaultParagraphFont"/>
          <w:rFonts w:eastAsia="Times New Roman" w:cs="Arial"/>
          <w:lang w:val="pl-PL"/>
        </w:rPr>
        <w:t>dezyjną inwentaryzację powykonawczą robót i sieci uzbrojenia terenu,</w:t>
      </w:r>
    </w:p>
    <w:p w:rsidR="00B77F00" w:rsidRDefault="00865FA3">
      <w:pPr>
        <w:pStyle w:val="Standard"/>
        <w:numPr>
          <w:ilvl w:val="0"/>
          <w:numId w:val="24"/>
        </w:numPr>
        <w:tabs>
          <w:tab w:val="left" w:pos="288"/>
        </w:tabs>
        <w:jc w:val="both"/>
      </w:pPr>
      <w:r>
        <w:rPr>
          <w:rStyle w:val="WW-DefaultParagraphFont"/>
          <w:rFonts w:eastAsia="Times New Roman" w:cs="Arial"/>
          <w:lang w:val="pl-PL"/>
        </w:rPr>
        <w:t>kopię mapy zasadniczej powstałej w wyniku geodezyjnej inwentaryzacji powykonawczej.</w:t>
      </w:r>
    </w:p>
    <w:p w:rsidR="00B77F00" w:rsidRDefault="00865FA3">
      <w:pPr>
        <w:pStyle w:val="Standard"/>
        <w:jc w:val="both"/>
      </w:pPr>
      <w:r>
        <w:rPr>
          <w:rStyle w:val="WW-DefaultParagraphFont"/>
          <w:rFonts w:eastAsia="Times New Roman" w:cs="Arial"/>
          <w:lang w:val="pl-PL"/>
        </w:rPr>
        <w:t>W przypadku, gdy wg komisji, roboty pod względem przygotowania dokumentacyjnego nie będą gotowe do odbi</w:t>
      </w:r>
      <w:r>
        <w:rPr>
          <w:rStyle w:val="WW-DefaultParagraphFont"/>
          <w:rFonts w:eastAsia="Times New Roman" w:cs="Arial"/>
          <w:lang w:val="pl-PL"/>
        </w:rPr>
        <w:t>oru ostatecznego, komisja w porozumieniu z Wykonawcą wyznaczy ponowny termin odbioru ostatecznego robót.</w:t>
      </w:r>
    </w:p>
    <w:p w:rsidR="00B77F00" w:rsidRDefault="00865FA3">
      <w:pPr>
        <w:pStyle w:val="Standard"/>
        <w:jc w:val="both"/>
      </w:pPr>
      <w:r>
        <w:rPr>
          <w:rStyle w:val="WW-DefaultParagraphFont"/>
          <w:rFonts w:eastAsia="Times New Roman" w:cs="Arial"/>
          <w:lang w:val="pl-PL"/>
        </w:rPr>
        <w:t>Wszystkie zarządzone przez komisję roboty poprawkowe lub uzupełniające będą zestawione wg wzoru ustalonego przez Zamawiającego.</w:t>
      </w:r>
    </w:p>
    <w:p w:rsidR="00B77F00" w:rsidRDefault="00865FA3">
      <w:pPr>
        <w:pStyle w:val="Standard"/>
        <w:jc w:val="both"/>
      </w:pPr>
      <w:r>
        <w:rPr>
          <w:rStyle w:val="WW-DefaultParagraphFont"/>
          <w:rFonts w:eastAsia="Times New Roman" w:cs="Arial"/>
          <w:lang w:val="pl-PL"/>
        </w:rPr>
        <w:t xml:space="preserve">Termin wykonania robót </w:t>
      </w:r>
      <w:r>
        <w:rPr>
          <w:rStyle w:val="WW-DefaultParagraphFont"/>
          <w:rFonts w:eastAsia="Times New Roman" w:cs="Arial"/>
          <w:lang w:val="pl-PL"/>
        </w:rPr>
        <w:t>poprawkowych i robót uzupełniających wyznaczy komisja.</w:t>
      </w:r>
    </w:p>
    <w:p w:rsidR="00B77F00" w:rsidRDefault="00865FA3">
      <w:pPr>
        <w:pStyle w:val="Standard"/>
        <w:jc w:val="both"/>
      </w:pPr>
      <w:r>
        <w:rPr>
          <w:rStyle w:val="CharacterStyle1"/>
          <w:rFonts w:eastAsia="Times New Roman" w:cs="Arial"/>
          <w:b/>
          <w:bCs/>
          <w:lang w:val="pl-PL"/>
        </w:rPr>
        <w:t>8.5. Odbiór pogwarancyjny</w:t>
      </w:r>
    </w:p>
    <w:p w:rsidR="00B77F00" w:rsidRDefault="00865FA3">
      <w:pPr>
        <w:pStyle w:val="Standard"/>
        <w:jc w:val="both"/>
      </w:pPr>
      <w:r>
        <w:rPr>
          <w:rStyle w:val="WW-DefaultParagraphFont"/>
          <w:rFonts w:eastAsia="Times New Roman" w:cs="Arial"/>
          <w:lang w:val="pl-PL"/>
        </w:rPr>
        <w:t xml:space="preserve">Odbiór pogwarancyjny polega na ocenie wykonanych robót związanych z usunięciem wad stwierdzonych przy </w:t>
      </w:r>
      <w:r>
        <w:rPr>
          <w:rStyle w:val="WW-DefaultParagraphFont"/>
          <w:rFonts w:eastAsia="Times New Roman" w:cs="Arial"/>
          <w:lang w:val="pl-PL"/>
        </w:rPr>
        <w:lastRenderedPageBreak/>
        <w:t>odbiorze ostatecznym i zaistniałych w okresie gwarancyjnym.</w:t>
      </w:r>
    </w:p>
    <w:p w:rsidR="00B77F00" w:rsidRDefault="00865FA3">
      <w:pPr>
        <w:pStyle w:val="Standard"/>
        <w:jc w:val="both"/>
      </w:pPr>
      <w:r>
        <w:rPr>
          <w:rStyle w:val="WW-DefaultParagraphFont"/>
          <w:rFonts w:eastAsia="Times New Roman" w:cs="Arial"/>
          <w:lang w:val="pl-PL"/>
        </w:rPr>
        <w:t>Odbiór pogwar</w:t>
      </w:r>
      <w:r>
        <w:rPr>
          <w:rStyle w:val="WW-DefaultParagraphFont"/>
          <w:rFonts w:eastAsia="Times New Roman" w:cs="Arial"/>
          <w:lang w:val="pl-PL"/>
        </w:rPr>
        <w:t>ancyjny będzie dokonany na podstawie oceny wizualnej obiektu z uwzględnieniem zasad opisanych w punkcie 8.4 „Odbiór ostateczny robót".</w:t>
      </w:r>
    </w:p>
    <w:p w:rsidR="00B77F00" w:rsidRDefault="00B77F00">
      <w:pPr>
        <w:pStyle w:val="Standard"/>
        <w:jc w:val="both"/>
      </w:pPr>
    </w:p>
    <w:p w:rsidR="00B77F00" w:rsidRDefault="00865FA3">
      <w:pPr>
        <w:pStyle w:val="Standard"/>
        <w:jc w:val="both"/>
      </w:pPr>
      <w:r>
        <w:rPr>
          <w:rStyle w:val="CharacterStyle1"/>
          <w:rFonts w:eastAsia="Times New Roman" w:cs="Arial"/>
          <w:b/>
          <w:bCs/>
          <w:lang w:val="pl-PL"/>
        </w:rPr>
        <w:t>9. PODSTAWA PŁATNOŚCI</w:t>
      </w:r>
    </w:p>
    <w:p w:rsidR="00B77F00" w:rsidRDefault="00865FA3">
      <w:pPr>
        <w:pStyle w:val="Standard"/>
        <w:jc w:val="both"/>
      </w:pPr>
      <w:r>
        <w:rPr>
          <w:rStyle w:val="CharacterStyle1"/>
          <w:rFonts w:eastAsia="Times New Roman" w:cs="Arial"/>
          <w:b/>
          <w:bCs/>
          <w:lang w:val="pl-PL"/>
        </w:rPr>
        <w:t>9.1. Ustalenia ogólne</w:t>
      </w:r>
    </w:p>
    <w:p w:rsidR="00B77F00" w:rsidRDefault="00865FA3">
      <w:pPr>
        <w:pStyle w:val="Standard"/>
        <w:jc w:val="both"/>
      </w:pPr>
      <w:r>
        <w:rPr>
          <w:rStyle w:val="WW-DefaultParagraphFont"/>
          <w:rFonts w:eastAsia="Times New Roman" w:cs="Arial"/>
          <w:lang w:val="pl-PL"/>
        </w:rPr>
        <w:t>Podstawą płatności jest cena jednostkowa skalkulowana przez Wykonawcę za jed</w:t>
      </w:r>
      <w:r>
        <w:rPr>
          <w:rStyle w:val="WW-DefaultParagraphFont"/>
          <w:rFonts w:eastAsia="Times New Roman" w:cs="Arial"/>
          <w:lang w:val="pl-PL"/>
        </w:rPr>
        <w:t>nostkę obmiarową ustaloną dla danej pozycji kosztorysu.</w:t>
      </w:r>
    </w:p>
    <w:p w:rsidR="00B77F00" w:rsidRDefault="00865FA3">
      <w:pPr>
        <w:pStyle w:val="Standard"/>
        <w:jc w:val="both"/>
      </w:pPr>
      <w:r>
        <w:rPr>
          <w:rStyle w:val="WW-DefaultParagraphFont"/>
          <w:rFonts w:eastAsia="Times New Roman" w:cs="Arial"/>
          <w:lang w:val="pl-PL"/>
        </w:rPr>
        <w:t>Dla pozycji kosztorysowych wycenionych ryczałtowo podstawą płatności jest wartość (kwota) podana przez Wykonawcę w danej pozycji kosztorysu.</w:t>
      </w:r>
    </w:p>
    <w:p w:rsidR="00B77F00" w:rsidRDefault="00865FA3">
      <w:pPr>
        <w:pStyle w:val="Standard"/>
        <w:jc w:val="both"/>
      </w:pPr>
      <w:r>
        <w:rPr>
          <w:rStyle w:val="WW-DefaultParagraphFont"/>
          <w:rFonts w:eastAsia="Times New Roman" w:cs="Arial"/>
          <w:lang w:val="pl-PL"/>
        </w:rPr>
        <w:t>Cena jednostkowa lub kwota ryczałtowa pozycji kosztorysowej</w:t>
      </w:r>
      <w:r>
        <w:rPr>
          <w:rStyle w:val="WW-DefaultParagraphFont"/>
          <w:rFonts w:eastAsia="Times New Roman" w:cs="Arial"/>
          <w:lang w:val="pl-PL"/>
        </w:rPr>
        <w:t xml:space="preserve"> będzie uwzględniać wszystkie czynności, wymagania i badania składające się na jej wykonanie, określone dla tej roboty w STWIORB i w dokumentacji projektowej.</w:t>
      </w:r>
    </w:p>
    <w:p w:rsidR="00B77F00" w:rsidRDefault="00865FA3">
      <w:pPr>
        <w:pStyle w:val="Standard"/>
        <w:jc w:val="both"/>
      </w:pPr>
      <w:r>
        <w:rPr>
          <w:rStyle w:val="WW-DefaultParagraphFont"/>
          <w:rFonts w:eastAsia="Times New Roman" w:cs="Arial"/>
          <w:lang w:val="pl-PL"/>
        </w:rPr>
        <w:t>Ceny jednostkowe lub kwoty ryczałtowe robót będą obejmować:</w:t>
      </w:r>
    </w:p>
    <w:p w:rsidR="00B77F00" w:rsidRDefault="00865FA3">
      <w:pPr>
        <w:pStyle w:val="Standard"/>
        <w:numPr>
          <w:ilvl w:val="0"/>
          <w:numId w:val="95"/>
        </w:numPr>
        <w:jc w:val="both"/>
      </w:pPr>
      <w:r>
        <w:rPr>
          <w:rStyle w:val="WW-DefaultParagraphFont"/>
          <w:rFonts w:eastAsia="Times New Roman" w:cs="Arial"/>
          <w:lang w:val="pl-PL"/>
        </w:rPr>
        <w:t>robociznę bezpośrednią wraz z towarzy</w:t>
      </w:r>
      <w:r>
        <w:rPr>
          <w:rStyle w:val="WW-DefaultParagraphFont"/>
          <w:rFonts w:eastAsia="Times New Roman" w:cs="Arial"/>
          <w:lang w:val="pl-PL"/>
        </w:rPr>
        <w:t>szącymi kosztami,</w:t>
      </w:r>
    </w:p>
    <w:p w:rsidR="00B77F00" w:rsidRDefault="00865FA3">
      <w:pPr>
        <w:pStyle w:val="Standard"/>
        <w:numPr>
          <w:ilvl w:val="0"/>
          <w:numId w:val="22"/>
        </w:numPr>
        <w:jc w:val="both"/>
      </w:pPr>
      <w:r>
        <w:rPr>
          <w:rStyle w:val="WW-DefaultParagraphFont"/>
          <w:rFonts w:eastAsia="Times New Roman" w:cs="Arial"/>
          <w:lang w:val="pl-PL"/>
        </w:rPr>
        <w:t>wartość zużytych materiałów wraz z kosztami zakupu, magazynowania, ewentualnych ubytków i transportu na teren budowy,</w:t>
      </w:r>
    </w:p>
    <w:p w:rsidR="00B77F00" w:rsidRDefault="00865FA3">
      <w:pPr>
        <w:pStyle w:val="Standard"/>
        <w:numPr>
          <w:ilvl w:val="0"/>
          <w:numId w:val="22"/>
        </w:numPr>
        <w:jc w:val="both"/>
      </w:pPr>
      <w:r>
        <w:rPr>
          <w:rStyle w:val="WW-DefaultParagraphFont"/>
          <w:rFonts w:eastAsia="Times New Roman" w:cs="Arial"/>
          <w:lang w:val="pl-PL"/>
        </w:rPr>
        <w:t>koszty składowania odpadów i urobku,</w:t>
      </w:r>
    </w:p>
    <w:p w:rsidR="00B77F00" w:rsidRDefault="00865FA3">
      <w:pPr>
        <w:pStyle w:val="Standard"/>
        <w:numPr>
          <w:ilvl w:val="0"/>
          <w:numId w:val="22"/>
        </w:numPr>
        <w:jc w:val="both"/>
      </w:pPr>
      <w:r>
        <w:rPr>
          <w:rStyle w:val="WW-DefaultParagraphFont"/>
          <w:rFonts w:eastAsia="Times New Roman" w:cs="Arial"/>
          <w:lang w:val="pl-PL"/>
        </w:rPr>
        <w:t>wartość pracy sprzętu wraz z towarzyszącymi kosztami,</w:t>
      </w:r>
    </w:p>
    <w:p w:rsidR="00B77F00" w:rsidRDefault="00865FA3">
      <w:pPr>
        <w:pStyle w:val="Standard"/>
        <w:numPr>
          <w:ilvl w:val="0"/>
          <w:numId w:val="22"/>
        </w:numPr>
        <w:jc w:val="both"/>
      </w:pPr>
      <w:r>
        <w:rPr>
          <w:rStyle w:val="WW-DefaultParagraphFont"/>
          <w:rFonts w:eastAsia="Times New Roman" w:cs="Arial"/>
          <w:lang w:val="pl-PL"/>
        </w:rPr>
        <w:t>koszty pośrednie, zysk kalkul</w:t>
      </w:r>
      <w:r>
        <w:rPr>
          <w:rStyle w:val="WW-DefaultParagraphFont"/>
          <w:rFonts w:eastAsia="Times New Roman" w:cs="Arial"/>
          <w:lang w:val="pl-PL"/>
        </w:rPr>
        <w:t>acyjny i ryzyko,</w:t>
      </w:r>
    </w:p>
    <w:p w:rsidR="00B77F00" w:rsidRDefault="00865FA3">
      <w:pPr>
        <w:pStyle w:val="Standard"/>
        <w:numPr>
          <w:ilvl w:val="0"/>
          <w:numId w:val="22"/>
        </w:numPr>
        <w:jc w:val="both"/>
      </w:pPr>
      <w:r>
        <w:rPr>
          <w:rStyle w:val="WW-DefaultParagraphFont"/>
          <w:rFonts w:eastAsia="Times New Roman" w:cs="Arial"/>
          <w:lang w:val="pl-PL"/>
        </w:rPr>
        <w:t>podatki obliczone zgodnie z obowiązującymi przepisami.</w:t>
      </w:r>
    </w:p>
    <w:p w:rsidR="00B77F00" w:rsidRDefault="00865FA3">
      <w:pPr>
        <w:pStyle w:val="Standard"/>
        <w:jc w:val="both"/>
      </w:pPr>
      <w:r>
        <w:rPr>
          <w:rStyle w:val="WW-DefaultParagraphFont"/>
          <w:rFonts w:eastAsia="Times New Roman" w:cs="Arial"/>
          <w:lang w:val="pl-PL"/>
        </w:rPr>
        <w:t>Do cen jednostkowych nie należy wliczać podatku VAT.</w:t>
      </w:r>
    </w:p>
    <w:p w:rsidR="00B77F00" w:rsidRDefault="00865FA3">
      <w:pPr>
        <w:pStyle w:val="Standard"/>
        <w:jc w:val="both"/>
      </w:pPr>
      <w:r>
        <w:rPr>
          <w:rStyle w:val="CharacterStyle1"/>
          <w:rFonts w:eastAsia="Times New Roman" w:cs="Arial"/>
          <w:b/>
          <w:bCs/>
          <w:lang w:val="pl-PL"/>
        </w:rPr>
        <w:t>9.2. Warunki umowy i wymagania ogólne D-M-00.00.00</w:t>
      </w:r>
    </w:p>
    <w:p w:rsidR="00B77F00" w:rsidRDefault="00865FA3">
      <w:pPr>
        <w:pStyle w:val="Standard"/>
        <w:jc w:val="both"/>
      </w:pPr>
      <w:r>
        <w:rPr>
          <w:rStyle w:val="WW-DefaultParagraphFont"/>
          <w:rFonts w:eastAsia="Times New Roman" w:cs="Arial"/>
          <w:lang w:val="pl-PL"/>
        </w:rPr>
        <w:t xml:space="preserve">Koszt dostosowania się do wymagań warunków umowy i wymagań ogólnych zawartych w </w:t>
      </w:r>
      <w:r>
        <w:rPr>
          <w:rStyle w:val="WW-DefaultParagraphFont"/>
          <w:rFonts w:eastAsia="Times New Roman" w:cs="Arial"/>
          <w:lang w:val="pl-PL"/>
        </w:rPr>
        <w:t>D-M- 00.00.00 obejmuje wszystkie warunki określone w ww. dokumentach, a nie wyszczególnione w kosztorysie.</w:t>
      </w:r>
    </w:p>
    <w:p w:rsidR="00B77F00" w:rsidRDefault="00865FA3">
      <w:pPr>
        <w:pStyle w:val="Standard"/>
        <w:jc w:val="both"/>
      </w:pPr>
      <w:r>
        <w:rPr>
          <w:rStyle w:val="CharacterStyle1"/>
          <w:rFonts w:eastAsia="Times New Roman" w:cs="Arial"/>
          <w:b/>
          <w:bCs/>
          <w:lang w:val="pl-PL"/>
        </w:rPr>
        <w:t>9.3. Objazdy, przejazdy i organizacja ruchu</w:t>
      </w:r>
    </w:p>
    <w:p w:rsidR="00B77F00" w:rsidRDefault="00865FA3">
      <w:pPr>
        <w:pStyle w:val="Standard"/>
        <w:jc w:val="both"/>
      </w:pPr>
      <w:r>
        <w:rPr>
          <w:rStyle w:val="WW-DefaultParagraphFont"/>
          <w:rFonts w:eastAsia="Times New Roman" w:cs="Arial"/>
          <w:lang w:val="pl-PL"/>
        </w:rPr>
        <w:t>Koszt wybudowania objazdów/przejazdów i organizacji ruchu obejmuje:</w:t>
      </w:r>
    </w:p>
    <w:p w:rsidR="00B77F00" w:rsidRDefault="00865FA3">
      <w:pPr>
        <w:pStyle w:val="Standard"/>
        <w:numPr>
          <w:ilvl w:val="0"/>
          <w:numId w:val="96"/>
        </w:numPr>
        <w:tabs>
          <w:tab w:val="left" w:pos="288"/>
        </w:tabs>
        <w:jc w:val="both"/>
      </w:pPr>
      <w:r>
        <w:rPr>
          <w:rStyle w:val="WW-DefaultParagraphFont"/>
          <w:rFonts w:eastAsia="Times New Roman" w:cs="Arial"/>
          <w:lang w:val="pl-PL"/>
        </w:rPr>
        <w:t>opracowanie oraz uzgodnienie z Inżyni</w:t>
      </w:r>
      <w:r>
        <w:rPr>
          <w:rStyle w:val="WW-DefaultParagraphFont"/>
          <w:rFonts w:eastAsia="Times New Roman" w:cs="Arial"/>
          <w:lang w:val="pl-PL"/>
        </w:rPr>
        <w:t>erem/Kierownikiem projektu i odpowiednimi instytucjami projektu organizacji ruchu na czas trwania budowy, wraz z dostarczeniem kopii projektu Inżynierowi/Kierownikowi projektu i wprowadzaniem dalszych zmian i uzgodnień wynikających z postępu robót,</w:t>
      </w:r>
    </w:p>
    <w:p w:rsidR="00B77F00" w:rsidRDefault="00865FA3">
      <w:pPr>
        <w:pStyle w:val="Standard"/>
        <w:numPr>
          <w:ilvl w:val="0"/>
          <w:numId w:val="25"/>
        </w:numPr>
        <w:tabs>
          <w:tab w:val="left" w:pos="288"/>
        </w:tabs>
        <w:jc w:val="both"/>
      </w:pPr>
      <w:r>
        <w:rPr>
          <w:rStyle w:val="WW-DefaultParagraphFont"/>
          <w:rFonts w:eastAsia="Times New Roman" w:cs="Arial"/>
          <w:lang w:val="pl-PL"/>
        </w:rPr>
        <w:t>ustawie</w:t>
      </w:r>
      <w:r>
        <w:rPr>
          <w:rStyle w:val="WW-DefaultParagraphFont"/>
          <w:rFonts w:eastAsia="Times New Roman" w:cs="Arial"/>
          <w:lang w:val="pl-PL"/>
        </w:rPr>
        <w:t>nie tymczasowego oznakowania i oświetlenia zgodnie z wymaganiami bezpieczeństwa ruchu,</w:t>
      </w:r>
    </w:p>
    <w:p w:rsidR="00B77F00" w:rsidRDefault="00865FA3">
      <w:pPr>
        <w:pStyle w:val="Standard"/>
        <w:numPr>
          <w:ilvl w:val="0"/>
          <w:numId w:val="25"/>
        </w:numPr>
        <w:tabs>
          <w:tab w:val="left" w:pos="288"/>
        </w:tabs>
        <w:jc w:val="both"/>
      </w:pPr>
      <w:r>
        <w:rPr>
          <w:rStyle w:val="WW-DefaultParagraphFont"/>
          <w:rFonts w:eastAsia="Times New Roman" w:cs="Arial"/>
          <w:lang w:val="pl-PL"/>
        </w:rPr>
        <w:t>opłaty/dzierżawy terenu,</w:t>
      </w:r>
    </w:p>
    <w:p w:rsidR="00B77F00" w:rsidRDefault="00865FA3">
      <w:pPr>
        <w:pStyle w:val="Standard"/>
        <w:numPr>
          <w:ilvl w:val="0"/>
          <w:numId w:val="25"/>
        </w:numPr>
        <w:tabs>
          <w:tab w:val="left" w:pos="288"/>
        </w:tabs>
        <w:jc w:val="both"/>
      </w:pPr>
      <w:r>
        <w:rPr>
          <w:rStyle w:val="WW-DefaultParagraphFont"/>
          <w:rFonts w:eastAsia="Times New Roman" w:cs="Arial"/>
          <w:lang w:val="pl-PL"/>
        </w:rPr>
        <w:t>przygotowanie terenu,</w:t>
      </w:r>
    </w:p>
    <w:p w:rsidR="00B77F00" w:rsidRDefault="00865FA3">
      <w:pPr>
        <w:pStyle w:val="Standard"/>
        <w:numPr>
          <w:ilvl w:val="0"/>
          <w:numId w:val="25"/>
        </w:numPr>
        <w:tabs>
          <w:tab w:val="left" w:pos="288"/>
        </w:tabs>
        <w:jc w:val="both"/>
      </w:pPr>
      <w:r>
        <w:rPr>
          <w:rStyle w:val="WW-DefaultParagraphFont"/>
          <w:rFonts w:eastAsia="Times New Roman" w:cs="Arial"/>
          <w:lang w:val="pl-PL"/>
        </w:rPr>
        <w:t>konstrukcję tymczasowej nawierzchni, ramp, chodników, krawężników, barier, oznakowań i drenażu,</w:t>
      </w:r>
    </w:p>
    <w:p w:rsidR="00B77F00" w:rsidRDefault="00865FA3">
      <w:pPr>
        <w:pStyle w:val="Standard"/>
        <w:numPr>
          <w:ilvl w:val="0"/>
          <w:numId w:val="25"/>
        </w:numPr>
        <w:tabs>
          <w:tab w:val="left" w:pos="288"/>
        </w:tabs>
        <w:jc w:val="both"/>
      </w:pPr>
      <w:r>
        <w:rPr>
          <w:rStyle w:val="WW-DefaultParagraphFont"/>
          <w:rFonts w:eastAsia="Times New Roman" w:cs="Arial"/>
          <w:lang w:val="pl-PL"/>
        </w:rPr>
        <w:t xml:space="preserve">tymczasową przebudowę </w:t>
      </w:r>
      <w:r>
        <w:rPr>
          <w:rStyle w:val="WW-DefaultParagraphFont"/>
          <w:rFonts w:eastAsia="Times New Roman" w:cs="Arial"/>
          <w:lang w:val="pl-PL"/>
        </w:rPr>
        <w:t>urządzeń obcych.</w:t>
      </w:r>
    </w:p>
    <w:p w:rsidR="00B77F00" w:rsidRDefault="00865FA3">
      <w:pPr>
        <w:pStyle w:val="Standard"/>
        <w:jc w:val="both"/>
      </w:pPr>
      <w:r>
        <w:rPr>
          <w:rStyle w:val="WW-DefaultParagraphFont"/>
          <w:rFonts w:eastAsia="Times New Roman" w:cs="Arial"/>
          <w:lang w:val="pl-PL"/>
        </w:rPr>
        <w:t>Koszt utrzymania objazdów/przejazdów i organizacji ruchu obejmuje:</w:t>
      </w:r>
    </w:p>
    <w:p w:rsidR="00B77F00" w:rsidRDefault="00865FA3">
      <w:pPr>
        <w:pStyle w:val="Standard"/>
        <w:numPr>
          <w:ilvl w:val="0"/>
          <w:numId w:val="97"/>
        </w:numPr>
        <w:tabs>
          <w:tab w:val="left" w:pos="0"/>
        </w:tabs>
        <w:jc w:val="both"/>
      </w:pPr>
      <w:r>
        <w:rPr>
          <w:rStyle w:val="WW-DefaultParagraphFont"/>
          <w:rFonts w:eastAsia="Times New Roman" w:cs="Arial"/>
          <w:lang w:val="pl-PL"/>
        </w:rPr>
        <w:t>oczyszczanie, przestawienie, przykrycie i usunięcie tymczasowych oznakowań pionowych, poziomych, barier i świateł,</w:t>
      </w:r>
    </w:p>
    <w:p w:rsidR="00B77F00" w:rsidRDefault="00865FA3">
      <w:pPr>
        <w:pStyle w:val="Standard"/>
        <w:numPr>
          <w:ilvl w:val="0"/>
          <w:numId w:val="26"/>
        </w:numPr>
        <w:tabs>
          <w:tab w:val="left" w:pos="0"/>
        </w:tabs>
        <w:jc w:val="both"/>
      </w:pPr>
      <w:r>
        <w:rPr>
          <w:rStyle w:val="WW-DefaultParagraphFont"/>
          <w:rFonts w:eastAsia="Times New Roman" w:cs="Arial"/>
          <w:lang w:val="pl-PL"/>
        </w:rPr>
        <w:t>utrzymanie płynności ruchu publicznego.</w:t>
      </w:r>
    </w:p>
    <w:p w:rsidR="00B77F00" w:rsidRDefault="00865FA3">
      <w:pPr>
        <w:pStyle w:val="Standard"/>
        <w:jc w:val="both"/>
      </w:pPr>
      <w:r>
        <w:rPr>
          <w:rStyle w:val="WW-DefaultParagraphFont"/>
          <w:rFonts w:eastAsia="Times New Roman" w:cs="Arial"/>
          <w:lang w:val="pl-PL"/>
        </w:rPr>
        <w:t xml:space="preserve">Koszt likwidacji </w:t>
      </w:r>
      <w:r>
        <w:rPr>
          <w:rStyle w:val="WW-DefaultParagraphFont"/>
          <w:rFonts w:eastAsia="Times New Roman" w:cs="Arial"/>
          <w:lang w:val="pl-PL"/>
        </w:rPr>
        <w:t>objazdów/przejazdów i organizacji ruchu obejmuje:</w:t>
      </w:r>
    </w:p>
    <w:p w:rsidR="00B77F00" w:rsidRDefault="00865FA3">
      <w:pPr>
        <w:pStyle w:val="Standard"/>
        <w:numPr>
          <w:ilvl w:val="0"/>
          <w:numId w:val="98"/>
        </w:numPr>
        <w:tabs>
          <w:tab w:val="left" w:pos="0"/>
        </w:tabs>
        <w:jc w:val="both"/>
      </w:pPr>
      <w:r>
        <w:rPr>
          <w:rStyle w:val="WW-DefaultParagraphFont"/>
          <w:rFonts w:eastAsia="Times New Roman" w:cs="Arial"/>
          <w:lang w:val="pl-PL"/>
        </w:rPr>
        <w:t>usunięcie wbudowanych materiałów i oznakowania,</w:t>
      </w:r>
    </w:p>
    <w:p w:rsidR="00B77F00" w:rsidRDefault="00865FA3">
      <w:pPr>
        <w:pStyle w:val="Standard"/>
        <w:numPr>
          <w:ilvl w:val="0"/>
          <w:numId w:val="27"/>
        </w:numPr>
        <w:tabs>
          <w:tab w:val="left" w:pos="0"/>
        </w:tabs>
        <w:jc w:val="both"/>
      </w:pPr>
      <w:r>
        <w:rPr>
          <w:rStyle w:val="WW-DefaultParagraphFont"/>
          <w:rFonts w:eastAsia="Times New Roman" w:cs="Arial"/>
          <w:lang w:val="pl-PL"/>
        </w:rPr>
        <w:t>doprowadzenie terenu do stanu pierwotnego.</w:t>
      </w:r>
    </w:p>
    <w:p w:rsidR="00B77F00" w:rsidRDefault="00B77F00">
      <w:pPr>
        <w:pStyle w:val="Style2"/>
        <w:tabs>
          <w:tab w:val="left" w:pos="576"/>
        </w:tabs>
        <w:spacing w:line="276" w:lineRule="auto"/>
        <w:ind w:left="288"/>
        <w:jc w:val="both"/>
      </w:pPr>
    </w:p>
    <w:p w:rsidR="00B77F00" w:rsidRDefault="00865FA3">
      <w:pPr>
        <w:pStyle w:val="Standard"/>
        <w:jc w:val="both"/>
      </w:pPr>
      <w:r>
        <w:rPr>
          <w:rStyle w:val="CharacterStyle1"/>
          <w:rFonts w:cs="Arial"/>
          <w:b/>
          <w:bCs/>
          <w:lang w:val="pl-PL"/>
        </w:rPr>
        <w:t>10. PRZEPISY ZWI</w:t>
      </w:r>
      <w:r>
        <w:rPr>
          <w:rStyle w:val="CharacterStyle1"/>
          <w:rFonts w:eastAsia="Times New Roman" w:cs="Arial"/>
          <w:b/>
          <w:bCs/>
          <w:lang w:val="pl-PL"/>
        </w:rPr>
        <w:t>ĄZANE</w:t>
      </w:r>
    </w:p>
    <w:p w:rsidR="00B77F00" w:rsidRDefault="00865FA3">
      <w:pPr>
        <w:pStyle w:val="Standard"/>
        <w:numPr>
          <w:ilvl w:val="0"/>
          <w:numId w:val="99"/>
        </w:numPr>
        <w:tabs>
          <w:tab w:val="left" w:pos="288"/>
        </w:tabs>
        <w:jc w:val="both"/>
      </w:pPr>
      <w:r>
        <w:rPr>
          <w:rStyle w:val="WW-DefaultParagraphFont"/>
          <w:rFonts w:eastAsia="Times New Roman" w:cs="Arial"/>
          <w:lang w:val="pl-PL"/>
        </w:rPr>
        <w:t xml:space="preserve">Ustawa z dnia 7 lipca 1994 r. - Prawo budowlane (Dz. U. 1994 Nr 89, poz. 414 z późniejszymi </w:t>
      </w:r>
      <w:r>
        <w:rPr>
          <w:rStyle w:val="WW-DefaultParagraphFont"/>
          <w:rFonts w:eastAsia="Times New Roman" w:cs="Arial"/>
          <w:lang w:val="pl-PL"/>
        </w:rPr>
        <w:t>zmianami).</w:t>
      </w:r>
    </w:p>
    <w:p w:rsidR="00B77F00" w:rsidRDefault="00865FA3">
      <w:pPr>
        <w:pStyle w:val="Standard"/>
        <w:numPr>
          <w:ilvl w:val="0"/>
          <w:numId w:val="15"/>
        </w:numPr>
        <w:tabs>
          <w:tab w:val="left" w:pos="288"/>
        </w:tabs>
        <w:jc w:val="both"/>
      </w:pPr>
      <w:r>
        <w:rPr>
          <w:rStyle w:val="WW-DefaultParagraphFont"/>
          <w:rFonts w:eastAsia="Times New Roman" w:cs="Arial"/>
          <w:lang w:val="pl-PL"/>
        </w:rPr>
        <w:t>Rozporządzenie Ministra Infrastruktury z dnia 26 czerwca 2002 r. w sprawie dziennika budowy, montażu i rozbiórki, tablicy informacyjnej oraz ogłoszenia zawierającego dane dotyczące bezpieczeństwa pracy i</w:t>
      </w:r>
      <w:r>
        <w:rPr>
          <w:rStyle w:val="WW-DefaultParagraphFont"/>
          <w:rFonts w:eastAsia="Times New Roman" w:cs="Arial"/>
          <w:lang w:val="pl-PL"/>
        </w:rPr>
        <w:t> ochrony zdrowia (Dz. U. 2002 Nr 108, poz.</w:t>
      </w:r>
      <w:r>
        <w:rPr>
          <w:rStyle w:val="WW-DefaultParagraphFont"/>
          <w:rFonts w:eastAsia="Times New Roman" w:cs="Arial"/>
          <w:lang w:val="pl-PL"/>
        </w:rPr>
        <w:t xml:space="preserve"> 953).</w:t>
      </w:r>
    </w:p>
    <w:p w:rsidR="00B77F00" w:rsidRDefault="00865FA3">
      <w:pPr>
        <w:pStyle w:val="Standard"/>
        <w:numPr>
          <w:ilvl w:val="0"/>
          <w:numId w:val="15"/>
        </w:numPr>
        <w:tabs>
          <w:tab w:val="left" w:pos="288"/>
        </w:tabs>
        <w:jc w:val="both"/>
      </w:pPr>
      <w:r>
        <w:rPr>
          <w:rStyle w:val="WW-DefaultParagraphFont"/>
          <w:rFonts w:eastAsia="Times New Roman" w:cs="Arial"/>
          <w:lang w:val="pl-PL"/>
        </w:rPr>
        <w:t>Ustawa z dnia 21 marca 1985 r. o drogach publicznych (Dz. U. Nr 14, poz. 60 z późniejszymi zmianami).</w:t>
      </w:r>
    </w:p>
    <w:p w:rsidR="00B77F00" w:rsidRDefault="00865FA3">
      <w:pPr>
        <w:pStyle w:val="Standard"/>
        <w:numPr>
          <w:ilvl w:val="0"/>
          <w:numId w:val="15"/>
        </w:numPr>
        <w:tabs>
          <w:tab w:val="left" w:pos="0"/>
        </w:tabs>
        <w:jc w:val="both"/>
      </w:pPr>
      <w:r>
        <w:rPr>
          <w:rStyle w:val="WW-DefaultParagraphFont"/>
          <w:rFonts w:eastAsia="Times New Roman" w:cs="Arial"/>
          <w:lang w:val="pl-PL"/>
        </w:rPr>
        <w:t>Ustawa z dnia 16 kwietnia 2004 r. o wyrobach budowlanych (Dz. U. 2004 nr 92 poz. 881 z późniejszymi zmianami).</w:t>
      </w:r>
    </w:p>
    <w:p w:rsidR="00B77F00" w:rsidRDefault="00865FA3">
      <w:pPr>
        <w:pStyle w:val="Standard"/>
        <w:numPr>
          <w:ilvl w:val="0"/>
          <w:numId w:val="15"/>
        </w:numPr>
        <w:tabs>
          <w:tab w:val="left" w:pos="0"/>
        </w:tabs>
        <w:jc w:val="both"/>
      </w:pPr>
      <w:r>
        <w:rPr>
          <w:rStyle w:val="WW-DefaultParagraphFont"/>
          <w:rFonts w:eastAsia="Times New Roman" w:cs="Arial"/>
          <w:lang w:val="pl-PL"/>
        </w:rPr>
        <w:t xml:space="preserve">Ustawa z dnia 30 sierpnia 2002 r. o </w:t>
      </w:r>
      <w:r>
        <w:rPr>
          <w:rStyle w:val="WW-DefaultParagraphFont"/>
          <w:rFonts w:eastAsia="Times New Roman" w:cs="Arial"/>
          <w:lang w:val="pl-PL"/>
        </w:rPr>
        <w:t>systemie oceny zgodności (Dz. U. 2002 nr 166 poz. 1360 z późniejszymi zmianami).</w:t>
      </w:r>
    </w:p>
    <w:p w:rsidR="00B77F00" w:rsidRDefault="00865FA3">
      <w:pPr>
        <w:pStyle w:val="Standard"/>
        <w:numPr>
          <w:ilvl w:val="0"/>
          <w:numId w:val="15"/>
        </w:numPr>
        <w:tabs>
          <w:tab w:val="left" w:pos="0"/>
        </w:tabs>
        <w:jc w:val="both"/>
      </w:pPr>
      <w:r>
        <w:rPr>
          <w:rStyle w:val="WW-DefaultParagraphFont"/>
          <w:rFonts w:eastAsia="Times New Roman" w:cs="Arial"/>
          <w:lang w:val="pl-PL"/>
        </w:rPr>
        <w:t>Ustawa z dnia 17 maja 1989 r. Prawo geodezyjne i kartograficzne (Dz. U. 1989 nr 30 poz. 163 z późniejszymi zmianami).</w:t>
      </w:r>
    </w:p>
    <w:p w:rsidR="00B77F00" w:rsidRDefault="00865FA3">
      <w:pPr>
        <w:pStyle w:val="Standard"/>
        <w:numPr>
          <w:ilvl w:val="0"/>
          <w:numId w:val="15"/>
        </w:numPr>
        <w:tabs>
          <w:tab w:val="left" w:pos="288"/>
        </w:tabs>
        <w:jc w:val="both"/>
      </w:pPr>
      <w:r>
        <w:rPr>
          <w:rStyle w:val="WW-DefaultParagraphFont"/>
          <w:rFonts w:eastAsia="Times New Roman" w:cs="Arial"/>
          <w:lang w:val="pl-PL"/>
        </w:rPr>
        <w:t xml:space="preserve">Rozporządzenie Ministra Transportu i Gospodarki Morskiej </w:t>
      </w:r>
      <w:r>
        <w:rPr>
          <w:rStyle w:val="WW-DefaultParagraphFont"/>
          <w:rFonts w:eastAsia="Times New Roman" w:cs="Arial"/>
          <w:lang w:val="pl-PL"/>
        </w:rPr>
        <w:t xml:space="preserve">z dnia 30 maja 2000 r. w sprawie warunków technicznych, jakim powinny odpowiadać drogowe obiekty inżynierskie i ich usytuowanie.(Dz. U. 2000 nr </w:t>
      </w:r>
      <w:r>
        <w:rPr>
          <w:rStyle w:val="WW-DefaultParagraphFont"/>
          <w:rFonts w:eastAsia="Times New Roman" w:cs="Arial"/>
          <w:lang w:val="pl-PL"/>
        </w:rPr>
        <w:lastRenderedPageBreak/>
        <w:t>63 poz. 735).</w:t>
      </w:r>
    </w:p>
    <w:p w:rsidR="00B77F00" w:rsidRDefault="00865FA3">
      <w:pPr>
        <w:pStyle w:val="Standard"/>
        <w:numPr>
          <w:ilvl w:val="0"/>
          <w:numId w:val="15"/>
        </w:numPr>
        <w:tabs>
          <w:tab w:val="left" w:pos="288"/>
        </w:tabs>
        <w:jc w:val="both"/>
      </w:pPr>
      <w:r>
        <w:rPr>
          <w:rStyle w:val="WW-DefaultParagraphFont"/>
          <w:rFonts w:eastAsia="Times New Roman" w:cs="Arial"/>
          <w:lang w:val="pl-PL"/>
        </w:rPr>
        <w:t>Rozporządzenie Ministra Transportu i Gospodarki Morskiej z dnia 2 marca 1999 r. w sprawie warunków</w:t>
      </w:r>
      <w:r>
        <w:rPr>
          <w:rStyle w:val="WW-DefaultParagraphFont"/>
          <w:rFonts w:eastAsia="Times New Roman" w:cs="Arial"/>
          <w:lang w:val="pl-PL"/>
        </w:rPr>
        <w:t xml:space="preserve"> technicznych, jakim powinny odpowiadać drogi publiczne i ich usytuowanie. (Dz. U. 1999 nr 43 poz. 430).</w:t>
      </w:r>
    </w:p>
    <w:p w:rsidR="00B77F00" w:rsidRDefault="00865FA3">
      <w:pPr>
        <w:pStyle w:val="Standard"/>
        <w:numPr>
          <w:ilvl w:val="0"/>
          <w:numId w:val="15"/>
        </w:numPr>
        <w:tabs>
          <w:tab w:val="left" w:pos="288"/>
        </w:tabs>
        <w:jc w:val="both"/>
      </w:pPr>
      <w:r>
        <w:rPr>
          <w:rStyle w:val="WW-DefaultParagraphFont"/>
          <w:rFonts w:eastAsia="Times New Roman" w:cs="Arial"/>
          <w:lang w:val="pl-PL"/>
        </w:rPr>
        <w:t>Rozporządzenie Ministra Infrastruktury z dnia 6 lutego 2003 r. w sprawie bezpieczeństwa i higieny pracy podczas wykonywania robót budowlanych (Dz. U. 2</w:t>
      </w:r>
      <w:r>
        <w:rPr>
          <w:rStyle w:val="WW-DefaultParagraphFont"/>
          <w:rFonts w:eastAsia="Times New Roman" w:cs="Arial"/>
          <w:lang w:val="pl-PL"/>
        </w:rPr>
        <w:t>003 nr 47 poz. 401).</w:t>
      </w:r>
    </w:p>
    <w:p w:rsidR="00B77F00" w:rsidRDefault="00865FA3">
      <w:pPr>
        <w:pStyle w:val="Standard"/>
        <w:numPr>
          <w:ilvl w:val="0"/>
          <w:numId w:val="15"/>
        </w:numPr>
        <w:tabs>
          <w:tab w:val="left" w:pos="288"/>
        </w:tabs>
        <w:jc w:val="both"/>
      </w:pPr>
      <w:r>
        <w:rPr>
          <w:rStyle w:val="WW-DefaultParagraphFont"/>
          <w:rFonts w:eastAsia="Times New Roman" w:cs="Arial"/>
          <w:lang w:val="pl-PL"/>
        </w:rPr>
        <w:t xml:space="preserve">Rozporządzenie Ministra Infrastruktury z dnia 23 czerwca 2003 r. w sprawie informacji dotyczącej bezpieczeństwa i ochrony zdrowia oraz planu bezpieczeństwa i ochrony zdrowia (Dz. U. 2003 nr 120 poz. </w:t>
      </w:r>
      <w:r>
        <w:rPr>
          <w:rStyle w:val="WW-DefaultParagraphFont"/>
          <w:rFonts w:eastAsia="Times New Roman" w:cs="Arial"/>
          <w:lang w:val="pl-PL"/>
        </w:rPr>
        <w:t>1126).</w:t>
      </w:r>
    </w:p>
    <w:p w:rsidR="00B77F00" w:rsidRDefault="00865FA3">
      <w:pPr>
        <w:pStyle w:val="Standard"/>
        <w:numPr>
          <w:ilvl w:val="0"/>
          <w:numId w:val="15"/>
        </w:numPr>
        <w:tabs>
          <w:tab w:val="left" w:pos="288"/>
        </w:tabs>
        <w:jc w:val="both"/>
      </w:pPr>
      <w:r>
        <w:rPr>
          <w:rStyle w:val="WW-DefaultParagraphFont"/>
          <w:rFonts w:eastAsia="Times New Roman" w:cs="Arial"/>
          <w:lang w:val="pl-PL"/>
        </w:rPr>
        <w:t>Rozporządzenie Ministra Gospo</w:t>
      </w:r>
      <w:r>
        <w:rPr>
          <w:rStyle w:val="WW-DefaultParagraphFont"/>
          <w:rFonts w:eastAsia="Times New Roman" w:cs="Arial"/>
          <w:lang w:val="pl-PL"/>
        </w:rPr>
        <w:t>darki z dnia 20 września 2001 r. w sprawie bezpieczeństwa i higieny pracy podczas eksploatacji maszyn i innych urządzeń technicznych do robót ziemnych, budowlanych i drogowych. (Dz. U. 2001 nr 118 poz. 1263).</w:t>
      </w:r>
    </w:p>
    <w:p w:rsidR="00B77F00" w:rsidRDefault="00B77F00">
      <w:pPr>
        <w:pStyle w:val="Standard"/>
        <w:jc w:val="both"/>
      </w:pPr>
    </w:p>
    <w:p w:rsidR="00B77F00" w:rsidRDefault="00B77F00">
      <w:pPr>
        <w:pStyle w:val="Standard"/>
        <w:jc w:val="both"/>
        <w:rPr>
          <w:rFonts w:cs="Arial"/>
          <w:szCs w:val="20"/>
        </w:rPr>
      </w:pPr>
    </w:p>
    <w:p w:rsidR="00B77F00" w:rsidRDefault="00B77F00">
      <w:pPr>
        <w:pStyle w:val="Standard"/>
        <w:jc w:val="both"/>
      </w:pPr>
      <w:bookmarkStart w:id="5" w:name="__RefHeading___Toc74499_992416677"/>
      <w:bookmarkEnd w:id="5"/>
    </w:p>
    <w:p w:rsidR="00B77F00" w:rsidRDefault="00865FA3">
      <w:pPr>
        <w:pStyle w:val="Nagwek1"/>
        <w:pageBreakBefore/>
        <w:jc w:val="both"/>
      </w:pPr>
      <w:bookmarkStart w:id="6" w:name="__RefHeading___Toc74605_992416677"/>
      <w:r>
        <w:lastRenderedPageBreak/>
        <w:t>M.15.00.00 Nawierzchnie i podbudowy</w:t>
      </w:r>
      <w:bookmarkEnd w:id="6"/>
    </w:p>
    <w:p w:rsidR="00B77F00" w:rsidRDefault="00865FA3">
      <w:pPr>
        <w:pStyle w:val="Nagwek2"/>
        <w:jc w:val="both"/>
      </w:pPr>
      <w:bookmarkStart w:id="7" w:name="__RefHeading___Toc74723_992416677"/>
      <w:r>
        <w:t>M.15.03.00 Nawierzchnie asfaltowe</w:t>
      </w:r>
      <w:bookmarkEnd w:id="7"/>
    </w:p>
    <w:p w:rsidR="00B77F00" w:rsidRDefault="00865FA3">
      <w:pPr>
        <w:pStyle w:val="Nagwek3"/>
        <w:jc w:val="both"/>
      </w:pPr>
      <w:bookmarkStart w:id="8" w:name="__RefHeading___Toc74725_992416677"/>
      <w:r>
        <w:t>M.15.03.01 Warstwa ścieralna z mieszanki mastyksowo-grysowej SMA 8 S</w:t>
      </w:r>
      <w:bookmarkEnd w:id="8"/>
    </w:p>
    <w:p w:rsidR="00B77F00" w:rsidRDefault="00865FA3">
      <w:pPr>
        <w:pStyle w:val="Spec-num1"/>
        <w:rPr>
          <w:b w:val="0"/>
          <w:sz w:val="20"/>
          <w:szCs w:val="20"/>
        </w:rPr>
      </w:pPr>
      <w:r>
        <w:rPr>
          <w:rStyle w:val="WW-DefaultParagraphFont"/>
          <w:rFonts w:eastAsia="Times New Roman" w:cs="Arial"/>
          <w:bCs/>
          <w:lang w:val="pl-PL"/>
        </w:rPr>
        <w:t>1. WSTĘP</w:t>
      </w:r>
    </w:p>
    <w:p w:rsidR="00B77F00" w:rsidRDefault="00865FA3">
      <w:pPr>
        <w:pStyle w:val="Spec-num2"/>
      </w:pPr>
      <w:r>
        <w:rPr>
          <w:rStyle w:val="WW-DefaultParagraphFont"/>
          <w:rFonts w:eastAsia="Times New Roman" w:cs="Arial"/>
          <w:lang w:val="pl-PL"/>
        </w:rPr>
        <w:t>1.1. Przedmiot ST</w:t>
      </w:r>
    </w:p>
    <w:p w:rsidR="00B77F00" w:rsidRDefault="00865FA3">
      <w:pPr>
        <w:pStyle w:val="Tekst-specyfikacji"/>
        <w:jc w:val="both"/>
      </w:pPr>
      <w:r>
        <w:rPr>
          <w:rStyle w:val="WW-DefaultParagraphFont"/>
          <w:rFonts w:eastAsia="Times New Roman" w:cs="Arial"/>
          <w:lang w:val="pl-PL"/>
        </w:rPr>
        <w:tab/>
        <w:t>Przedmiotem niniejszej specyfikacji technicznej (ST) są wymagania dotyczące wykonania i odbioru robót związanych z wykonaniem</w:t>
      </w:r>
      <w:r>
        <w:rPr>
          <w:rStyle w:val="WW-DefaultParagraphFont"/>
          <w:rFonts w:eastAsia="Times New Roman" w:cs="Arial"/>
          <w:lang w:val="pl-PL"/>
        </w:rPr>
        <w:t xml:space="preserve"> warstwy ścieralnej z mieszanki mastyksowo-grysowej (mieszanki SMA) dla zadania:  </w:t>
      </w:r>
      <w:r>
        <w:rPr>
          <w:rStyle w:val="WW-DefaultParagraphFont"/>
          <w:rFonts w:eastAsia="Times New Roman" w:cs="Arial"/>
          <w:color w:val="000000"/>
          <w:spacing w:val="-3"/>
          <w:lang w:val="pl-PL" w:bidi="ar-SA"/>
        </w:rPr>
        <w:t>„Remont mostu na rzece Wiązownica w msc. Wrzos w ciągu drogi powiatowej nr 3501W Wrzeszczów – Wrzos - Domaniów w km 4+206”.</w:t>
      </w:r>
    </w:p>
    <w:p w:rsidR="00B77F00" w:rsidRDefault="00865FA3">
      <w:pPr>
        <w:pStyle w:val="Spec-num2"/>
        <w:jc w:val="both"/>
      </w:pPr>
      <w:r>
        <w:rPr>
          <w:rStyle w:val="WW-DefaultParagraphFont"/>
          <w:rFonts w:eastAsia="Times New Roman" w:cs="Arial"/>
          <w:lang w:val="pl-PL"/>
        </w:rPr>
        <w:t>1.2. Zakres stosowania ST</w:t>
      </w:r>
    </w:p>
    <w:p w:rsidR="00B77F00" w:rsidRDefault="00865FA3">
      <w:pPr>
        <w:pStyle w:val="Tekst-specyfikacji"/>
        <w:jc w:val="both"/>
      </w:pPr>
      <w:r>
        <w:rPr>
          <w:rStyle w:val="WW-DefaultParagraphFont"/>
          <w:rFonts w:eastAsia="Times New Roman" w:cs="Arial"/>
          <w:lang w:val="pl-PL"/>
        </w:rPr>
        <w:tab/>
        <w:t>Specyfikacja Techniczna jest stosowana jako dokument przetargowy i kontraktowy przy zlecaniu i realizacji Robót wymienionych w p. 1.1.</w:t>
      </w:r>
    </w:p>
    <w:p w:rsidR="00B77F00" w:rsidRDefault="00865FA3">
      <w:pPr>
        <w:pStyle w:val="Spec-num2"/>
        <w:jc w:val="both"/>
      </w:pPr>
      <w:r>
        <w:rPr>
          <w:rStyle w:val="WW-DefaultParagraphFont"/>
          <w:rFonts w:eastAsia="Times New Roman" w:cs="Arial"/>
          <w:lang w:val="pl-PL"/>
        </w:rPr>
        <w:t>1.3. Zakres robót objętych ST</w:t>
      </w:r>
    </w:p>
    <w:p w:rsidR="00B77F00" w:rsidRDefault="00865FA3">
      <w:pPr>
        <w:pStyle w:val="Tekst-specyfikacji"/>
        <w:jc w:val="both"/>
      </w:pPr>
      <w:r>
        <w:rPr>
          <w:rStyle w:val="WW-DefaultParagraphFont"/>
          <w:rFonts w:eastAsia="Times New Roman" w:cs="Arial"/>
          <w:lang w:val="pl-PL"/>
        </w:rPr>
        <w:tab/>
        <w:t>Ustalenia zawarte</w:t>
      </w:r>
      <w:r>
        <w:rPr>
          <w:rStyle w:val="WW-DefaultParagraphFont"/>
          <w:rFonts w:eastAsia="Times New Roman" w:cs="Arial"/>
          <w:lang w:val="pl-PL"/>
        </w:rPr>
        <w:t xml:space="preserve"> w niniejszej specyfikacji dotyczą zasad prowadzenia robót związanych z wykonaniem i odbiorem warstwy ścieralnej z mieszanki SMA wg PN-EN 13108-5 [47] i WT-2 Nawierzchnie asfaltowe 2014 i 2016 [65] dostarczonej od producenta. W przypadku produkcji mieszank</w:t>
      </w:r>
      <w:r>
        <w:rPr>
          <w:rStyle w:val="WW-DefaultParagraphFont"/>
          <w:rFonts w:eastAsia="Times New Roman" w:cs="Arial"/>
          <w:lang w:val="pl-PL"/>
        </w:rPr>
        <w:t>i SMA przez Wykonawcę dla potrzeb budowy, Wykonawca zobowiązany jest prowadzić Zakładową kontrolę produkcji (ZKP) zgodnie z WT-2 [65] punkt 8.4.2.</w:t>
      </w:r>
    </w:p>
    <w:p w:rsidR="00B77F00" w:rsidRDefault="00865FA3">
      <w:pPr>
        <w:pStyle w:val="Tekst-specyfikacji"/>
        <w:jc w:val="both"/>
      </w:pPr>
      <w:r>
        <w:rPr>
          <w:rStyle w:val="WW-DefaultParagraphFont"/>
          <w:rFonts w:eastAsia="Times New Roman" w:cs="Arial"/>
          <w:lang w:val="pl-PL"/>
        </w:rPr>
        <w:tab/>
        <w:t>Warstwę ścieralną z mieszanki SMA można wykonywać dla dróg kategorii ruchu od KR1 do KR6 (określenie kategor</w:t>
      </w:r>
      <w:r>
        <w:rPr>
          <w:rStyle w:val="WW-DefaultParagraphFont"/>
          <w:rFonts w:eastAsia="Times New Roman" w:cs="Arial"/>
          <w:lang w:val="pl-PL"/>
        </w:rPr>
        <w:t>ii ruchu podano w punkcie 1.4.7). Stosowane mieszanki SMA o wymiarze D podano w tablicy 1.</w:t>
      </w:r>
    </w:p>
    <w:p w:rsidR="00B77F00" w:rsidRDefault="00B77F00">
      <w:pPr>
        <w:pStyle w:val="Tekst-specyfikacji"/>
      </w:pPr>
    </w:p>
    <w:p w:rsidR="00B77F00" w:rsidRDefault="00865FA3">
      <w:pPr>
        <w:pStyle w:val="Tekst-specyfikacji"/>
      </w:pPr>
      <w:r>
        <w:rPr>
          <w:rStyle w:val="WW-DefaultParagraphFont"/>
          <w:rFonts w:eastAsia="Times New Roman" w:cs="Arial"/>
          <w:lang w:val="pl-PL"/>
        </w:rPr>
        <w:t>Tablica 1. Stosowane mieszanki SMA</w:t>
      </w:r>
    </w:p>
    <w:tbl>
      <w:tblPr>
        <w:tblW w:w="7418" w:type="dxa"/>
        <w:tblLayout w:type="fixed"/>
        <w:tblCellMar>
          <w:left w:w="10" w:type="dxa"/>
          <w:right w:w="10" w:type="dxa"/>
        </w:tblCellMar>
        <w:tblLook w:val="0000" w:firstRow="0" w:lastRow="0" w:firstColumn="0" w:lastColumn="0" w:noHBand="0" w:noVBand="0"/>
      </w:tblPr>
      <w:tblGrid>
        <w:gridCol w:w="1276"/>
        <w:gridCol w:w="1559"/>
        <w:gridCol w:w="4583"/>
      </w:tblGrid>
      <w:tr w:rsidR="00B77F00">
        <w:tblPrEx>
          <w:tblCellMar>
            <w:top w:w="0" w:type="dxa"/>
            <w:bottom w:w="0" w:type="dxa"/>
          </w:tblCellMar>
        </w:tblPrEx>
        <w:trPr>
          <w:cantSplit/>
        </w:trPr>
        <w:tc>
          <w:tcPr>
            <w:tcW w:w="1276" w:type="dxa"/>
            <w:vMerge w:val="restart"/>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rPr>
                <w:rStyle w:val="WW-DefaultParagraphFont"/>
                <w:rFonts w:eastAsia="Times New Roman" w:cs="Arial"/>
                <w:lang w:val="pl-PL"/>
              </w:rPr>
              <w:t>Kategoria</w:t>
            </w:r>
          </w:p>
          <w:p w:rsidR="00B77F00" w:rsidRDefault="00865FA3">
            <w:pPr>
              <w:pStyle w:val="Tekst-spec-w-tabeli"/>
            </w:pPr>
            <w:r>
              <w:rPr>
                <w:rStyle w:val="WW-DefaultParagraphFont"/>
                <w:rFonts w:eastAsia="Times New Roman" w:cs="Arial"/>
                <w:lang w:val="pl-PL"/>
              </w:rPr>
              <w:t>ruchu</w:t>
            </w:r>
          </w:p>
        </w:tc>
        <w:tc>
          <w:tcPr>
            <w:tcW w:w="6142"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rPr>
                <w:rStyle w:val="WW-DefaultParagraphFont"/>
                <w:rFonts w:eastAsia="Times New Roman" w:cs="Arial"/>
                <w:lang w:val="pl-PL"/>
              </w:rPr>
              <w:t>Mieszanki SMA o wymiarze D1),  mm</w:t>
            </w:r>
          </w:p>
        </w:tc>
      </w:tr>
      <w:tr w:rsidR="00B77F00">
        <w:tblPrEx>
          <w:tblCellMar>
            <w:top w:w="0" w:type="dxa"/>
            <w:bottom w:w="0" w:type="dxa"/>
          </w:tblCellMar>
        </w:tblPrEx>
        <w:trPr>
          <w:cantSplit/>
        </w:trPr>
        <w:tc>
          <w:tcPr>
            <w:tcW w:w="1276" w:type="dxa"/>
            <w:vMerge/>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000000" w:rsidRDefault="00865FA3"/>
        </w:tc>
        <w:tc>
          <w:tcPr>
            <w:tcW w:w="1559"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rPr>
                <w:rStyle w:val="WW-DefaultParagraphFont"/>
                <w:rFonts w:eastAsia="Times New Roman" w:cs="Arial"/>
                <w:lang w:val="pl-PL"/>
              </w:rPr>
              <w:t>podstawowy</w:t>
            </w:r>
          </w:p>
        </w:tc>
        <w:tc>
          <w:tcPr>
            <w:tcW w:w="458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rPr>
                <w:rStyle w:val="WW-DefaultParagraphFont"/>
                <w:rFonts w:eastAsia="Times New Roman" w:cs="Arial"/>
                <w:lang w:val="pl-PL"/>
              </w:rPr>
              <w:t>jeśli wymagane jest zmniejszenie hałasu drogowego 2)</w:t>
            </w:r>
          </w:p>
        </w:tc>
      </w:tr>
      <w:tr w:rsidR="00B77F00">
        <w:tblPrEx>
          <w:tblCellMar>
            <w:top w:w="0" w:type="dxa"/>
            <w:bottom w:w="0" w:type="dxa"/>
          </w:tblCellMar>
        </w:tblPrEx>
        <w:tc>
          <w:tcPr>
            <w:tcW w:w="1276"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rPr>
                <w:rStyle w:val="WW-DefaultParagraphFont"/>
                <w:rFonts w:eastAsia="Times New Roman" w:cs="Arial"/>
                <w:lang w:val="pl-PL"/>
              </w:rPr>
              <w:t>KR 1-4</w:t>
            </w:r>
          </w:p>
          <w:p w:rsidR="00B77F00" w:rsidRDefault="00865FA3">
            <w:pPr>
              <w:pStyle w:val="Tekst-spec-w-tabeli"/>
            </w:pPr>
            <w:r>
              <w:rPr>
                <w:rStyle w:val="WW-DefaultParagraphFont"/>
                <w:rFonts w:eastAsia="Times New Roman" w:cs="Arial"/>
                <w:lang w:val="pl-PL"/>
              </w:rPr>
              <w:t xml:space="preserve">KR </w:t>
            </w:r>
            <w:r>
              <w:rPr>
                <w:rStyle w:val="WW-DefaultParagraphFont"/>
                <w:rFonts w:eastAsia="Times New Roman" w:cs="Arial"/>
                <w:lang w:val="pl-PL"/>
              </w:rPr>
              <w:t>5-7</w:t>
            </w:r>
          </w:p>
        </w:tc>
        <w:tc>
          <w:tcPr>
            <w:tcW w:w="1559"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rPr>
                <w:rStyle w:val="WW-DefaultParagraphFont"/>
                <w:rFonts w:eastAsia="Times New Roman" w:cs="Arial"/>
                <w:lang w:val="pl-PL"/>
              </w:rPr>
              <w:t>SMA 11</w:t>
            </w:r>
          </w:p>
          <w:p w:rsidR="00B77F00" w:rsidRDefault="00865FA3">
            <w:pPr>
              <w:pStyle w:val="Tekst-spec-w-tabeli"/>
            </w:pPr>
            <w:r>
              <w:rPr>
                <w:rStyle w:val="WW-DefaultParagraphFont"/>
                <w:rFonts w:eastAsia="Times New Roman" w:cs="Arial"/>
                <w:lang w:val="pl-PL"/>
              </w:rPr>
              <w:t>SMA 11</w:t>
            </w:r>
          </w:p>
        </w:tc>
        <w:tc>
          <w:tcPr>
            <w:tcW w:w="458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rPr>
                <w:rStyle w:val="WW-DefaultParagraphFont"/>
                <w:rFonts w:eastAsia="Times New Roman" w:cs="Arial"/>
                <w:lang w:val="pl-PL"/>
              </w:rPr>
              <w:t>SMA 5,   SMA 8</w:t>
            </w:r>
          </w:p>
          <w:p w:rsidR="00B77F00" w:rsidRDefault="00865FA3">
            <w:pPr>
              <w:pStyle w:val="Tekst-spec-w-tabeli"/>
            </w:pPr>
            <w:r>
              <w:rPr>
                <w:rStyle w:val="WW-DefaultParagraphFont"/>
                <w:rFonts w:eastAsia="Times New Roman" w:cs="Arial"/>
                <w:lang w:val="pl-PL"/>
              </w:rPr>
              <w:t>SMA 8</w:t>
            </w:r>
          </w:p>
        </w:tc>
      </w:tr>
    </w:tbl>
    <w:p w:rsidR="00B77F00" w:rsidRDefault="00B77F00">
      <w:pPr>
        <w:pStyle w:val="Tekst-specyfikacji"/>
      </w:pPr>
    </w:p>
    <w:p w:rsidR="00B77F00" w:rsidRDefault="00865FA3">
      <w:pPr>
        <w:pStyle w:val="Tekst-specyfikacji"/>
        <w:numPr>
          <w:ilvl w:val="0"/>
          <w:numId w:val="11"/>
        </w:numPr>
        <w:jc w:val="both"/>
      </w:pPr>
      <w:r>
        <w:rPr>
          <w:rStyle w:val="WW-DefaultParagraphFont"/>
          <w:rFonts w:eastAsia="Times New Roman" w:cs="Arial"/>
          <w:lang w:val="pl-PL"/>
        </w:rPr>
        <w:t>Podział ze względu na wymiar największego kruszywa.</w:t>
      </w:r>
    </w:p>
    <w:p w:rsidR="00B77F00" w:rsidRDefault="00865FA3">
      <w:pPr>
        <w:pStyle w:val="Tekst-specyfikacji"/>
        <w:numPr>
          <w:ilvl w:val="0"/>
          <w:numId w:val="11"/>
        </w:numPr>
        <w:jc w:val="both"/>
      </w:pPr>
      <w:r>
        <w:rPr>
          <w:rStyle w:val="WW-DefaultParagraphFont"/>
          <w:rFonts w:eastAsia="Times New Roman" w:cs="Arial"/>
          <w:lang w:val="pl-PL"/>
        </w:rPr>
        <w:t>Zmniejszenie hałasu generowanego przez kontakt koła pojazdu i nawierzchni należy uwzględniać w projektowaniu nawierzchni ulic miejskich lub dróg zamiejskich w pobl</w:t>
      </w:r>
      <w:r>
        <w:rPr>
          <w:rStyle w:val="WW-DefaultParagraphFont"/>
          <w:rFonts w:eastAsia="Times New Roman" w:cs="Arial"/>
          <w:lang w:val="pl-PL"/>
        </w:rPr>
        <w:t>iżu terenów zamieszkałych</w:t>
      </w:r>
    </w:p>
    <w:p w:rsidR="00B77F00" w:rsidRDefault="00865FA3">
      <w:pPr>
        <w:pStyle w:val="Spec-num2"/>
        <w:jc w:val="both"/>
      </w:pPr>
      <w:r>
        <w:rPr>
          <w:rStyle w:val="WW-DefaultParagraphFont"/>
          <w:rFonts w:eastAsia="Times New Roman" w:cs="Arial"/>
          <w:lang w:val="pl-PL"/>
        </w:rPr>
        <w:t>1.4. Określenia podstawowe</w:t>
      </w:r>
    </w:p>
    <w:p w:rsidR="00B77F00" w:rsidRDefault="00865FA3">
      <w:pPr>
        <w:pStyle w:val="Tekst-specyfikacji"/>
        <w:jc w:val="both"/>
      </w:pPr>
      <w:r>
        <w:rPr>
          <w:rStyle w:val="WW-DefaultParagraphFont"/>
          <w:rFonts w:eastAsia="Times New Roman" w:cs="Arial"/>
          <w:lang w:val="pl-PL"/>
        </w:rPr>
        <w:t>1.4.1. Nawierzchnia – konstrukcja składająca się z jednej lub kilku warstw służących do przejmowania i rozkładania obciążeń od ruchu pojazdów na podłoże.</w:t>
      </w:r>
    </w:p>
    <w:p w:rsidR="00B77F00" w:rsidRDefault="00865FA3">
      <w:pPr>
        <w:pStyle w:val="Tekst-specyfikacji"/>
        <w:jc w:val="both"/>
      </w:pPr>
      <w:r>
        <w:rPr>
          <w:rStyle w:val="WW-DefaultParagraphFont"/>
          <w:rFonts w:eastAsia="Times New Roman" w:cs="Arial"/>
          <w:lang w:val="pl-PL"/>
        </w:rPr>
        <w:t>1.4.2. Warstwa ścieralna – górna warstwa nawierzc</w:t>
      </w:r>
      <w:r>
        <w:rPr>
          <w:rStyle w:val="WW-DefaultParagraphFont"/>
          <w:rFonts w:eastAsia="Times New Roman" w:cs="Arial"/>
          <w:lang w:val="pl-PL"/>
        </w:rPr>
        <w:t>hni będąca w bezpośrednim kontakcie z kołami pojazdów.</w:t>
      </w:r>
    </w:p>
    <w:p w:rsidR="00B77F00" w:rsidRDefault="00865FA3">
      <w:pPr>
        <w:pStyle w:val="Tekst-specyfikacji"/>
        <w:jc w:val="both"/>
      </w:pPr>
      <w:r>
        <w:rPr>
          <w:rStyle w:val="WW-DefaultParagraphFont"/>
          <w:rFonts w:eastAsia="Times New Roman" w:cs="Arial"/>
          <w:lang w:val="pl-PL"/>
        </w:rPr>
        <w:t>1.4.3. Mieszanka mineralno-asfaltowa – mieszanka kruszyw i lepiszcza asfaltowego.</w:t>
      </w:r>
    </w:p>
    <w:p w:rsidR="00B77F00" w:rsidRDefault="00865FA3">
      <w:pPr>
        <w:pStyle w:val="Tekst-specyfikacji"/>
        <w:jc w:val="both"/>
      </w:pPr>
      <w:r>
        <w:rPr>
          <w:rStyle w:val="WW-DefaultParagraphFont"/>
          <w:rFonts w:eastAsia="Times New Roman" w:cs="Arial"/>
          <w:lang w:val="pl-PL"/>
        </w:rPr>
        <w:t xml:space="preserve">1.4.4. Wymiar mieszanki mineralno-asfaltowej – określenie mieszanki mineralno-asfaltowej, wyróżniające tę mieszankę ze </w:t>
      </w:r>
      <w:r>
        <w:rPr>
          <w:rStyle w:val="WW-DefaultParagraphFont"/>
          <w:rFonts w:eastAsia="Times New Roman" w:cs="Arial"/>
          <w:lang w:val="pl-PL"/>
        </w:rPr>
        <w:t>zbioru mieszanek tego samego typu ze względu na największy wymiar kruszywa, np. wymiar 8 lub 11.</w:t>
      </w:r>
    </w:p>
    <w:p w:rsidR="00B77F00" w:rsidRDefault="00865FA3">
      <w:pPr>
        <w:pStyle w:val="Tekst-specyfikacji"/>
        <w:jc w:val="both"/>
      </w:pPr>
      <w:r>
        <w:rPr>
          <w:rStyle w:val="WW-DefaultParagraphFont"/>
          <w:rFonts w:eastAsia="Times New Roman" w:cs="Arial"/>
          <w:lang w:val="pl-PL"/>
        </w:rPr>
        <w:t xml:space="preserve">1.4.5. Mieszanka SMA (mieszanka mastyksowo-grysowa) – mieszanka mineralno-asfaltowa o nieciągłym uziarnieniu, składająca się z grubego łamanego szkieletu </w:t>
      </w:r>
      <w:r>
        <w:rPr>
          <w:rStyle w:val="WW-DefaultParagraphFont"/>
          <w:rFonts w:eastAsia="Times New Roman" w:cs="Arial"/>
          <w:lang w:val="pl-PL"/>
        </w:rPr>
        <w:t>kruszywowego, związanego zaprawą mastyksową.</w:t>
      </w:r>
    </w:p>
    <w:p w:rsidR="00B77F00" w:rsidRDefault="00865FA3">
      <w:pPr>
        <w:pStyle w:val="Tekst-specyfikacji"/>
        <w:jc w:val="both"/>
      </w:pPr>
      <w:r>
        <w:rPr>
          <w:rStyle w:val="WW-DefaultParagraphFont"/>
          <w:rFonts w:eastAsia="Times New Roman" w:cs="Arial"/>
          <w:lang w:val="pl-PL"/>
        </w:rPr>
        <w:t>1.4.6. Dodatek stabilizujący – stabilizator mastyksu, zapobiegający spływaniu lepiszcza asfaltowego z ziaren kruszywa w wyprodukowanej mieszance SMA.</w:t>
      </w:r>
    </w:p>
    <w:p w:rsidR="00B77F00" w:rsidRDefault="00865FA3">
      <w:pPr>
        <w:pStyle w:val="Tekst-specyfikacji"/>
        <w:jc w:val="both"/>
      </w:pPr>
      <w:r>
        <w:rPr>
          <w:rStyle w:val="WW-DefaultParagraphFont"/>
          <w:rFonts w:eastAsia="Times New Roman" w:cs="Arial"/>
          <w:lang w:val="pl-PL"/>
        </w:rPr>
        <w:t>1.4.7. Kategoria ruchu – obciążenie drogi ruchem samochodowym</w:t>
      </w:r>
      <w:r>
        <w:rPr>
          <w:rStyle w:val="WW-DefaultParagraphFont"/>
          <w:rFonts w:eastAsia="Times New Roman" w:cs="Arial"/>
          <w:lang w:val="pl-PL"/>
        </w:rPr>
        <w:t>, wyrażone w osiach obliczeniowych (100 kN) wg „Katalogu typowych konstrukcji nawierzchni podatnych i półsztywnych”.</w:t>
      </w:r>
    </w:p>
    <w:p w:rsidR="00B77F00" w:rsidRDefault="00865FA3">
      <w:pPr>
        <w:pStyle w:val="Tekst-specyfikacji"/>
        <w:jc w:val="both"/>
      </w:pPr>
      <w:r>
        <w:rPr>
          <w:rStyle w:val="WW-DefaultParagraphFont"/>
          <w:rFonts w:eastAsia="Times New Roman" w:cs="Arial"/>
          <w:lang w:val="pl-PL"/>
        </w:rPr>
        <w:t>1.4.8. Wymiar kruszywa – wielkość ziaren kruszywa, określona przez dolny (d) i górny (D) wymiar sita.</w:t>
      </w:r>
    </w:p>
    <w:p w:rsidR="00B77F00" w:rsidRDefault="00865FA3">
      <w:pPr>
        <w:pStyle w:val="Tekst-specyfikacji"/>
        <w:jc w:val="both"/>
      </w:pPr>
      <w:r>
        <w:rPr>
          <w:rStyle w:val="WW-DefaultParagraphFont"/>
          <w:rFonts w:eastAsia="Times New Roman" w:cs="Arial"/>
          <w:lang w:val="pl-PL"/>
        </w:rPr>
        <w:t>1.4.9. Kruszywo grube – kruszywo z zi</w:t>
      </w:r>
      <w:r>
        <w:rPr>
          <w:rStyle w:val="WW-DefaultParagraphFont"/>
          <w:rFonts w:eastAsia="Times New Roman" w:cs="Arial"/>
          <w:lang w:val="pl-PL"/>
        </w:rPr>
        <w:t>aren o wymiarze: D ≤ 45 mm oraz d &gt; 2 mm.</w:t>
      </w:r>
    </w:p>
    <w:p w:rsidR="00B77F00" w:rsidRDefault="00865FA3">
      <w:pPr>
        <w:pStyle w:val="Tekst-specyfikacji"/>
        <w:jc w:val="both"/>
      </w:pPr>
      <w:r>
        <w:rPr>
          <w:rStyle w:val="WW-DefaultParagraphFont"/>
          <w:rFonts w:eastAsia="Times New Roman" w:cs="Arial"/>
          <w:lang w:val="pl-PL"/>
        </w:rPr>
        <w:t>1.4.10. Kruszywo drobne – kruszywo z ziaren o wymiarze: D ≤ 2 mm, którego większa część pozostaje na sicie 0,063 mm.</w:t>
      </w:r>
    </w:p>
    <w:p w:rsidR="00B77F00" w:rsidRDefault="00865FA3">
      <w:pPr>
        <w:pStyle w:val="Tekst-specyfikacji"/>
        <w:jc w:val="both"/>
      </w:pPr>
      <w:r>
        <w:rPr>
          <w:rStyle w:val="WW-DefaultParagraphFont"/>
          <w:rFonts w:eastAsia="Times New Roman" w:cs="Arial"/>
          <w:lang w:val="pl-PL"/>
        </w:rPr>
        <w:lastRenderedPageBreak/>
        <w:t>1.4.11. Pył – kruszywo z ziaren przechodzących przez sito 0,063 mm.</w:t>
      </w:r>
    </w:p>
    <w:p w:rsidR="00B77F00" w:rsidRDefault="00865FA3">
      <w:pPr>
        <w:pStyle w:val="Tekst-specyfikacji"/>
        <w:jc w:val="both"/>
      </w:pPr>
      <w:r>
        <w:rPr>
          <w:rStyle w:val="WW-DefaultParagraphFont"/>
          <w:rFonts w:eastAsia="Times New Roman" w:cs="Arial"/>
          <w:lang w:val="pl-PL"/>
        </w:rPr>
        <w:t xml:space="preserve">1.4.12. Wypełniacz – </w:t>
      </w:r>
      <w:r>
        <w:rPr>
          <w:rStyle w:val="WW-DefaultParagraphFont"/>
          <w:rFonts w:eastAsia="Times New Roman" w:cs="Arial"/>
          <w:lang w:val="pl-PL"/>
        </w:rPr>
        <w:t>kruszywo, którego większa część przechodzi przez sito 0,063 mm. (Wypełniacz mieszany – kruszywo, które składa się z wypełniacza pochodzenia mineralnego i wodorotlenku wapnia. Wypełniacz dodany – wypełniacz pochodzenia mineralnego, wyprodukowany oddzielnie)</w:t>
      </w:r>
      <w:r>
        <w:rPr>
          <w:rStyle w:val="WW-DefaultParagraphFont"/>
          <w:rFonts w:eastAsia="Times New Roman" w:cs="Arial"/>
          <w:lang w:val="pl-PL"/>
        </w:rPr>
        <w:t>.</w:t>
      </w:r>
    </w:p>
    <w:p w:rsidR="00B77F00" w:rsidRDefault="00865FA3">
      <w:pPr>
        <w:pStyle w:val="Tekst-specyfikacji"/>
        <w:jc w:val="both"/>
      </w:pPr>
      <w:r>
        <w:rPr>
          <w:rStyle w:val="WW-DefaultParagraphFont"/>
          <w:rFonts w:eastAsia="Times New Roman" w:cs="Arial"/>
          <w:lang w:val="pl-PL"/>
        </w:rPr>
        <w:t>1.4.13. Kationowa emulsja asfaltowa – emulsja, w której emulgator nadaje dodatnie ładunki cząstkom zdyspergowanego asfaltu.</w:t>
      </w:r>
    </w:p>
    <w:p w:rsidR="00B77F00" w:rsidRDefault="00865FA3">
      <w:pPr>
        <w:pStyle w:val="Tekst-specyfikacji"/>
        <w:jc w:val="both"/>
      </w:pPr>
      <w:r>
        <w:rPr>
          <w:rStyle w:val="WW-DefaultParagraphFont"/>
          <w:rFonts w:eastAsia="Times New Roman" w:cs="Arial"/>
          <w:lang w:val="pl-PL"/>
        </w:rPr>
        <w:t>1.4.14. Pozostałe określenia podstawowe są zgodne z obowiązującymi, odpowiednimi polskimi normami i z definicjami podanymi w ST DM</w:t>
      </w:r>
      <w:r>
        <w:rPr>
          <w:rStyle w:val="WW-DefaultParagraphFont"/>
          <w:rFonts w:eastAsia="Times New Roman" w:cs="Arial"/>
          <w:lang w:val="pl-PL"/>
        </w:rPr>
        <w:t>U 00.00.00 „Wymagania ogólne” pkt 1.4.</w:t>
      </w:r>
    </w:p>
    <w:p w:rsidR="00B77F00" w:rsidRDefault="00865FA3">
      <w:pPr>
        <w:pStyle w:val="Tekst-specyfikacji"/>
        <w:jc w:val="both"/>
      </w:pPr>
      <w:r>
        <w:rPr>
          <w:rStyle w:val="WW-DefaultParagraphFont"/>
          <w:rFonts w:eastAsia="Times New Roman" w:cs="Arial"/>
          <w:lang w:val="pl-PL"/>
        </w:rPr>
        <w:t>1.4.15. Symbole i skróty dodatkowe</w:t>
      </w:r>
    </w:p>
    <w:p w:rsidR="00B77F00" w:rsidRDefault="00865FA3">
      <w:pPr>
        <w:pStyle w:val="Tekst-specyfikacji"/>
        <w:jc w:val="both"/>
      </w:pPr>
      <w:r>
        <w:rPr>
          <w:rStyle w:val="WW-DefaultParagraphFont"/>
          <w:rFonts w:eastAsia="Times New Roman" w:cs="Arial"/>
          <w:lang w:val="pl-PL"/>
        </w:rPr>
        <w:t>SMA</w:t>
      </w:r>
      <w:r>
        <w:rPr>
          <w:rStyle w:val="WW-DefaultParagraphFont"/>
          <w:rFonts w:eastAsia="Times New Roman" w:cs="Arial"/>
          <w:lang w:val="pl-PL"/>
        </w:rPr>
        <w:tab/>
        <w:t>-</w:t>
      </w:r>
      <w:r>
        <w:rPr>
          <w:rStyle w:val="WW-DefaultParagraphFont"/>
          <w:rFonts w:eastAsia="Times New Roman" w:cs="Arial"/>
          <w:lang w:val="pl-PL"/>
        </w:rPr>
        <w:tab/>
        <w:t>mieszanka mastyksowo-grysowa,</w:t>
      </w:r>
    </w:p>
    <w:p w:rsidR="00B77F00" w:rsidRDefault="00865FA3">
      <w:pPr>
        <w:pStyle w:val="Tekst-specyfikacji"/>
        <w:jc w:val="both"/>
      </w:pPr>
      <w:r>
        <w:rPr>
          <w:rStyle w:val="WW-DefaultParagraphFont"/>
          <w:rFonts w:eastAsia="Times New Roman" w:cs="Arial"/>
          <w:lang w:val="pl-PL"/>
        </w:rPr>
        <w:t>PMB</w:t>
      </w:r>
      <w:r>
        <w:rPr>
          <w:rStyle w:val="WW-DefaultParagraphFont"/>
          <w:rFonts w:eastAsia="Times New Roman" w:cs="Arial"/>
          <w:lang w:val="pl-PL"/>
        </w:rPr>
        <w:tab/>
        <w:t>-</w:t>
      </w:r>
      <w:r>
        <w:rPr>
          <w:rStyle w:val="WW-DefaultParagraphFont"/>
          <w:rFonts w:eastAsia="Times New Roman" w:cs="Arial"/>
          <w:lang w:val="pl-PL"/>
        </w:rPr>
        <w:tab/>
        <w:t>polimeroasfalt,</w:t>
      </w:r>
    </w:p>
    <w:p w:rsidR="00B77F00" w:rsidRDefault="00865FA3">
      <w:pPr>
        <w:pStyle w:val="Tekst-specyfikacji"/>
        <w:jc w:val="both"/>
      </w:pPr>
      <w:r>
        <w:rPr>
          <w:rStyle w:val="WW-DefaultParagraphFont"/>
          <w:rFonts w:eastAsia="Times New Roman" w:cs="Arial"/>
          <w:lang w:val="pl-PL"/>
        </w:rPr>
        <w:t>D</w:t>
      </w:r>
      <w:r>
        <w:rPr>
          <w:rStyle w:val="WW-DefaultParagraphFont"/>
          <w:rFonts w:eastAsia="Times New Roman" w:cs="Arial"/>
          <w:lang w:val="pl-PL"/>
        </w:rPr>
        <w:tab/>
        <w:t>-</w:t>
      </w:r>
      <w:r>
        <w:rPr>
          <w:rStyle w:val="WW-DefaultParagraphFont"/>
          <w:rFonts w:eastAsia="Times New Roman" w:cs="Arial"/>
          <w:lang w:val="pl-PL"/>
        </w:rPr>
        <w:tab/>
        <w:t>górny wymiar sita (przy określaniu wielkości ziaren kruszywa),</w:t>
      </w:r>
    </w:p>
    <w:p w:rsidR="00B77F00" w:rsidRDefault="00865FA3">
      <w:pPr>
        <w:pStyle w:val="Tekst-specyfikacji"/>
        <w:jc w:val="both"/>
      </w:pPr>
      <w:r>
        <w:rPr>
          <w:rStyle w:val="WW-DefaultParagraphFont"/>
          <w:rFonts w:eastAsia="Times New Roman" w:cs="Arial"/>
          <w:lang w:val="pl-PL"/>
        </w:rPr>
        <w:t>d</w:t>
      </w:r>
      <w:r>
        <w:rPr>
          <w:rStyle w:val="WW-DefaultParagraphFont"/>
          <w:rFonts w:eastAsia="Times New Roman" w:cs="Arial"/>
          <w:lang w:val="pl-PL"/>
        </w:rPr>
        <w:tab/>
        <w:t>-</w:t>
      </w:r>
      <w:r>
        <w:rPr>
          <w:rStyle w:val="WW-DefaultParagraphFont"/>
          <w:rFonts w:eastAsia="Times New Roman" w:cs="Arial"/>
          <w:lang w:val="pl-PL"/>
        </w:rPr>
        <w:tab/>
        <w:t>dolny wymiar sita (przy określaniu wielkości ziaren k</w:t>
      </w:r>
      <w:r>
        <w:rPr>
          <w:rStyle w:val="WW-DefaultParagraphFont"/>
          <w:rFonts w:eastAsia="Times New Roman" w:cs="Arial"/>
          <w:lang w:val="pl-PL"/>
        </w:rPr>
        <w:t>ruszywa),</w:t>
      </w:r>
    </w:p>
    <w:p w:rsidR="00B77F00" w:rsidRDefault="00865FA3">
      <w:pPr>
        <w:pStyle w:val="Tekst-specyfikacji"/>
        <w:jc w:val="both"/>
      </w:pPr>
      <w:r>
        <w:rPr>
          <w:rStyle w:val="WW-DefaultParagraphFont"/>
          <w:rFonts w:eastAsia="Times New Roman" w:cs="Arial"/>
          <w:lang w:val="pl-PL"/>
        </w:rPr>
        <w:t>C</w:t>
      </w:r>
      <w:r>
        <w:rPr>
          <w:rStyle w:val="WW-DefaultParagraphFont"/>
          <w:rFonts w:eastAsia="Times New Roman" w:cs="Arial"/>
          <w:lang w:val="pl-PL"/>
        </w:rPr>
        <w:tab/>
        <w:t>-</w:t>
      </w:r>
      <w:r>
        <w:rPr>
          <w:rStyle w:val="WW-DefaultParagraphFont"/>
          <w:rFonts w:eastAsia="Times New Roman" w:cs="Arial"/>
          <w:lang w:val="pl-PL"/>
        </w:rPr>
        <w:tab/>
        <w:t>kationowa emulsja asfaltowa,</w:t>
      </w:r>
    </w:p>
    <w:p w:rsidR="00B77F00" w:rsidRDefault="00865FA3">
      <w:pPr>
        <w:pStyle w:val="Tekst-specyfikacji"/>
        <w:jc w:val="both"/>
      </w:pPr>
      <w:r>
        <w:rPr>
          <w:rStyle w:val="WW-DefaultParagraphFont"/>
          <w:rFonts w:eastAsia="Times New Roman" w:cs="Arial"/>
          <w:lang w:val="pl-PL"/>
        </w:rPr>
        <w:t>NPD</w:t>
      </w:r>
      <w:r>
        <w:rPr>
          <w:rStyle w:val="WW-DefaultParagraphFont"/>
          <w:rFonts w:eastAsia="Times New Roman" w:cs="Arial"/>
          <w:lang w:val="pl-PL"/>
        </w:rPr>
        <w:tab/>
        <w:t>-</w:t>
      </w:r>
      <w:r>
        <w:rPr>
          <w:rStyle w:val="WW-DefaultParagraphFont"/>
          <w:rFonts w:eastAsia="Times New Roman" w:cs="Arial"/>
          <w:lang w:val="pl-PL"/>
        </w:rPr>
        <w:tab/>
        <w:t>właściwość użytkowa nie określana (ang. No Performance Determined; producent może jej nie określać),</w:t>
      </w:r>
    </w:p>
    <w:p w:rsidR="00B77F00" w:rsidRDefault="00865FA3">
      <w:pPr>
        <w:pStyle w:val="Tekst-specyfikacji"/>
        <w:jc w:val="both"/>
      </w:pPr>
      <w:r>
        <w:rPr>
          <w:rStyle w:val="WW-DefaultParagraphFont"/>
          <w:rFonts w:eastAsia="Times New Roman" w:cs="Arial"/>
          <w:lang w:val="pl-PL"/>
        </w:rPr>
        <w:t>TBR</w:t>
      </w:r>
      <w:r>
        <w:rPr>
          <w:rStyle w:val="WW-DefaultParagraphFont"/>
          <w:rFonts w:eastAsia="Times New Roman" w:cs="Arial"/>
          <w:lang w:val="pl-PL"/>
        </w:rPr>
        <w:tab/>
        <w:t>-</w:t>
      </w:r>
      <w:r>
        <w:rPr>
          <w:rStyle w:val="WW-DefaultParagraphFont"/>
          <w:rFonts w:eastAsia="Times New Roman" w:cs="Arial"/>
          <w:lang w:val="pl-PL"/>
        </w:rPr>
        <w:tab/>
        <w:t>do zadeklarowania (ang. To Be Reported; producent może dostarczyć odpowiednie informacje, jednak nie</w:t>
      </w:r>
      <w:r>
        <w:rPr>
          <w:rStyle w:val="WW-DefaultParagraphFont"/>
          <w:rFonts w:eastAsia="Times New Roman" w:cs="Arial"/>
          <w:lang w:val="pl-PL"/>
        </w:rPr>
        <w:t xml:space="preserve"> jest do tego zobowiązany),</w:t>
      </w:r>
    </w:p>
    <w:p w:rsidR="00B77F00" w:rsidRDefault="00865FA3">
      <w:pPr>
        <w:pStyle w:val="Tekst-specyfikacji"/>
        <w:jc w:val="both"/>
      </w:pPr>
      <w:r>
        <w:rPr>
          <w:rStyle w:val="WW-DefaultParagraphFont"/>
          <w:rFonts w:eastAsia="Times New Roman" w:cs="Arial"/>
          <w:lang w:val="pl-PL"/>
        </w:rPr>
        <w:t>IRI</w:t>
      </w:r>
      <w:r>
        <w:rPr>
          <w:rStyle w:val="WW-DefaultParagraphFont"/>
          <w:rFonts w:eastAsia="Times New Roman" w:cs="Arial"/>
          <w:lang w:val="pl-PL"/>
        </w:rPr>
        <w:tab/>
        <w:t>-</w:t>
      </w:r>
      <w:r>
        <w:rPr>
          <w:rStyle w:val="WW-DefaultParagraphFont"/>
          <w:rFonts w:eastAsia="Times New Roman" w:cs="Arial"/>
          <w:lang w:val="pl-PL"/>
        </w:rPr>
        <w:tab/>
        <w:t>(International Roughness Index) międzynarodowy wskaźnik równości,</w:t>
      </w:r>
    </w:p>
    <w:p w:rsidR="00B77F00" w:rsidRDefault="00865FA3">
      <w:pPr>
        <w:pStyle w:val="Tekst-specyfikacji"/>
        <w:jc w:val="both"/>
      </w:pPr>
      <w:r>
        <w:rPr>
          <w:rStyle w:val="WW-DefaultParagraphFont"/>
          <w:rFonts w:eastAsia="Times New Roman" w:cs="Arial"/>
          <w:lang w:val="pl-PL"/>
        </w:rPr>
        <w:t>MOP</w:t>
      </w:r>
      <w:r>
        <w:rPr>
          <w:rStyle w:val="WW-DefaultParagraphFont"/>
          <w:rFonts w:eastAsia="Times New Roman" w:cs="Arial"/>
          <w:lang w:val="pl-PL"/>
        </w:rPr>
        <w:tab/>
        <w:t>-</w:t>
      </w:r>
      <w:r>
        <w:rPr>
          <w:rStyle w:val="WW-DefaultParagraphFont"/>
          <w:rFonts w:eastAsia="Times New Roman" w:cs="Arial"/>
          <w:lang w:val="pl-PL"/>
        </w:rPr>
        <w:tab/>
        <w:t>miejsce obsługi podróżnych.</w:t>
      </w:r>
    </w:p>
    <w:p w:rsidR="00B77F00" w:rsidRDefault="00B77F00">
      <w:pPr>
        <w:pStyle w:val="Tekst-specyfikacji"/>
        <w:jc w:val="both"/>
      </w:pPr>
    </w:p>
    <w:p w:rsidR="00B77F00" w:rsidRDefault="00865FA3">
      <w:pPr>
        <w:pStyle w:val="Spec-num2"/>
        <w:jc w:val="both"/>
      </w:pPr>
      <w:r>
        <w:rPr>
          <w:rStyle w:val="WW-DefaultParagraphFont"/>
          <w:rFonts w:eastAsia="Times New Roman" w:cs="Arial"/>
          <w:lang w:val="pl-PL"/>
        </w:rPr>
        <w:t>1.5. Ogólne wymagania dotyczące robót</w:t>
      </w:r>
    </w:p>
    <w:p w:rsidR="00B77F00" w:rsidRDefault="00865FA3">
      <w:pPr>
        <w:pStyle w:val="Tekst-specyfikacji"/>
        <w:jc w:val="both"/>
      </w:pPr>
      <w:r>
        <w:rPr>
          <w:rStyle w:val="WW-DefaultParagraphFont"/>
          <w:rFonts w:eastAsia="Times New Roman" w:cs="Arial"/>
          <w:lang w:val="pl-PL"/>
        </w:rPr>
        <w:tab/>
        <w:t xml:space="preserve">Ogólne wymagania dotyczące robót podano w ST DMU 00.00.00 „Wymagania ogólne” [1] </w:t>
      </w:r>
      <w:r>
        <w:rPr>
          <w:rStyle w:val="WW-DefaultParagraphFont"/>
          <w:rFonts w:eastAsia="Times New Roman" w:cs="Arial"/>
          <w:lang w:val="pl-PL"/>
        </w:rPr>
        <w:t>pkt 1.5.</w:t>
      </w:r>
    </w:p>
    <w:p w:rsidR="00B77F00" w:rsidRDefault="00B77F00">
      <w:pPr>
        <w:pStyle w:val="Tekst-specyfikacji"/>
        <w:jc w:val="both"/>
      </w:pPr>
    </w:p>
    <w:p w:rsidR="00B77F00" w:rsidRDefault="00865FA3">
      <w:pPr>
        <w:pStyle w:val="Spec-num1"/>
        <w:jc w:val="both"/>
        <w:rPr>
          <w:b w:val="0"/>
          <w:sz w:val="20"/>
          <w:szCs w:val="20"/>
        </w:rPr>
      </w:pPr>
      <w:r>
        <w:rPr>
          <w:rStyle w:val="WW-DefaultParagraphFont"/>
          <w:rFonts w:eastAsia="Times New Roman" w:cs="Arial"/>
          <w:bCs/>
          <w:lang w:val="pl-PL"/>
        </w:rPr>
        <w:t>2. MATERIAŁY</w:t>
      </w:r>
    </w:p>
    <w:p w:rsidR="00B77F00" w:rsidRDefault="00865FA3">
      <w:pPr>
        <w:pStyle w:val="Spec-num2"/>
        <w:jc w:val="both"/>
      </w:pPr>
      <w:r>
        <w:rPr>
          <w:rStyle w:val="WW-DefaultParagraphFont"/>
          <w:rFonts w:eastAsia="Times New Roman" w:cs="Arial"/>
          <w:lang w:val="pl-PL"/>
        </w:rPr>
        <w:t>2.1. Ogólne wymagania dotyczące materiałów</w:t>
      </w:r>
    </w:p>
    <w:p w:rsidR="00B77F00" w:rsidRDefault="00865FA3">
      <w:pPr>
        <w:pStyle w:val="Tekst-specyfikacji"/>
        <w:jc w:val="both"/>
      </w:pPr>
      <w:r>
        <w:rPr>
          <w:rStyle w:val="WW-DefaultParagraphFont"/>
          <w:rFonts w:eastAsia="Times New Roman" w:cs="Arial"/>
          <w:lang w:val="pl-PL"/>
        </w:rPr>
        <w:tab/>
        <w:t>Ogólne wymagania dotyczące materiałów, ich pozyskiwania i składowania, podano w ST DMU 00.00.00 „Wymagania ogólne” [1] pkt 2.</w:t>
      </w:r>
    </w:p>
    <w:p w:rsidR="00B77F00" w:rsidRDefault="00865FA3">
      <w:pPr>
        <w:pStyle w:val="Spec-num2"/>
        <w:jc w:val="both"/>
      </w:pPr>
      <w:r>
        <w:rPr>
          <w:rStyle w:val="WW-DefaultParagraphFont"/>
          <w:rFonts w:eastAsia="Times New Roman" w:cs="Arial"/>
          <w:lang w:val="pl-PL"/>
        </w:rPr>
        <w:t>2.2. Lepiszcza asfaltowe</w:t>
      </w:r>
    </w:p>
    <w:p w:rsidR="00B77F00" w:rsidRDefault="00865FA3">
      <w:pPr>
        <w:pStyle w:val="Tekst-specyfikacji"/>
        <w:jc w:val="both"/>
      </w:pPr>
      <w:r>
        <w:rPr>
          <w:rStyle w:val="WW-DefaultParagraphFont"/>
          <w:rFonts w:eastAsia="Times New Roman" w:cs="Arial"/>
          <w:lang w:val="pl-PL"/>
        </w:rPr>
        <w:tab/>
        <w:t xml:space="preserve">Należy stosować asfalty drogowe wg </w:t>
      </w:r>
      <w:r>
        <w:rPr>
          <w:rStyle w:val="WW-DefaultParagraphFont"/>
          <w:rFonts w:eastAsia="Times New Roman" w:cs="Arial"/>
          <w:lang w:val="pl-PL"/>
        </w:rPr>
        <w:t>PN-EN 12591 [27] lub polimeroasfalty wg PN-EN 14023 [59]. Rodzaje stosowanych lepiszcz asfaltowych podano w tablicy 2. Oprócz lepiszcz wymienionych w tablicy 2 można stosować inne lepiszcza nienormowe według aprobat technicznych.</w:t>
      </w:r>
    </w:p>
    <w:p w:rsidR="00B77F00" w:rsidRDefault="00B77F00">
      <w:pPr>
        <w:pStyle w:val="Tekst-specyfikacji"/>
      </w:pPr>
    </w:p>
    <w:p w:rsidR="00B77F00" w:rsidRDefault="00865FA3">
      <w:pPr>
        <w:pStyle w:val="Tekst-specyfikacji"/>
      </w:pPr>
      <w:r>
        <w:t>Tablica 2. Zalecane  lepi</w:t>
      </w:r>
      <w:r>
        <w:t>szcza asfaltowe do mieszanek SMA</w:t>
      </w:r>
    </w:p>
    <w:tbl>
      <w:tblPr>
        <w:tblW w:w="9638" w:type="dxa"/>
        <w:tblLayout w:type="fixed"/>
        <w:tblCellMar>
          <w:left w:w="10" w:type="dxa"/>
          <w:right w:w="10" w:type="dxa"/>
        </w:tblCellMar>
        <w:tblLook w:val="0000" w:firstRow="0" w:lastRow="0" w:firstColumn="0" w:lastColumn="0" w:noHBand="0" w:noVBand="0"/>
      </w:tblPr>
      <w:tblGrid>
        <w:gridCol w:w="1303"/>
        <w:gridCol w:w="2247"/>
        <w:gridCol w:w="2193"/>
        <w:gridCol w:w="1850"/>
        <w:gridCol w:w="2045"/>
      </w:tblGrid>
      <w:tr w:rsidR="00B77F00">
        <w:tblPrEx>
          <w:tblCellMar>
            <w:top w:w="0" w:type="dxa"/>
            <w:bottom w:w="0" w:type="dxa"/>
          </w:tblCellMar>
        </w:tblPrEx>
        <w:tc>
          <w:tcPr>
            <w:tcW w:w="1303" w:type="dxa"/>
            <w:tcBorders>
              <w:top w:val="single" w:sz="4" w:space="0" w:color="000000"/>
              <w:left w:val="single" w:sz="4" w:space="0" w:color="000000"/>
            </w:tcBorders>
            <w:tcMar>
              <w:top w:w="0" w:type="dxa"/>
              <w:left w:w="108" w:type="dxa"/>
              <w:bottom w:w="0" w:type="dxa"/>
              <w:right w:w="108" w:type="dxa"/>
            </w:tcMar>
          </w:tcPr>
          <w:p w:rsidR="00B77F00" w:rsidRDefault="00865FA3">
            <w:pPr>
              <w:pStyle w:val="Tekst-spec-w-tabeli"/>
            </w:pPr>
            <w:r>
              <w:t>Kategoria</w:t>
            </w:r>
          </w:p>
        </w:tc>
        <w:tc>
          <w:tcPr>
            <w:tcW w:w="2247" w:type="dxa"/>
            <w:tcBorders>
              <w:top w:val="single" w:sz="4" w:space="0" w:color="000000"/>
              <w:left w:val="single" w:sz="4" w:space="0" w:color="000000"/>
            </w:tcBorders>
            <w:tcMar>
              <w:top w:w="0" w:type="dxa"/>
              <w:left w:w="108" w:type="dxa"/>
              <w:bottom w:w="0" w:type="dxa"/>
              <w:right w:w="108" w:type="dxa"/>
            </w:tcMar>
          </w:tcPr>
          <w:p w:rsidR="00B77F00" w:rsidRDefault="00865FA3">
            <w:pPr>
              <w:pStyle w:val="Tekst-spec-w-tabeli"/>
            </w:pPr>
            <w:r>
              <w:t>Mieszanka</w:t>
            </w:r>
          </w:p>
        </w:tc>
        <w:tc>
          <w:tcPr>
            <w:tcW w:w="6088"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 xml:space="preserve">Gatunek lepiszcza   </w:t>
            </w:r>
          </w:p>
        </w:tc>
      </w:tr>
      <w:tr w:rsidR="00B77F00">
        <w:tblPrEx>
          <w:tblCellMar>
            <w:top w:w="0" w:type="dxa"/>
            <w:bottom w:w="0" w:type="dxa"/>
          </w:tblCellMar>
        </w:tblPrEx>
        <w:tc>
          <w:tcPr>
            <w:tcW w:w="1303" w:type="dxa"/>
            <w:tcBorders>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ruchu</w:t>
            </w:r>
          </w:p>
        </w:tc>
        <w:tc>
          <w:tcPr>
            <w:tcW w:w="2247" w:type="dxa"/>
            <w:tcBorders>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ACP</w:t>
            </w:r>
          </w:p>
        </w:tc>
        <w:tc>
          <w:tcPr>
            <w:tcW w:w="2193"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asfalt drogowy</w:t>
            </w:r>
          </w:p>
        </w:tc>
        <w:tc>
          <w:tcPr>
            <w:tcW w:w="185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polimeroasfalt</w:t>
            </w:r>
          </w:p>
        </w:tc>
        <w:tc>
          <w:tcPr>
            <w:tcW w:w="204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wielorodzajowy</w:t>
            </w:r>
          </w:p>
        </w:tc>
      </w:tr>
      <w:tr w:rsidR="00B77F00">
        <w:tblPrEx>
          <w:tblCellMar>
            <w:top w:w="0" w:type="dxa"/>
            <w:bottom w:w="0" w:type="dxa"/>
          </w:tblCellMar>
        </w:tblPrEx>
        <w:tc>
          <w:tcPr>
            <w:tcW w:w="1303"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KR1 – KR4</w:t>
            </w:r>
          </w:p>
        </w:tc>
        <w:tc>
          <w:tcPr>
            <w:tcW w:w="2247"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SMA 5, SMA 8, SMA 11</w:t>
            </w:r>
          </w:p>
        </w:tc>
        <w:tc>
          <w:tcPr>
            <w:tcW w:w="2193"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50/70</w:t>
            </w:r>
          </w:p>
        </w:tc>
        <w:tc>
          <w:tcPr>
            <w:tcW w:w="185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PMB 45/80-55, PMB 45/80-65, PMB 65/105-60</w:t>
            </w:r>
          </w:p>
        </w:tc>
        <w:tc>
          <w:tcPr>
            <w:tcW w:w="204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MG 50/70-54/64</w:t>
            </w:r>
          </w:p>
        </w:tc>
      </w:tr>
      <w:tr w:rsidR="00B77F00">
        <w:tblPrEx>
          <w:tblCellMar>
            <w:top w:w="0" w:type="dxa"/>
            <w:bottom w:w="0" w:type="dxa"/>
          </w:tblCellMar>
        </w:tblPrEx>
        <w:tc>
          <w:tcPr>
            <w:tcW w:w="1303"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KR5 – KR7</w:t>
            </w:r>
          </w:p>
        </w:tc>
        <w:tc>
          <w:tcPr>
            <w:tcW w:w="2247"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SMA 8, SMA 11</w:t>
            </w:r>
          </w:p>
        </w:tc>
        <w:tc>
          <w:tcPr>
            <w:tcW w:w="2193"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35/50,</w:t>
            </w:r>
            <w:r>
              <w:t xml:space="preserve"> 50/70, 20/30</w:t>
            </w:r>
          </w:p>
        </w:tc>
        <w:tc>
          <w:tcPr>
            <w:tcW w:w="185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PMB 45/80-55, PMB 45/80-65,</w:t>
            </w:r>
          </w:p>
          <w:p w:rsidR="00B77F00" w:rsidRDefault="00865FA3">
            <w:pPr>
              <w:pStyle w:val="Tekst-spec-w-tabeli"/>
            </w:pPr>
            <w:r>
              <w:t>PMB 45/80-80, PMB 65/105-60 PMB 65/105-60</w:t>
            </w:r>
          </w:p>
        </w:tc>
        <w:tc>
          <w:tcPr>
            <w:tcW w:w="204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w:t>
            </w:r>
          </w:p>
        </w:tc>
      </w:tr>
    </w:tbl>
    <w:p w:rsidR="00B77F00" w:rsidRDefault="00B77F00">
      <w:pPr>
        <w:pStyle w:val="Tekst-specyfikacji"/>
      </w:pPr>
    </w:p>
    <w:p w:rsidR="00B77F00" w:rsidRDefault="00865FA3">
      <w:pPr>
        <w:pStyle w:val="Tekst-specyfikacji"/>
      </w:pPr>
      <w:r>
        <w:t>Asfalty drogowe powinny spełniać wymagania podane w PN-EN 12591.</w:t>
      </w:r>
    </w:p>
    <w:p w:rsidR="00B77F00" w:rsidRDefault="00865FA3">
      <w:pPr>
        <w:pStyle w:val="Tekst-specyfikacji"/>
      </w:pPr>
      <w:r>
        <w:t>Polimeroasfalty  powinny spełniać wymagania podane  w PN-EN 14023.</w:t>
      </w:r>
    </w:p>
    <w:p w:rsidR="00B77F00" w:rsidRDefault="00865FA3">
      <w:pPr>
        <w:pStyle w:val="Tekst-specyfikacji"/>
      </w:pPr>
      <w:r>
        <w:t xml:space="preserve">Asfalty wielorodzajowe  powinny </w:t>
      </w:r>
      <w:r>
        <w:t>spełniać wymagania podane  w PN-EN 13924-2.</w:t>
      </w:r>
    </w:p>
    <w:p w:rsidR="00B77F00" w:rsidRDefault="00B77F00">
      <w:pPr>
        <w:pStyle w:val="Tekst-specyfikacji"/>
        <w:jc w:val="both"/>
      </w:pPr>
    </w:p>
    <w:p w:rsidR="00B77F00" w:rsidRDefault="00865FA3">
      <w:pPr>
        <w:pStyle w:val="Tekst-specyfikacji"/>
        <w:jc w:val="both"/>
      </w:pPr>
      <w:r>
        <w:tab/>
      </w:r>
      <w:r>
        <w:rPr>
          <w:rStyle w:val="WW-DefaultParagraphFont"/>
          <w:rFonts w:eastAsia="Times New Roman" w:cs="Arial"/>
          <w:lang w:val="pl-PL"/>
        </w:rPr>
        <w:t>Składowanie asfaltu drogowego powinno się odbywać w zbiornikach, wykluczających zanieczyszczenie asfaltu i wyposażonych w system grzewczy pośredni (bez kontaktu asfaltu z przewodami grzewczymi). Zbiornik robocz</w:t>
      </w:r>
      <w:r>
        <w:rPr>
          <w:rStyle w:val="WW-DefaultParagraphFont"/>
          <w:rFonts w:eastAsia="Times New Roman" w:cs="Arial"/>
          <w:lang w:val="pl-PL"/>
        </w:rPr>
        <w:t>y otaczarki powinien być izolowany termicznie, posiadać automatyczny system grzewczy z tolerancją ± 5°C oraz układ cyrkulacji asfaltu.</w:t>
      </w:r>
    </w:p>
    <w:p w:rsidR="00B77F00" w:rsidRDefault="00865FA3">
      <w:pPr>
        <w:pStyle w:val="Tekst-specyfikacji"/>
        <w:jc w:val="both"/>
      </w:pPr>
      <w:r>
        <w:rPr>
          <w:rStyle w:val="WW-DefaultParagraphFont"/>
          <w:rFonts w:eastAsia="Times New Roman" w:cs="Arial"/>
          <w:lang w:val="pl-PL"/>
        </w:rPr>
        <w:tab/>
        <w:t xml:space="preserve">Polimeroasfalt powinien być magazynowany w zbiorniku wyposażonym w system grzewczy pośredni z termostatem kontrolującym </w:t>
      </w:r>
      <w:r>
        <w:rPr>
          <w:rStyle w:val="WW-DefaultParagraphFont"/>
          <w:rFonts w:eastAsia="Times New Roman" w:cs="Arial"/>
          <w:lang w:val="pl-PL"/>
        </w:rPr>
        <w:t>temperaturę z dokładnością  ± 5°C. Zaleca się wyposażenie zbiornika w mieszadło. Zaleca się bezpośrednie zużycie polimeroasfaltu po dostarczeniu. Należy unikać wielokrotnego rozgrzewania i chłodzenia polimeroasfaltu w okresie jego stosowania oraz unikać ni</w:t>
      </w:r>
      <w:r>
        <w:rPr>
          <w:rStyle w:val="WW-DefaultParagraphFont"/>
          <w:rFonts w:eastAsia="Times New Roman" w:cs="Arial"/>
          <w:lang w:val="pl-PL"/>
        </w:rPr>
        <w:t>ekontrolowanego mieszania polimeroasfaltów różnego rodzaju i klasy oraz z asfaltem zwykłym.</w:t>
      </w:r>
    </w:p>
    <w:p w:rsidR="00B77F00" w:rsidRDefault="00B77F00">
      <w:pPr>
        <w:pStyle w:val="Tekst-specyfikacji"/>
        <w:jc w:val="both"/>
      </w:pPr>
    </w:p>
    <w:p w:rsidR="00B77F00" w:rsidRDefault="00865FA3">
      <w:pPr>
        <w:pStyle w:val="Spec-num2"/>
        <w:jc w:val="both"/>
      </w:pPr>
      <w:r>
        <w:rPr>
          <w:rStyle w:val="WW-DefaultParagraphFont"/>
          <w:rFonts w:eastAsia="Times New Roman" w:cs="Arial"/>
          <w:lang w:val="pl-PL"/>
        </w:rPr>
        <w:lastRenderedPageBreak/>
        <w:t>2.3. Kruszywo do mieszanki SMA</w:t>
      </w:r>
    </w:p>
    <w:p w:rsidR="00B77F00" w:rsidRDefault="00865FA3">
      <w:pPr>
        <w:pStyle w:val="Tekst-specyfikacji"/>
        <w:jc w:val="both"/>
      </w:pPr>
      <w:r>
        <w:rPr>
          <w:rStyle w:val="WW-DefaultParagraphFont"/>
          <w:rFonts w:eastAsia="Times New Roman" w:cs="Arial"/>
          <w:lang w:val="pl-PL"/>
        </w:rPr>
        <w:tab/>
        <w:t xml:space="preserve">Do mieszanki SMA należy stosować kruszywo według PN-EN 13043 [44] i WT-1 Kruszywa 2014 [64], obejmujące kruszywo grube , kruszywo </w:t>
      </w:r>
      <w:r>
        <w:rPr>
          <w:rStyle w:val="WW-DefaultParagraphFont"/>
          <w:rFonts w:eastAsia="Times New Roman" w:cs="Arial"/>
          <w:lang w:val="pl-PL"/>
        </w:rPr>
        <w:t>drobne  i wypełniacz. Kruszywa powinny spełniać wymagania podane w WT-1 Kruszywa 2014 – punkt 5.4</w:t>
      </w:r>
    </w:p>
    <w:p w:rsidR="00B77F00" w:rsidRDefault="00865FA3">
      <w:pPr>
        <w:pStyle w:val="Tekst-specyfikacji"/>
        <w:jc w:val="both"/>
      </w:pPr>
      <w:r>
        <w:rPr>
          <w:rStyle w:val="WW-DefaultParagraphFont"/>
          <w:rFonts w:eastAsia="Times New Roman" w:cs="Arial"/>
          <w:lang w:val="pl-PL"/>
        </w:rPr>
        <w:tab/>
        <w:t>Składowanie kruszywa powinno się odbywać w warunkach zabezpieczających je przed zanieczyszczeniem i zmieszaniem z kruszywem o innym wymiarze lub pochodzeniu.</w:t>
      </w:r>
      <w:r>
        <w:rPr>
          <w:rStyle w:val="WW-DefaultParagraphFont"/>
          <w:rFonts w:eastAsia="Times New Roman" w:cs="Arial"/>
          <w:lang w:val="pl-PL"/>
        </w:rPr>
        <w:t xml:space="preserve"> Podłoże składowiska musi być równe, utwardzone i odwodnione. Składowanie wypełniacza powinno się odbywać w silosach wyposażonych w urządzenia do aeracji.</w:t>
      </w:r>
    </w:p>
    <w:p w:rsidR="00B77F00" w:rsidRDefault="00B77F00">
      <w:pPr>
        <w:pStyle w:val="Tekst-specyfikacji"/>
        <w:jc w:val="both"/>
      </w:pPr>
    </w:p>
    <w:p w:rsidR="00B77F00" w:rsidRDefault="00865FA3">
      <w:pPr>
        <w:pStyle w:val="Spec-num2"/>
        <w:jc w:val="both"/>
      </w:pPr>
      <w:r>
        <w:rPr>
          <w:rStyle w:val="WW-DefaultParagraphFont"/>
          <w:rFonts w:eastAsia="Times New Roman" w:cs="Arial"/>
          <w:lang w:val="pl-PL"/>
        </w:rPr>
        <w:t>2.4. Kruszywo do uszorstnienia</w:t>
      </w:r>
    </w:p>
    <w:p w:rsidR="00B77F00" w:rsidRDefault="00865FA3">
      <w:pPr>
        <w:pStyle w:val="Tekst-specyfikacji"/>
        <w:jc w:val="both"/>
      </w:pPr>
      <w:r>
        <w:rPr>
          <w:rStyle w:val="WW-DefaultParagraphFont"/>
          <w:rFonts w:eastAsia="Times New Roman" w:cs="Arial"/>
          <w:lang w:val="pl-PL"/>
        </w:rPr>
        <w:tab/>
        <w:t>W celu zwiększenia współczynnika tarcia wykonanej warstwy ścieralnej</w:t>
      </w:r>
      <w:r>
        <w:rPr>
          <w:rStyle w:val="WW-DefaultParagraphFont"/>
          <w:rFonts w:eastAsia="Times New Roman" w:cs="Arial"/>
          <w:lang w:val="pl-PL"/>
        </w:rPr>
        <w:t>, w początkowym okresie jej użytkowania, należy gorącą warstwę posypać kruszywem mineralnym naturalnym lub sztucznym uzyskanym z przekruszenia, o wymiarze 2/4 lub 2/5 mm  i dokładnie przywałować</w:t>
      </w:r>
    </w:p>
    <w:p w:rsidR="00B77F00" w:rsidRDefault="00865FA3">
      <w:pPr>
        <w:pStyle w:val="Tekst-specyfikacji"/>
        <w:jc w:val="both"/>
      </w:pPr>
      <w:r>
        <w:rPr>
          <w:rStyle w:val="WW-DefaultParagraphFont"/>
          <w:rFonts w:eastAsia="Times New Roman" w:cs="Arial"/>
          <w:lang w:val="pl-PL"/>
        </w:rPr>
        <w:tab/>
        <w:t xml:space="preserve">Kruszywa do uszorstnienia o wymiarze 2/4 lub 2/5 mm powinny </w:t>
      </w:r>
      <w:r>
        <w:rPr>
          <w:rStyle w:val="WW-DefaultParagraphFont"/>
          <w:rFonts w:eastAsia="Times New Roman" w:cs="Arial"/>
          <w:lang w:val="pl-PL"/>
        </w:rPr>
        <w:t>spełniać wymagania podane w tablicy 3</w:t>
      </w:r>
    </w:p>
    <w:p w:rsidR="00B77F00" w:rsidRDefault="00865FA3">
      <w:pPr>
        <w:pStyle w:val="Tekst-specyfikacji"/>
        <w:jc w:val="both"/>
      </w:pPr>
      <w:r>
        <w:rPr>
          <w:rStyle w:val="WW-DefaultParagraphFont"/>
          <w:rFonts w:eastAsia="Times New Roman" w:cs="Arial"/>
          <w:lang w:val="pl-PL"/>
        </w:rPr>
        <w:tab/>
        <w:t>Składowanie kruszywa powinno odpowiadać wymaganiom podanym w pkcie 2.3.</w:t>
      </w:r>
    </w:p>
    <w:p w:rsidR="00B77F00" w:rsidRDefault="00B77F00">
      <w:pPr>
        <w:pStyle w:val="Tekst-specyfikacji"/>
        <w:jc w:val="both"/>
      </w:pPr>
    </w:p>
    <w:p w:rsidR="00B77F00" w:rsidRDefault="00B77F00">
      <w:pPr>
        <w:pStyle w:val="Tekst-specyfikacji"/>
      </w:pPr>
    </w:p>
    <w:p w:rsidR="00B77F00" w:rsidRDefault="00865FA3">
      <w:pPr>
        <w:pStyle w:val="Tekst-specyfikacji"/>
      </w:pPr>
      <w:r>
        <w:t>Tablica 3. Wymagania dotyczące kruszywa (naturalnego lub sztucznego) do uszorstnienia</w:t>
      </w:r>
    </w:p>
    <w:p w:rsidR="00B77F00" w:rsidRDefault="00865FA3">
      <w:pPr>
        <w:pStyle w:val="Tekst-specyfikacji"/>
      </w:pPr>
      <w:r>
        <w:t xml:space="preserve"> warstwy ścieralnej z SMA [65]</w:t>
      </w:r>
    </w:p>
    <w:tbl>
      <w:tblPr>
        <w:tblW w:w="9638" w:type="dxa"/>
        <w:tblLayout w:type="fixed"/>
        <w:tblCellMar>
          <w:left w:w="10" w:type="dxa"/>
          <w:right w:w="10" w:type="dxa"/>
        </w:tblCellMar>
        <w:tblLook w:val="0000" w:firstRow="0" w:lastRow="0" w:firstColumn="0" w:lastColumn="0" w:noHBand="0" w:noVBand="0"/>
      </w:tblPr>
      <w:tblGrid>
        <w:gridCol w:w="2516"/>
        <w:gridCol w:w="2180"/>
        <w:gridCol w:w="985"/>
        <w:gridCol w:w="3957"/>
      </w:tblGrid>
      <w:tr w:rsidR="00B77F00">
        <w:tblPrEx>
          <w:tblCellMar>
            <w:top w:w="0" w:type="dxa"/>
            <w:bottom w:w="0" w:type="dxa"/>
          </w:tblCellMar>
        </w:tblPrEx>
        <w:tc>
          <w:tcPr>
            <w:tcW w:w="2516"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Tekst-spec-w-tabeli"/>
            </w:pPr>
            <w:r>
              <w:t>Właściwości</w:t>
            </w:r>
          </w:p>
          <w:p w:rsidR="00B77F00" w:rsidRDefault="00865FA3">
            <w:pPr>
              <w:pStyle w:val="Tekst-spec-w-tabeli"/>
            </w:pPr>
            <w:r>
              <w:t>kruszywa</w:t>
            </w:r>
          </w:p>
        </w:tc>
        <w:tc>
          <w:tcPr>
            <w:tcW w:w="2180"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Tekst-spec-w-tabeli"/>
            </w:pPr>
            <w:r>
              <w:t>Metod</w:t>
            </w:r>
            <w:r>
              <w:t>a</w:t>
            </w:r>
          </w:p>
          <w:p w:rsidR="00B77F00" w:rsidRDefault="00865FA3">
            <w:pPr>
              <w:pStyle w:val="Tekst-spec-w-tabeli"/>
            </w:pPr>
            <w:r>
              <w:t>badania</w:t>
            </w:r>
          </w:p>
        </w:tc>
        <w:tc>
          <w:tcPr>
            <w:tcW w:w="985"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Tekst-spec-w-tabeli"/>
            </w:pPr>
            <w:r>
              <w:t>Punkt</w:t>
            </w:r>
          </w:p>
          <w:p w:rsidR="00B77F00" w:rsidRDefault="00865FA3">
            <w:pPr>
              <w:pStyle w:val="Tekst-spec-w-tabeli"/>
            </w:pPr>
            <w:r>
              <w:t>WT-1</w:t>
            </w:r>
          </w:p>
        </w:tc>
        <w:tc>
          <w:tcPr>
            <w:tcW w:w="3957"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B77F00" w:rsidRDefault="00865FA3">
            <w:pPr>
              <w:pStyle w:val="Tekst-spec-w-tabeli"/>
            </w:pPr>
            <w:r>
              <w:t>Wymagania wg WT-1 [63]</w:t>
            </w:r>
          </w:p>
          <w:p w:rsidR="00B77F00" w:rsidRDefault="00865FA3">
            <w:pPr>
              <w:pStyle w:val="Tekst-spec-w-tabeli"/>
            </w:pPr>
            <w:r>
              <w:t>dla kruszywa 2/4 lub 2/5 mm</w:t>
            </w:r>
          </w:p>
        </w:tc>
      </w:tr>
      <w:tr w:rsidR="00B77F00">
        <w:tblPrEx>
          <w:tblCellMar>
            <w:top w:w="0" w:type="dxa"/>
            <w:bottom w:w="0" w:type="dxa"/>
          </w:tblCellMar>
        </w:tblPrEx>
        <w:tc>
          <w:tcPr>
            <w:tcW w:w="251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B77F00" w:rsidRDefault="00865FA3">
            <w:pPr>
              <w:pStyle w:val="Tekst-spec-w-tabeli"/>
            </w:pPr>
            <w:r>
              <w:t>Uziarnienie</w:t>
            </w:r>
          </w:p>
        </w:tc>
        <w:tc>
          <w:tcPr>
            <w:tcW w:w="2180"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B77F00" w:rsidRDefault="00865FA3">
            <w:pPr>
              <w:pStyle w:val="Tekst-spec-w-tabeli"/>
            </w:pPr>
            <w:r>
              <w:t>PN-EN 933-1 [5]</w:t>
            </w:r>
          </w:p>
        </w:tc>
        <w:tc>
          <w:tcPr>
            <w:tcW w:w="985"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B77F00" w:rsidRDefault="00865FA3">
            <w:pPr>
              <w:pStyle w:val="Tekst-spec-w-tabeli"/>
            </w:pPr>
            <w:r>
              <w:t>5.8</w:t>
            </w:r>
          </w:p>
        </w:tc>
        <w:tc>
          <w:tcPr>
            <w:tcW w:w="3957"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rsidR="00B77F00" w:rsidRDefault="00865FA3">
            <w:pPr>
              <w:pStyle w:val="Tekst-spec-w-tabeli"/>
            </w:pPr>
            <w:r>
              <w:t>GC 90/10</w:t>
            </w:r>
          </w:p>
        </w:tc>
      </w:tr>
      <w:tr w:rsidR="00B77F00">
        <w:tblPrEx>
          <w:tblCellMar>
            <w:top w:w="0" w:type="dxa"/>
            <w:bottom w:w="0" w:type="dxa"/>
          </w:tblCellMar>
        </w:tblPrEx>
        <w:tc>
          <w:tcPr>
            <w:tcW w:w="251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B77F00" w:rsidRDefault="00865FA3">
            <w:pPr>
              <w:pStyle w:val="Tekst-spec-w-tabeli"/>
            </w:pPr>
            <w:r>
              <w:t>Zawartość pyłu</w:t>
            </w:r>
          </w:p>
        </w:tc>
        <w:tc>
          <w:tcPr>
            <w:tcW w:w="2180"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B77F00" w:rsidRDefault="00865FA3">
            <w:pPr>
              <w:pStyle w:val="Tekst-spec-w-tabeli"/>
            </w:pPr>
            <w:r>
              <w:t>PN-EN 933-1 [5]</w:t>
            </w:r>
          </w:p>
        </w:tc>
        <w:tc>
          <w:tcPr>
            <w:tcW w:w="985"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B77F00" w:rsidRDefault="00865FA3">
            <w:pPr>
              <w:pStyle w:val="Tekst-spec-w-tabeli"/>
            </w:pPr>
            <w:r>
              <w:t>5.8</w:t>
            </w:r>
          </w:p>
        </w:tc>
        <w:tc>
          <w:tcPr>
            <w:tcW w:w="3957"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rsidR="00B77F00" w:rsidRDefault="00865FA3">
            <w:pPr>
              <w:pStyle w:val="Tekst-spec-w-tabeli"/>
            </w:pPr>
            <w:r>
              <w:t>f0,5</w:t>
            </w:r>
          </w:p>
        </w:tc>
      </w:tr>
      <w:tr w:rsidR="00B77F00">
        <w:tblPrEx>
          <w:tblCellMar>
            <w:top w:w="0" w:type="dxa"/>
            <w:bottom w:w="0" w:type="dxa"/>
          </w:tblCellMar>
        </w:tblPrEx>
        <w:tc>
          <w:tcPr>
            <w:tcW w:w="251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B77F00" w:rsidRDefault="00865FA3">
            <w:pPr>
              <w:pStyle w:val="Tekst-spec-w-tabeli"/>
            </w:pPr>
            <w:r>
              <w:t>Odporność na pole</w:t>
            </w:r>
            <w:r>
              <w:softHyphen/>
              <w:t>rowanie kruszywa, kat. nie niższa niż</w:t>
            </w:r>
          </w:p>
        </w:tc>
        <w:tc>
          <w:tcPr>
            <w:tcW w:w="2180"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B77F00" w:rsidRDefault="00865FA3">
            <w:pPr>
              <w:pStyle w:val="Tekst-spec-w-tabeli"/>
            </w:pPr>
            <w:r>
              <w:t>PN-EN 1097-8 [18]</w:t>
            </w:r>
          </w:p>
        </w:tc>
        <w:tc>
          <w:tcPr>
            <w:tcW w:w="985"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B77F00" w:rsidRDefault="00865FA3">
            <w:pPr>
              <w:pStyle w:val="Tekst-spec-w-tabeli"/>
            </w:pPr>
            <w:r>
              <w:t>5.8</w:t>
            </w:r>
          </w:p>
        </w:tc>
        <w:tc>
          <w:tcPr>
            <w:tcW w:w="3957"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rsidR="00B77F00" w:rsidRDefault="00865FA3">
            <w:pPr>
              <w:pStyle w:val="Tekst-spec-w-tabeli"/>
            </w:pPr>
            <w:r>
              <w:t xml:space="preserve"> PSV50   </w:t>
            </w:r>
          </w:p>
        </w:tc>
      </w:tr>
      <w:tr w:rsidR="00B77F00">
        <w:tblPrEx>
          <w:tblCellMar>
            <w:top w:w="0" w:type="dxa"/>
            <w:bottom w:w="0" w:type="dxa"/>
          </w:tblCellMar>
        </w:tblPrEx>
        <w:tc>
          <w:tcPr>
            <w:tcW w:w="251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B77F00" w:rsidRDefault="00865FA3">
            <w:pPr>
              <w:pStyle w:val="Tekst-spec-w-tabeli"/>
            </w:pPr>
            <w:r>
              <w:t xml:space="preserve">Gęstość </w:t>
            </w:r>
            <w:r>
              <w:t>ziaren</w:t>
            </w:r>
          </w:p>
        </w:tc>
        <w:tc>
          <w:tcPr>
            <w:tcW w:w="2180"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B77F00" w:rsidRDefault="00865FA3">
            <w:pPr>
              <w:pStyle w:val="Tekst-spec-w-tabeli"/>
            </w:pPr>
            <w:r>
              <w:rPr>
                <w:lang w:val="de-DE"/>
              </w:rPr>
              <w:t xml:space="preserve">PN-EN 1097-6, rozdz. </w:t>
            </w:r>
            <w:r>
              <w:t>7, 8, 9 [16]</w:t>
            </w:r>
          </w:p>
        </w:tc>
        <w:tc>
          <w:tcPr>
            <w:tcW w:w="985"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B77F00" w:rsidRDefault="00865FA3">
            <w:pPr>
              <w:pStyle w:val="Tekst-spec-w-tabeli"/>
            </w:pPr>
            <w:r>
              <w:t>5.8</w:t>
            </w:r>
          </w:p>
        </w:tc>
        <w:tc>
          <w:tcPr>
            <w:tcW w:w="3957"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rsidR="00B77F00" w:rsidRDefault="00865FA3">
            <w:pPr>
              <w:pStyle w:val="Tekst-spec-w-tabeli"/>
            </w:pPr>
            <w:r>
              <w:t>deklarowana przez producenta</w:t>
            </w:r>
          </w:p>
        </w:tc>
      </w:tr>
      <w:tr w:rsidR="00B77F00">
        <w:tblPrEx>
          <w:tblCellMar>
            <w:top w:w="0" w:type="dxa"/>
            <w:bottom w:w="0" w:type="dxa"/>
          </w:tblCellMar>
        </w:tblPrEx>
        <w:tc>
          <w:tcPr>
            <w:tcW w:w="251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B77F00" w:rsidRDefault="00865FA3">
            <w:pPr>
              <w:pStyle w:val="Tekst-spec-w-tabeli"/>
            </w:pPr>
            <w:r>
              <w:t>Grube zanieczysz</w:t>
            </w:r>
            <w:r>
              <w:softHyphen/>
              <w:t>czenia lekkie, kat. nie wyższa niż</w:t>
            </w:r>
          </w:p>
        </w:tc>
        <w:tc>
          <w:tcPr>
            <w:tcW w:w="2180"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B77F00" w:rsidRDefault="00865FA3">
            <w:pPr>
              <w:pStyle w:val="Tekst-spec-w-tabeli"/>
            </w:pPr>
            <w:r>
              <w:t>PN-EN 1744-1</w:t>
            </w:r>
          </w:p>
          <w:p w:rsidR="00B77F00" w:rsidRDefault="00865FA3">
            <w:pPr>
              <w:pStyle w:val="Tekst-spec-w-tabeli"/>
            </w:pPr>
            <w:r>
              <w:t>p. 14.2 [25]</w:t>
            </w:r>
          </w:p>
        </w:tc>
        <w:tc>
          <w:tcPr>
            <w:tcW w:w="985"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rsidR="00B77F00" w:rsidRDefault="00865FA3">
            <w:pPr>
              <w:pStyle w:val="Tekst-spec-w-tabeli"/>
            </w:pPr>
            <w:r>
              <w:t>5.8</w:t>
            </w:r>
          </w:p>
        </w:tc>
        <w:tc>
          <w:tcPr>
            <w:tcW w:w="3957"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rsidR="00B77F00" w:rsidRDefault="00865FA3">
            <w:pPr>
              <w:pStyle w:val="Tekst-spec-w-tabeli"/>
            </w:pPr>
            <w:r>
              <w:t>mLPC 0,1</w:t>
            </w:r>
          </w:p>
        </w:tc>
      </w:tr>
    </w:tbl>
    <w:p w:rsidR="00B77F00" w:rsidRDefault="00B77F00">
      <w:pPr>
        <w:pStyle w:val="Tekst-specyfikacji"/>
      </w:pPr>
    </w:p>
    <w:p w:rsidR="00B77F00" w:rsidRDefault="00865FA3">
      <w:pPr>
        <w:pStyle w:val="Spec-num2"/>
        <w:jc w:val="both"/>
      </w:pPr>
      <w:r>
        <w:rPr>
          <w:rStyle w:val="WW-DefaultParagraphFont"/>
          <w:rFonts w:eastAsia="Times New Roman" w:cs="Arial"/>
          <w:lang w:val="pl-PL"/>
        </w:rPr>
        <w:t>2.5. Stabilizator mastyksu</w:t>
      </w:r>
    </w:p>
    <w:p w:rsidR="00B77F00" w:rsidRDefault="00865FA3">
      <w:pPr>
        <w:pStyle w:val="Tekst-specyfikacji"/>
        <w:jc w:val="both"/>
      </w:pPr>
      <w:r>
        <w:rPr>
          <w:rStyle w:val="WW-DefaultParagraphFont"/>
          <w:rFonts w:eastAsia="Times New Roman" w:cs="Arial"/>
          <w:lang w:val="pl-PL"/>
        </w:rPr>
        <w:tab/>
        <w:t>W celu zapobieżenia spływaniu lepiszcza asfaltowego z ziaren</w:t>
      </w:r>
      <w:r>
        <w:rPr>
          <w:rStyle w:val="WW-DefaultParagraphFont"/>
          <w:rFonts w:eastAsia="Times New Roman" w:cs="Arial"/>
          <w:lang w:val="pl-PL"/>
        </w:rPr>
        <w:t xml:space="preserve"> kruszywa w wyprodukowanej mieszance SMA zaleca się stosowanie stabilizatorów, którymi mogą być włókna mineralne, celulozowe lub polimerowe, spełniające wymagania określone przez producenta. Włókna te mogą być stosowane także w postaci granulatu, w tym ze </w:t>
      </w:r>
      <w:r>
        <w:rPr>
          <w:rStyle w:val="WW-DefaultParagraphFont"/>
          <w:rFonts w:eastAsia="Times New Roman" w:cs="Arial"/>
          <w:lang w:val="pl-PL"/>
        </w:rPr>
        <w:t>środkiem wiążącym.</w:t>
      </w:r>
    </w:p>
    <w:p w:rsidR="00B77F00" w:rsidRDefault="00865FA3">
      <w:pPr>
        <w:pStyle w:val="Tekst-specyfikacji"/>
        <w:jc w:val="both"/>
      </w:pPr>
      <w:r>
        <w:rPr>
          <w:rStyle w:val="WW-DefaultParagraphFont"/>
          <w:rFonts w:eastAsia="Times New Roman" w:cs="Arial"/>
          <w:lang w:val="pl-PL"/>
        </w:rPr>
        <w:tab/>
        <w:t>Można zaniechać stosowania stabilizatora, jeśli stosowane lepiszcze gwarantuje spełnienie wymagania spływności lepiszcza lub technologia produkcji i transportu mieszanki SMA nie powoduje spływności lepiszcza z ziaren kruszywa.</w:t>
      </w:r>
    </w:p>
    <w:p w:rsidR="00B77F00" w:rsidRDefault="00B77F00">
      <w:pPr>
        <w:pStyle w:val="Tekst-specyfikacji"/>
        <w:jc w:val="both"/>
      </w:pPr>
    </w:p>
    <w:p w:rsidR="00B77F00" w:rsidRDefault="00865FA3">
      <w:pPr>
        <w:pStyle w:val="Spec-num2"/>
        <w:jc w:val="both"/>
      </w:pPr>
      <w:r>
        <w:rPr>
          <w:rStyle w:val="WW-DefaultParagraphFont"/>
          <w:rFonts w:eastAsia="Times New Roman" w:cs="Arial"/>
          <w:lang w:val="pl-PL"/>
        </w:rPr>
        <w:t>2.6. Śro</w:t>
      </w:r>
      <w:r>
        <w:rPr>
          <w:rStyle w:val="WW-DefaultParagraphFont"/>
          <w:rFonts w:eastAsia="Times New Roman" w:cs="Arial"/>
          <w:lang w:val="pl-PL"/>
        </w:rPr>
        <w:t>dek adhezyjny</w:t>
      </w:r>
    </w:p>
    <w:p w:rsidR="00B77F00" w:rsidRDefault="00865FA3">
      <w:pPr>
        <w:pStyle w:val="Tekst-specyfikacji"/>
        <w:jc w:val="both"/>
      </w:pPr>
      <w:r>
        <w:rPr>
          <w:rStyle w:val="WW-DefaultParagraphFont"/>
          <w:rFonts w:eastAsia="Times New Roman" w:cs="Arial"/>
          <w:lang w:val="pl-PL"/>
        </w:rPr>
        <w:tab/>
        <w:t>W celu poprawy powinowactwa fizykochemicznego lepiszcza asfaltowego i kruszywa, gwarantującego odpowiednią przyczepność (adhezję) lepiszcza do kruszywa i odporność mieszanki SMA na działanie wody, należy dobrać i zastosować środek adhezyjny,</w:t>
      </w:r>
      <w:r>
        <w:rPr>
          <w:rStyle w:val="WW-DefaultParagraphFont"/>
          <w:rFonts w:eastAsia="Times New Roman" w:cs="Arial"/>
          <w:lang w:val="pl-PL"/>
        </w:rPr>
        <w:t xml:space="preserve"> tak aby dla konkretnej pary kruszywo-lepiszcze wartość przyczepności określona według PN-EN 12697-11, metoda C [34] wynosiła co najmniej 80%.</w:t>
      </w:r>
    </w:p>
    <w:p w:rsidR="00B77F00" w:rsidRDefault="00865FA3">
      <w:pPr>
        <w:pStyle w:val="Tekst-specyfikacji"/>
        <w:jc w:val="both"/>
      </w:pPr>
      <w:r>
        <w:rPr>
          <w:rStyle w:val="WW-DefaultParagraphFont"/>
          <w:rFonts w:eastAsia="Times New Roman" w:cs="Arial"/>
          <w:lang w:val="pl-PL"/>
        </w:rPr>
        <w:tab/>
        <w:t>Środek adhezyjny powinien odpowiadać wymaganiom określonym przez producenta.</w:t>
      </w:r>
    </w:p>
    <w:p w:rsidR="00B77F00" w:rsidRDefault="00865FA3">
      <w:pPr>
        <w:pStyle w:val="Tekst-specyfikacji"/>
        <w:jc w:val="both"/>
      </w:pPr>
      <w:r>
        <w:rPr>
          <w:rStyle w:val="WW-DefaultParagraphFont"/>
          <w:rFonts w:eastAsia="Times New Roman" w:cs="Arial"/>
          <w:lang w:val="pl-PL"/>
        </w:rPr>
        <w:tab/>
        <w:t xml:space="preserve">Składowanie środka adhezyjnego </w:t>
      </w:r>
      <w:r>
        <w:rPr>
          <w:rStyle w:val="WW-DefaultParagraphFont"/>
          <w:rFonts w:eastAsia="Times New Roman" w:cs="Arial"/>
          <w:lang w:val="pl-PL"/>
        </w:rPr>
        <w:t>jest dozwolone tylko w oryginalnych opakowaniach, w warunkach określonych przez producenta.</w:t>
      </w:r>
    </w:p>
    <w:p w:rsidR="00B77F00" w:rsidRDefault="00865FA3">
      <w:pPr>
        <w:pStyle w:val="Spec-num2"/>
        <w:jc w:val="both"/>
      </w:pPr>
      <w:r>
        <w:rPr>
          <w:rStyle w:val="WW-DefaultParagraphFont"/>
          <w:rFonts w:eastAsia="Times New Roman" w:cs="Arial"/>
          <w:lang w:val="pl-PL"/>
        </w:rPr>
        <w:t>2.7. Materiały do uszczelnienia połączeń i krawędzi</w:t>
      </w:r>
    </w:p>
    <w:p w:rsidR="00B77F00" w:rsidRDefault="00865FA3">
      <w:pPr>
        <w:pStyle w:val="Tekst-specyfikacji"/>
        <w:jc w:val="both"/>
      </w:pPr>
      <w:r>
        <w:rPr>
          <w:rStyle w:val="WW-DefaultParagraphFont"/>
          <w:rFonts w:eastAsia="Times New Roman" w:cs="Arial"/>
          <w:lang w:val="pl-PL"/>
        </w:rPr>
        <w:tab/>
        <w:t>Do uszczelnienia połączeń technologicznych (tj. złączy podłużnych i poprzecznych z tego samego materiału wykony</w:t>
      </w:r>
      <w:r>
        <w:rPr>
          <w:rStyle w:val="WW-DefaultParagraphFont"/>
          <w:rFonts w:eastAsia="Times New Roman" w:cs="Arial"/>
          <w:lang w:val="pl-PL"/>
        </w:rPr>
        <w:t>wanego w różnym czasie oraz spoin stanowiących połączenia różnych materiałów lub połączenie warstwy asfaltowej z urządzeniami obcymi w nawierzchni lub ją ograniczającymi, należy stosować:</w:t>
      </w:r>
    </w:p>
    <w:p w:rsidR="00B77F00" w:rsidRDefault="00865FA3">
      <w:pPr>
        <w:pStyle w:val="Tekst-specyfikacji"/>
        <w:numPr>
          <w:ilvl w:val="0"/>
          <w:numId w:val="100"/>
        </w:numPr>
        <w:jc w:val="both"/>
      </w:pPr>
      <w:r>
        <w:rPr>
          <w:rStyle w:val="WW-DefaultParagraphFont"/>
          <w:rFonts w:eastAsia="Times New Roman" w:cs="Arial"/>
          <w:lang w:val="pl-PL"/>
        </w:rPr>
        <w:t>materiały termoplastyczne, jak taśmy asfaltowe, pasty itp. według no</w:t>
      </w:r>
      <w:r>
        <w:rPr>
          <w:rStyle w:val="WW-DefaultParagraphFont"/>
          <w:rFonts w:eastAsia="Times New Roman" w:cs="Arial"/>
          <w:lang w:val="pl-PL"/>
        </w:rPr>
        <w:t>rm lub aprobat technicznych,</w:t>
      </w:r>
    </w:p>
    <w:p w:rsidR="00B77F00" w:rsidRDefault="00865FA3">
      <w:pPr>
        <w:pStyle w:val="Tekst-specyfikacji"/>
        <w:numPr>
          <w:ilvl w:val="0"/>
          <w:numId w:val="4"/>
        </w:numPr>
        <w:jc w:val="both"/>
      </w:pPr>
      <w:r>
        <w:rPr>
          <w:rStyle w:val="WW-DefaultParagraphFont"/>
          <w:rFonts w:eastAsia="Times New Roman" w:cs="Arial"/>
          <w:lang w:val="pl-PL"/>
        </w:rPr>
        <w:t xml:space="preserve">emulsję asfaltową według PN-EN 13808 [58] lub inne lepiszcza według norm lub aprobat technicznych  </w:t>
      </w:r>
    </w:p>
    <w:p w:rsidR="00B77F00" w:rsidRDefault="00865FA3">
      <w:pPr>
        <w:pStyle w:val="Tekst-specyfikacji"/>
        <w:jc w:val="both"/>
      </w:pPr>
      <w:r>
        <w:rPr>
          <w:rStyle w:val="WW-DefaultParagraphFont"/>
          <w:rFonts w:eastAsia="Times New Roman" w:cs="Arial"/>
          <w:lang w:val="pl-PL"/>
        </w:rPr>
        <w:t>Grubość materiału termoplastycznego do spoiny powinna wynosić:</w:t>
      </w:r>
    </w:p>
    <w:p w:rsidR="00B77F00" w:rsidRDefault="00865FA3">
      <w:pPr>
        <w:pStyle w:val="Tekst-specyfikacji"/>
        <w:numPr>
          <w:ilvl w:val="1"/>
          <w:numId w:val="6"/>
        </w:numPr>
        <w:jc w:val="both"/>
      </w:pPr>
      <w:r>
        <w:rPr>
          <w:rStyle w:val="WW-DefaultParagraphFont"/>
          <w:rFonts w:eastAsia="Times New Roman" w:cs="Arial"/>
          <w:lang w:val="pl-PL"/>
        </w:rPr>
        <w:t>nie mniej niż 10 mm przy grubości warstwy technologicznej do 2,5</w:t>
      </w:r>
      <w:r>
        <w:rPr>
          <w:rStyle w:val="WW-DefaultParagraphFont"/>
          <w:rFonts w:eastAsia="Times New Roman" w:cs="Arial"/>
          <w:lang w:val="pl-PL"/>
        </w:rPr>
        <w:t xml:space="preserve"> cm,</w:t>
      </w:r>
    </w:p>
    <w:p w:rsidR="00B77F00" w:rsidRDefault="00865FA3">
      <w:pPr>
        <w:pStyle w:val="Tekst-specyfikacji"/>
        <w:numPr>
          <w:ilvl w:val="1"/>
          <w:numId w:val="6"/>
        </w:numPr>
        <w:jc w:val="both"/>
      </w:pPr>
      <w:r>
        <w:rPr>
          <w:rStyle w:val="WW-DefaultParagraphFont"/>
          <w:rFonts w:eastAsia="Times New Roman" w:cs="Arial"/>
          <w:lang w:val="pl-PL"/>
        </w:rPr>
        <w:t>nie mniej niż 15 mm przy grubości warstwy technologicznej większej niż 2,5 cm.</w:t>
      </w:r>
    </w:p>
    <w:p w:rsidR="00B77F00" w:rsidRDefault="00865FA3">
      <w:pPr>
        <w:pStyle w:val="Tekst-specyfikacji"/>
        <w:jc w:val="both"/>
      </w:pPr>
      <w:r>
        <w:rPr>
          <w:rStyle w:val="WW-DefaultParagraphFont"/>
          <w:rFonts w:eastAsia="Times New Roman" w:cs="Arial"/>
          <w:lang w:val="pl-PL"/>
        </w:rPr>
        <w:t xml:space="preserve">Składowanie materiałów termoplastycznych jest dozwolone tylko w oryginalnych opakowaniach producenta, </w:t>
      </w:r>
      <w:r>
        <w:rPr>
          <w:rStyle w:val="WW-DefaultParagraphFont"/>
          <w:rFonts w:eastAsia="Times New Roman" w:cs="Arial"/>
          <w:lang w:val="pl-PL"/>
        </w:rPr>
        <w:lastRenderedPageBreak/>
        <w:t>w warunkach określonych w aprobacie technicznej.</w:t>
      </w:r>
    </w:p>
    <w:p w:rsidR="00B77F00" w:rsidRDefault="00865FA3">
      <w:pPr>
        <w:pStyle w:val="Tekst-specyfikacji"/>
        <w:jc w:val="both"/>
      </w:pPr>
      <w:r>
        <w:rPr>
          <w:rStyle w:val="WW-DefaultParagraphFont"/>
          <w:rFonts w:eastAsia="Times New Roman" w:cs="Arial"/>
          <w:lang w:val="pl-PL"/>
        </w:rPr>
        <w:t>Do uszczelnienia kraw</w:t>
      </w:r>
      <w:r>
        <w:rPr>
          <w:rStyle w:val="WW-DefaultParagraphFont"/>
          <w:rFonts w:eastAsia="Times New Roman" w:cs="Arial"/>
          <w:lang w:val="pl-PL"/>
        </w:rPr>
        <w:t>ędzi należy stosować asfalt drogowy wg PN-EN 12591 [27], asfalt modyfikowany polimerami wg PN-EN 14023 [59] „metoda na gorąco”. Dopuszcza się inne rodzaje lepiszcza wg norm lub aprobat technicznych.</w:t>
      </w:r>
    </w:p>
    <w:p w:rsidR="00B77F00" w:rsidRDefault="00865FA3">
      <w:pPr>
        <w:pStyle w:val="Spec-num2"/>
        <w:jc w:val="both"/>
      </w:pPr>
      <w:r>
        <w:rPr>
          <w:rStyle w:val="WW-DefaultParagraphFont"/>
          <w:rFonts w:eastAsia="Times New Roman" w:cs="Arial"/>
          <w:lang w:val="pl-PL"/>
        </w:rPr>
        <w:t>2.8. Materiały do złączenia warstw konstrukcji</w:t>
      </w:r>
    </w:p>
    <w:p w:rsidR="00B77F00" w:rsidRDefault="00865FA3">
      <w:pPr>
        <w:pStyle w:val="Tekst-specyfikacji"/>
        <w:jc w:val="both"/>
      </w:pPr>
      <w:r>
        <w:rPr>
          <w:rStyle w:val="WW-DefaultParagraphFont"/>
          <w:rFonts w:eastAsia="Times New Roman" w:cs="Arial"/>
          <w:lang w:val="pl-PL"/>
        </w:rPr>
        <w:tab/>
        <w:t>Do złącza</w:t>
      </w:r>
      <w:r>
        <w:rPr>
          <w:rStyle w:val="WW-DefaultParagraphFont"/>
          <w:rFonts w:eastAsia="Times New Roman" w:cs="Arial"/>
          <w:lang w:val="pl-PL"/>
        </w:rPr>
        <w:t>nia warstw konstrukcji nawierzchni (warstwa wiążąca z warstwą ścieralną) należy stosować  kationowe emulsje asfaltowe lub kationowe emulsje modyfikowane polimerami według PN-EN 13808 [58] i WT-3 Emulsje asfaltowe 2009 punkt 5.1 tablica 2 i tablica 3 [66]:</w:t>
      </w:r>
    </w:p>
    <w:p w:rsidR="00B77F00" w:rsidRDefault="00865FA3">
      <w:pPr>
        <w:pStyle w:val="Tekst-specyfikacji"/>
        <w:jc w:val="both"/>
      </w:pPr>
      <w:r>
        <w:rPr>
          <w:rStyle w:val="WW-DefaultParagraphFont"/>
          <w:rFonts w:eastAsia="Times New Roman" w:cs="Arial"/>
          <w:lang w:val="pl-PL"/>
        </w:rPr>
        <w:t>Kationowe emulsje asfaltowe modyfikowane polimerami (asfalt 70/100 modyfikowany polimerem lub lateksem butadienowo-styrenowym SBR) stosuje się tylko pod cienkie warstwy asfaltowe na gorąco.</w:t>
      </w:r>
    </w:p>
    <w:p w:rsidR="00B77F00" w:rsidRDefault="00865FA3">
      <w:pPr>
        <w:pStyle w:val="Tekst-specyfikacji"/>
        <w:jc w:val="both"/>
      </w:pPr>
      <w:r>
        <w:rPr>
          <w:rStyle w:val="WW-DefaultParagraphFont"/>
          <w:rFonts w:eastAsia="Times New Roman" w:cs="Arial"/>
          <w:lang w:val="pl-PL"/>
        </w:rPr>
        <w:tab/>
        <w:t>Emulsję asfaltową można składować w opakowaniach transportowych l</w:t>
      </w:r>
      <w:r>
        <w:rPr>
          <w:rStyle w:val="WW-DefaultParagraphFont"/>
          <w:rFonts w:eastAsia="Times New Roman" w:cs="Arial"/>
          <w:lang w:val="pl-PL"/>
        </w:rPr>
        <w:t>ub w stacjonarnych zbiornikach pionowych z nalewaniem od dna. Nie należy nalewać emulsji do opakowań i zbiorników zanieczyszczonych materiałami mineralnymi.</w:t>
      </w:r>
    </w:p>
    <w:p w:rsidR="00B77F00" w:rsidRDefault="00865FA3">
      <w:pPr>
        <w:pStyle w:val="Spec-num1"/>
        <w:jc w:val="both"/>
        <w:rPr>
          <w:b w:val="0"/>
          <w:sz w:val="20"/>
          <w:szCs w:val="20"/>
        </w:rPr>
      </w:pPr>
      <w:r>
        <w:rPr>
          <w:rStyle w:val="WW-DefaultParagraphFont"/>
          <w:rFonts w:eastAsia="Times New Roman" w:cs="Arial"/>
          <w:bCs/>
          <w:lang w:val="pl-PL"/>
        </w:rPr>
        <w:t>3. SPRZĘT</w:t>
      </w:r>
    </w:p>
    <w:p w:rsidR="00B77F00" w:rsidRDefault="00865FA3">
      <w:pPr>
        <w:pStyle w:val="Spec-num2"/>
        <w:jc w:val="both"/>
      </w:pPr>
      <w:r>
        <w:rPr>
          <w:rStyle w:val="WW-DefaultParagraphFont"/>
          <w:rFonts w:eastAsia="Times New Roman" w:cs="Arial"/>
          <w:lang w:val="pl-PL"/>
        </w:rPr>
        <w:t>3.1. Ogólne wymagania dotyczące sprzętu</w:t>
      </w:r>
    </w:p>
    <w:p w:rsidR="00B77F00" w:rsidRDefault="00865FA3">
      <w:pPr>
        <w:pStyle w:val="Tekst-specyfikacji"/>
        <w:jc w:val="both"/>
      </w:pPr>
      <w:r>
        <w:rPr>
          <w:rStyle w:val="WW-DefaultParagraphFont"/>
          <w:rFonts w:eastAsia="Times New Roman" w:cs="Arial"/>
          <w:lang w:val="pl-PL"/>
        </w:rPr>
        <w:tab/>
        <w:t xml:space="preserve">Ogólne wymagania dotyczące sprzętu podano w ST </w:t>
      </w:r>
      <w:r>
        <w:rPr>
          <w:rStyle w:val="WW-DefaultParagraphFont"/>
          <w:rFonts w:eastAsia="Times New Roman" w:cs="Arial"/>
          <w:lang w:val="pl-PL"/>
        </w:rPr>
        <w:t xml:space="preserve"> DMU 00.00.00 „Wymagania ogólne” [1] pkt 3.</w:t>
      </w:r>
    </w:p>
    <w:p w:rsidR="00B77F00" w:rsidRDefault="00865FA3">
      <w:pPr>
        <w:pStyle w:val="Spec-num2"/>
        <w:jc w:val="both"/>
      </w:pPr>
      <w:r>
        <w:rPr>
          <w:rStyle w:val="WW-DefaultParagraphFont"/>
          <w:rFonts w:eastAsia="Times New Roman" w:cs="Arial"/>
          <w:lang w:val="pl-PL"/>
        </w:rPr>
        <w:t>3.2. Sprzęt stosowany do wykonania robót</w:t>
      </w:r>
    </w:p>
    <w:p w:rsidR="00B77F00" w:rsidRDefault="00865FA3">
      <w:pPr>
        <w:pStyle w:val="Tekst-specyfikacji"/>
        <w:jc w:val="both"/>
      </w:pPr>
      <w:r>
        <w:rPr>
          <w:rStyle w:val="WW-DefaultParagraphFont"/>
          <w:rFonts w:eastAsia="Times New Roman" w:cs="Arial"/>
          <w:lang w:val="pl-PL"/>
        </w:rPr>
        <w:tab/>
        <w:t>Przy wykonywaniu robót Wykonawca w zależności od potrzeb, powinien wykazać się możliwością korzystania ze sprzętu dostosowanego do przyjętej metody robót, jak:</w:t>
      </w:r>
    </w:p>
    <w:p w:rsidR="00B77F00" w:rsidRDefault="00865FA3">
      <w:pPr>
        <w:pStyle w:val="Tekst-specyfikacji"/>
        <w:numPr>
          <w:ilvl w:val="0"/>
          <w:numId w:val="101"/>
        </w:numPr>
        <w:jc w:val="both"/>
      </w:pPr>
      <w:r>
        <w:rPr>
          <w:rStyle w:val="WW-DefaultParagraphFont"/>
          <w:rFonts w:eastAsia="Times New Roman" w:cs="Arial"/>
          <w:lang w:val="pl-PL"/>
        </w:rPr>
        <w:t xml:space="preserve">wytwórnia </w:t>
      </w:r>
      <w:r>
        <w:rPr>
          <w:rStyle w:val="WW-DefaultParagraphFont"/>
          <w:rFonts w:eastAsia="Times New Roman" w:cs="Arial"/>
          <w:lang w:val="pl-PL"/>
        </w:rPr>
        <w:t>(otaczarka) o mieszaniu cyklicznym lub ciągłym, z automatycznym komputerowym sterowaniem produkcji, do wytwarzania mieszanek mineralno-asfaltowych, z możliwością dozowania stabilizatora mastyksu,</w:t>
      </w:r>
    </w:p>
    <w:p w:rsidR="00B77F00" w:rsidRDefault="00865FA3">
      <w:pPr>
        <w:pStyle w:val="Tekst-specyfikacji"/>
        <w:numPr>
          <w:ilvl w:val="0"/>
          <w:numId w:val="80"/>
        </w:numPr>
        <w:jc w:val="both"/>
      </w:pPr>
      <w:r>
        <w:rPr>
          <w:rStyle w:val="WW-DefaultParagraphFont"/>
          <w:rFonts w:eastAsia="Times New Roman" w:cs="Arial"/>
          <w:lang w:val="pl-PL"/>
        </w:rPr>
        <w:t>układarka gąsienicowa, z elektronicznym sterowaniem równości</w:t>
      </w:r>
      <w:r>
        <w:rPr>
          <w:rStyle w:val="WW-DefaultParagraphFont"/>
          <w:rFonts w:eastAsia="Times New Roman" w:cs="Arial"/>
          <w:lang w:val="pl-PL"/>
        </w:rPr>
        <w:t xml:space="preserve"> układanej warstwy,</w:t>
      </w:r>
    </w:p>
    <w:p w:rsidR="00B77F00" w:rsidRDefault="00865FA3">
      <w:pPr>
        <w:pStyle w:val="Tekst-specyfikacji"/>
        <w:numPr>
          <w:ilvl w:val="0"/>
          <w:numId w:val="80"/>
        </w:numPr>
        <w:jc w:val="both"/>
      </w:pPr>
      <w:r>
        <w:rPr>
          <w:rStyle w:val="WW-DefaultParagraphFont"/>
          <w:rFonts w:eastAsia="Times New Roman" w:cs="Arial"/>
          <w:lang w:val="pl-PL"/>
        </w:rPr>
        <w:t>skrapiarka,</w:t>
      </w:r>
    </w:p>
    <w:p w:rsidR="00B77F00" w:rsidRDefault="00865FA3">
      <w:pPr>
        <w:pStyle w:val="Tekst-specyfikacji"/>
        <w:numPr>
          <w:ilvl w:val="0"/>
          <w:numId w:val="80"/>
        </w:numPr>
        <w:jc w:val="both"/>
      </w:pPr>
      <w:r>
        <w:rPr>
          <w:rStyle w:val="WW-DefaultParagraphFont"/>
          <w:rFonts w:eastAsia="Times New Roman" w:cs="Arial"/>
          <w:lang w:val="pl-PL"/>
        </w:rPr>
        <w:t>walce stalowe gładkie,</w:t>
      </w:r>
    </w:p>
    <w:p w:rsidR="00B77F00" w:rsidRDefault="00865FA3">
      <w:pPr>
        <w:pStyle w:val="Tekst-specyfikacji"/>
        <w:numPr>
          <w:ilvl w:val="0"/>
          <w:numId w:val="80"/>
        </w:numPr>
        <w:jc w:val="both"/>
      </w:pPr>
      <w:r>
        <w:rPr>
          <w:rStyle w:val="WW-DefaultParagraphFont"/>
          <w:rFonts w:eastAsia="Times New Roman" w:cs="Arial"/>
          <w:lang w:val="pl-PL"/>
        </w:rPr>
        <w:t>lekka rozsypywarka kruszywa,</w:t>
      </w:r>
    </w:p>
    <w:p w:rsidR="00B77F00" w:rsidRDefault="00865FA3">
      <w:pPr>
        <w:pStyle w:val="Tekst-specyfikacji"/>
        <w:numPr>
          <w:ilvl w:val="0"/>
          <w:numId w:val="80"/>
        </w:numPr>
        <w:jc w:val="both"/>
      </w:pPr>
      <w:r>
        <w:rPr>
          <w:rStyle w:val="WW-DefaultParagraphFont"/>
          <w:rFonts w:eastAsia="Times New Roman" w:cs="Arial"/>
          <w:lang w:val="pl-PL"/>
        </w:rPr>
        <w:t>szczotki mechaniczne i/lub inne urządzenia czyszczące,</w:t>
      </w:r>
    </w:p>
    <w:p w:rsidR="00B77F00" w:rsidRDefault="00865FA3">
      <w:pPr>
        <w:pStyle w:val="Tekst-specyfikacji"/>
        <w:numPr>
          <w:ilvl w:val="0"/>
          <w:numId w:val="80"/>
        </w:numPr>
        <w:jc w:val="both"/>
      </w:pPr>
      <w:r>
        <w:rPr>
          <w:rStyle w:val="WW-DefaultParagraphFont"/>
          <w:rFonts w:eastAsia="Times New Roman" w:cs="Arial"/>
          <w:lang w:val="pl-PL"/>
        </w:rPr>
        <w:t>samochody samowyładowcze z przykryciem brezentowym lub termosami,</w:t>
      </w:r>
    </w:p>
    <w:p w:rsidR="00B77F00" w:rsidRDefault="00865FA3">
      <w:pPr>
        <w:pStyle w:val="Tekst-specyfikacji"/>
        <w:numPr>
          <w:ilvl w:val="0"/>
          <w:numId w:val="80"/>
        </w:numPr>
        <w:jc w:val="both"/>
      </w:pPr>
      <w:r>
        <w:rPr>
          <w:rStyle w:val="WW-DefaultParagraphFont"/>
          <w:rFonts w:eastAsia="Times New Roman" w:cs="Arial"/>
          <w:lang w:val="pl-PL"/>
        </w:rPr>
        <w:t>sprzęt drobny.</w:t>
      </w:r>
    </w:p>
    <w:p w:rsidR="00B77F00" w:rsidRDefault="00865FA3">
      <w:pPr>
        <w:pStyle w:val="Spec-num1"/>
        <w:rPr>
          <w:bCs/>
          <w:sz w:val="20"/>
          <w:szCs w:val="20"/>
        </w:rPr>
      </w:pPr>
      <w:r>
        <w:rPr>
          <w:bCs/>
          <w:sz w:val="20"/>
          <w:szCs w:val="20"/>
        </w:rPr>
        <w:t>4. TRANSPORT</w:t>
      </w:r>
    </w:p>
    <w:p w:rsidR="00B77F00" w:rsidRDefault="00865FA3">
      <w:pPr>
        <w:pStyle w:val="Spec-num2"/>
        <w:jc w:val="both"/>
      </w:pPr>
      <w:r>
        <w:rPr>
          <w:rStyle w:val="WW-DefaultParagraphFont"/>
          <w:rFonts w:eastAsia="Times New Roman" w:cs="Arial"/>
          <w:lang w:val="pl-PL"/>
        </w:rPr>
        <w:t xml:space="preserve">4.1. Ogólne wymagania </w:t>
      </w:r>
      <w:r>
        <w:rPr>
          <w:rStyle w:val="WW-DefaultParagraphFont"/>
          <w:rFonts w:eastAsia="Times New Roman" w:cs="Arial"/>
          <w:lang w:val="pl-PL"/>
        </w:rPr>
        <w:t>dotyczące transportu</w:t>
      </w:r>
    </w:p>
    <w:p w:rsidR="00B77F00" w:rsidRDefault="00865FA3">
      <w:pPr>
        <w:pStyle w:val="Tekst-specyfikacji"/>
        <w:jc w:val="both"/>
      </w:pPr>
      <w:r>
        <w:rPr>
          <w:rStyle w:val="WW-DefaultParagraphFont"/>
          <w:rFonts w:eastAsia="Times New Roman" w:cs="Arial"/>
          <w:lang w:val="pl-PL"/>
        </w:rPr>
        <w:tab/>
        <w:t>Ogólne wymagania dotyczące transportu podano w ST DMU 00.00.00 „Wymagania ogólne” [1] pkt 4.</w:t>
      </w:r>
      <w:r>
        <w:rPr>
          <w:rStyle w:val="WW-DefaultParagraphFont"/>
          <w:rFonts w:eastAsia="Times New Roman" w:cs="Arial"/>
          <w:lang w:val="pl-PL"/>
        </w:rPr>
        <w:tab/>
      </w:r>
    </w:p>
    <w:p w:rsidR="00B77F00" w:rsidRDefault="00865FA3">
      <w:pPr>
        <w:pStyle w:val="Spec-num2"/>
        <w:jc w:val="both"/>
      </w:pPr>
      <w:r>
        <w:rPr>
          <w:rStyle w:val="WW-DefaultParagraphFont"/>
          <w:rFonts w:eastAsia="Times New Roman" w:cs="Arial"/>
          <w:lang w:val="pl-PL"/>
        </w:rPr>
        <w:t>4.2. Transport materiałów</w:t>
      </w:r>
    </w:p>
    <w:p w:rsidR="00B77F00" w:rsidRDefault="00865FA3">
      <w:pPr>
        <w:pStyle w:val="Tekst-specyfikacji"/>
        <w:jc w:val="both"/>
      </w:pPr>
      <w:r>
        <w:rPr>
          <w:rStyle w:val="WW-DefaultParagraphFont"/>
          <w:rFonts w:eastAsia="Times New Roman" w:cs="Arial"/>
          <w:lang w:val="pl-PL"/>
        </w:rPr>
        <w:tab/>
        <w:t>Asfalt i polimeroasfalt należy przewozić w cysternach kolejowych lub samochodach izolowanych i zaopatrzonych w u</w:t>
      </w:r>
      <w:r>
        <w:rPr>
          <w:rStyle w:val="WW-DefaultParagraphFont"/>
          <w:rFonts w:eastAsia="Times New Roman" w:cs="Arial"/>
          <w:lang w:val="pl-PL"/>
        </w:rPr>
        <w:t>rządzenia umożliwiające pośrednie ogrzewanie oraz w zawory spustowe.</w:t>
      </w:r>
    </w:p>
    <w:p w:rsidR="00B77F00" w:rsidRDefault="00865FA3">
      <w:pPr>
        <w:pStyle w:val="Tekst-specyfikacji"/>
        <w:jc w:val="both"/>
      </w:pPr>
      <w:r>
        <w:rPr>
          <w:rStyle w:val="WW-DefaultParagraphFont"/>
          <w:rFonts w:eastAsia="Times New Roman" w:cs="Arial"/>
          <w:lang w:val="pl-PL"/>
        </w:rPr>
        <w:t>Kruszywa można przewozić dowolnymi środkami transportu, w warunkach zabezpieczających je przed zanieczyszczeniem, zmieszaniem z innymi materiałami i nadmiernym zawilgoceniem.</w:t>
      </w:r>
    </w:p>
    <w:p w:rsidR="00B77F00" w:rsidRDefault="00865FA3">
      <w:pPr>
        <w:pStyle w:val="Tekst-specyfikacji"/>
        <w:jc w:val="both"/>
      </w:pPr>
      <w:r>
        <w:rPr>
          <w:rStyle w:val="WW-DefaultParagraphFont"/>
          <w:rFonts w:eastAsia="Times New Roman" w:cs="Arial"/>
          <w:lang w:val="pl-PL"/>
        </w:rPr>
        <w:t>Wypełniacz n</w:t>
      </w:r>
      <w:r>
        <w:rPr>
          <w:rStyle w:val="WW-DefaultParagraphFont"/>
          <w:rFonts w:eastAsia="Times New Roman" w:cs="Arial"/>
          <w:lang w:val="pl-PL"/>
        </w:rPr>
        <w:t>ależy przewozić w sposób chroniący go przed zawilgoceniem, zbryleniem i zanieczyszczeniem. Wypełniacz luzem powinien być przewożony w odpowiednich cysternach przystosowanych do przewozu materiałów sypkich, umożliwiających rozładunek pneumatyczny.</w:t>
      </w:r>
    </w:p>
    <w:p w:rsidR="00B77F00" w:rsidRDefault="00865FA3">
      <w:pPr>
        <w:pStyle w:val="Tekst-specyfikacji"/>
        <w:jc w:val="both"/>
      </w:pPr>
      <w:r>
        <w:rPr>
          <w:rStyle w:val="WW-DefaultParagraphFont"/>
          <w:rFonts w:eastAsia="Times New Roman" w:cs="Arial"/>
          <w:lang w:val="pl-PL"/>
        </w:rPr>
        <w:t>Emulsja a</w:t>
      </w:r>
      <w:r>
        <w:rPr>
          <w:rStyle w:val="WW-DefaultParagraphFont"/>
          <w:rFonts w:eastAsia="Times New Roman" w:cs="Arial"/>
          <w:lang w:val="pl-PL"/>
        </w:rPr>
        <w:t>sfaltowa może być transportowana w zamkniętych cysternach, autocysternach, beczkach i innych opakowaniach pod warunkiem, że nie będą korodowały pod wpływem emulsji i nie będą powodowały jej rozpadu. Cysterny powinny być wyposażone w przegrody. Nie należy u</w:t>
      </w:r>
      <w:r>
        <w:rPr>
          <w:rStyle w:val="WW-DefaultParagraphFont"/>
          <w:rFonts w:eastAsia="Times New Roman" w:cs="Arial"/>
          <w:lang w:val="pl-PL"/>
        </w:rPr>
        <w:t>żywać do transportu opakowań z metali lekkich (może zachodzić wydzielanie wodoru i groźba wybuchu przy emulsjach o pH ≤ 4).</w:t>
      </w:r>
    </w:p>
    <w:p w:rsidR="00B77F00" w:rsidRDefault="00865FA3">
      <w:pPr>
        <w:pStyle w:val="Tekst-specyfikacji"/>
        <w:jc w:val="both"/>
      </w:pPr>
      <w:r>
        <w:rPr>
          <w:rStyle w:val="WW-DefaultParagraphFont"/>
          <w:rFonts w:eastAsia="Times New Roman" w:cs="Arial"/>
          <w:lang w:val="pl-PL"/>
        </w:rPr>
        <w:t>Mieszankę SMA należy  dowozić na budowę pojazdami samowyładowczymi w zależności od postępu robót. Podczas transportu i postoju przed</w:t>
      </w:r>
      <w:r>
        <w:rPr>
          <w:rStyle w:val="WW-DefaultParagraphFont"/>
          <w:rFonts w:eastAsia="Times New Roman" w:cs="Arial"/>
          <w:lang w:val="pl-PL"/>
        </w:rPr>
        <w:t xml:space="preserve"> wbudowaniem mieszanka powinna być zabezpieczona przed ostygnięciem i dopływem powietrza (przez przykrycie, pojemniki termoizolacyjne lub ogrzewane itp.). Warunki i czas transportu mieszanki, od produkcji do wbudowania, powinna zapewniać utrzymanie tempera</w:t>
      </w:r>
      <w:r>
        <w:rPr>
          <w:rStyle w:val="WW-DefaultParagraphFont"/>
          <w:rFonts w:eastAsia="Times New Roman" w:cs="Arial"/>
          <w:lang w:val="pl-PL"/>
        </w:rPr>
        <w:t>tury w wymaganym przedziale. Powierzchnie pojemników używanych do transportu mieszanki powinny być czyste, a do zwilżania tych powierzchni można używać tylko środki antyadhezyjne niewpływające szkodliwie na mieszankę.</w:t>
      </w:r>
    </w:p>
    <w:p w:rsidR="00B77F00" w:rsidRDefault="00B77F00">
      <w:pPr>
        <w:pStyle w:val="Tekst-specyfikacji"/>
        <w:jc w:val="both"/>
      </w:pPr>
    </w:p>
    <w:p w:rsidR="00B77F00" w:rsidRDefault="00865FA3">
      <w:pPr>
        <w:pStyle w:val="Tekst-specyfikacji"/>
        <w:jc w:val="both"/>
        <w:rPr>
          <w:sz w:val="20"/>
          <w:szCs w:val="20"/>
        </w:rPr>
      </w:pPr>
      <w:r>
        <w:rPr>
          <w:rStyle w:val="WW-DefaultParagraphFont"/>
          <w:rFonts w:eastAsia="Times New Roman" w:cs="Arial"/>
          <w:b/>
          <w:bCs/>
          <w:lang w:val="pl-PL"/>
        </w:rPr>
        <w:lastRenderedPageBreak/>
        <w:t>5. WYKONANIE ROBÓT</w:t>
      </w:r>
    </w:p>
    <w:p w:rsidR="00B77F00" w:rsidRDefault="00865FA3">
      <w:pPr>
        <w:pStyle w:val="Spec-num2"/>
        <w:jc w:val="both"/>
      </w:pPr>
      <w:r>
        <w:rPr>
          <w:rStyle w:val="WW-DefaultParagraphFont"/>
          <w:rFonts w:eastAsia="Times New Roman" w:cs="Arial"/>
          <w:lang w:val="pl-PL"/>
        </w:rPr>
        <w:t>5.1. Ogólne zasady</w:t>
      </w:r>
      <w:r>
        <w:rPr>
          <w:rStyle w:val="WW-DefaultParagraphFont"/>
          <w:rFonts w:eastAsia="Times New Roman" w:cs="Arial"/>
          <w:lang w:val="pl-PL"/>
        </w:rPr>
        <w:t xml:space="preserve"> wykonania robót</w:t>
      </w:r>
    </w:p>
    <w:p w:rsidR="00B77F00" w:rsidRDefault="00865FA3">
      <w:pPr>
        <w:pStyle w:val="Tekst-specyfikacji"/>
        <w:jc w:val="both"/>
      </w:pPr>
      <w:r>
        <w:rPr>
          <w:rStyle w:val="WW-DefaultParagraphFont"/>
          <w:rFonts w:eastAsia="Times New Roman" w:cs="Arial"/>
          <w:lang w:val="pl-PL"/>
        </w:rPr>
        <w:tab/>
        <w:t>Ogólne zasady wykonania robót podano w ST DMU 00.00.00 „Wymagania ogólne” [1] pkt 5.</w:t>
      </w:r>
    </w:p>
    <w:p w:rsidR="00B77F00" w:rsidRDefault="00865FA3">
      <w:pPr>
        <w:pStyle w:val="Spec-num2"/>
        <w:jc w:val="both"/>
      </w:pPr>
      <w:r>
        <w:rPr>
          <w:rStyle w:val="WW-DefaultParagraphFont"/>
          <w:rFonts w:eastAsia="Times New Roman" w:cs="Arial"/>
          <w:lang w:val="pl-PL"/>
        </w:rPr>
        <w:t>5.2. Projektowanie mieszanki SMA</w:t>
      </w:r>
    </w:p>
    <w:p w:rsidR="00B77F00" w:rsidRDefault="00865FA3">
      <w:pPr>
        <w:pStyle w:val="Tekst-specyfikacji"/>
        <w:jc w:val="both"/>
      </w:pPr>
      <w:r>
        <w:rPr>
          <w:rStyle w:val="WW-DefaultParagraphFont"/>
          <w:rFonts w:eastAsia="Times New Roman" w:cs="Arial"/>
          <w:lang w:val="pl-PL"/>
        </w:rPr>
        <w:tab/>
        <w:t>Przed przystąpieniem do robót Wykonawca dostarczy Inżynierowi do akceptacji projekt składu mieszanki SMA.</w:t>
      </w:r>
    </w:p>
    <w:p w:rsidR="00B77F00" w:rsidRDefault="00865FA3">
      <w:pPr>
        <w:pStyle w:val="Tekst-specyfikacji"/>
        <w:jc w:val="both"/>
      </w:pPr>
      <w:r>
        <w:rPr>
          <w:rStyle w:val="WW-DefaultParagraphFont"/>
          <w:rFonts w:eastAsia="Times New Roman" w:cs="Arial"/>
          <w:lang w:val="pl-PL"/>
        </w:rPr>
        <w:tab/>
        <w:t xml:space="preserve">Uziarnienie </w:t>
      </w:r>
      <w:r>
        <w:rPr>
          <w:rStyle w:val="WW-DefaultParagraphFont"/>
          <w:rFonts w:eastAsia="Times New Roman" w:cs="Arial"/>
          <w:lang w:val="pl-PL"/>
        </w:rPr>
        <w:t>mieszanki mineralnej, minimalna zawartość lepiszcza oraz orientacyjna zawartość środka stabilizującego podane są w tablicy 4.</w:t>
      </w:r>
    </w:p>
    <w:p w:rsidR="00B77F00" w:rsidRDefault="00865FA3">
      <w:pPr>
        <w:pStyle w:val="Tekst-specyfikacji"/>
        <w:jc w:val="both"/>
      </w:pPr>
      <w:r>
        <w:rPr>
          <w:rStyle w:val="WW-DefaultParagraphFont"/>
          <w:rFonts w:eastAsia="Times New Roman" w:cs="Arial"/>
          <w:lang w:val="pl-PL"/>
        </w:rPr>
        <w:tab/>
        <w:t>Wymagane właściwości mieszanki SMA podane są w tablicach 5, 6 i 7.</w:t>
      </w:r>
    </w:p>
    <w:p w:rsidR="00B77F00" w:rsidRDefault="00B77F00">
      <w:pPr>
        <w:pStyle w:val="Tekst-specyfikacji"/>
        <w:jc w:val="both"/>
      </w:pPr>
    </w:p>
    <w:p w:rsidR="00B77F00" w:rsidRDefault="00B77F00">
      <w:pPr>
        <w:pStyle w:val="Tekst-specyfikacji"/>
      </w:pPr>
    </w:p>
    <w:p w:rsidR="00B77F00" w:rsidRDefault="00B77F00">
      <w:pPr>
        <w:pStyle w:val="Tekst-specyfikacji"/>
      </w:pPr>
    </w:p>
    <w:p w:rsidR="00B77F00" w:rsidRDefault="00865FA3">
      <w:pPr>
        <w:pStyle w:val="Tekst-specyfikacji"/>
      </w:pPr>
      <w:r>
        <w:t>Tablica 4.</w:t>
      </w:r>
      <w:r>
        <w:tab/>
        <w:t>Uziarnienie mieszanki mineralnej, zawartość lepi</w:t>
      </w:r>
      <w:r>
        <w:t>szcza oraz środka stabilizującego mieszanki SMA do warstwy ścieralnej [65]</w:t>
      </w:r>
    </w:p>
    <w:tbl>
      <w:tblPr>
        <w:tblW w:w="9638" w:type="dxa"/>
        <w:tblLayout w:type="fixed"/>
        <w:tblCellMar>
          <w:left w:w="10" w:type="dxa"/>
          <w:right w:w="10" w:type="dxa"/>
        </w:tblCellMar>
        <w:tblLook w:val="0000" w:firstRow="0" w:lastRow="0" w:firstColumn="0" w:lastColumn="0" w:noHBand="0" w:noVBand="0"/>
      </w:tblPr>
      <w:tblGrid>
        <w:gridCol w:w="3068"/>
        <w:gridCol w:w="823"/>
        <w:gridCol w:w="658"/>
        <w:gridCol w:w="846"/>
        <w:gridCol w:w="846"/>
        <w:gridCol w:w="846"/>
        <w:gridCol w:w="846"/>
        <w:gridCol w:w="846"/>
        <w:gridCol w:w="859"/>
      </w:tblGrid>
      <w:tr w:rsidR="00B77F00">
        <w:tblPrEx>
          <w:tblCellMar>
            <w:top w:w="0" w:type="dxa"/>
            <w:bottom w:w="0" w:type="dxa"/>
          </w:tblCellMar>
        </w:tblPrEx>
        <w:trPr>
          <w:cantSplit/>
        </w:trPr>
        <w:tc>
          <w:tcPr>
            <w:tcW w:w="3066" w:type="dxa"/>
            <w:vMerge w:val="restart"/>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Właściwość</w:t>
            </w:r>
          </w:p>
        </w:tc>
        <w:tc>
          <w:tcPr>
            <w:tcW w:w="6570" w:type="dxa"/>
            <w:gridSpan w:val="8"/>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Przesiew,   [% (m/m)]</w:t>
            </w:r>
          </w:p>
        </w:tc>
      </w:tr>
      <w:tr w:rsidR="00B77F00">
        <w:tblPrEx>
          <w:tblCellMar>
            <w:top w:w="0" w:type="dxa"/>
            <w:bottom w:w="0" w:type="dxa"/>
          </w:tblCellMar>
        </w:tblPrEx>
        <w:trPr>
          <w:cantSplit/>
        </w:trPr>
        <w:tc>
          <w:tcPr>
            <w:tcW w:w="3066" w:type="dxa"/>
            <w:vMerge/>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000000" w:rsidRDefault="00865FA3"/>
        </w:tc>
        <w:tc>
          <w:tcPr>
            <w:tcW w:w="1481"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SMA 5</w:t>
            </w:r>
          </w:p>
          <w:p w:rsidR="00B77F00" w:rsidRDefault="00865FA3">
            <w:pPr>
              <w:pStyle w:val="Tekst-spec-w-tabeli"/>
            </w:pPr>
            <w:r>
              <w:t>KR1-KR4</w:t>
            </w:r>
          </w:p>
        </w:tc>
        <w:tc>
          <w:tcPr>
            <w:tcW w:w="1692"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SMA 8</w:t>
            </w:r>
          </w:p>
          <w:p w:rsidR="00B77F00" w:rsidRDefault="00865FA3">
            <w:pPr>
              <w:pStyle w:val="Tekst-spec-w-tabeli"/>
            </w:pPr>
            <w:r>
              <w:t>KR1-KR7</w:t>
            </w:r>
          </w:p>
        </w:tc>
        <w:tc>
          <w:tcPr>
            <w:tcW w:w="1692"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SMA 11</w:t>
            </w:r>
          </w:p>
          <w:p w:rsidR="00B77F00" w:rsidRDefault="00865FA3">
            <w:pPr>
              <w:pStyle w:val="Tekst-spec-w-tabeli"/>
            </w:pPr>
            <w:r>
              <w:t>KR3-KR4</w:t>
            </w:r>
          </w:p>
        </w:tc>
        <w:tc>
          <w:tcPr>
            <w:tcW w:w="1705"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SMA 11</w:t>
            </w:r>
          </w:p>
          <w:p w:rsidR="00B77F00" w:rsidRDefault="00865FA3">
            <w:pPr>
              <w:pStyle w:val="Tekst-spec-w-tabeli"/>
            </w:pPr>
            <w:r>
              <w:t>KR5-KR7</w:t>
            </w:r>
          </w:p>
        </w:tc>
      </w:tr>
      <w:tr w:rsidR="00B77F00">
        <w:tblPrEx>
          <w:tblCellMar>
            <w:top w:w="0" w:type="dxa"/>
            <w:bottom w:w="0" w:type="dxa"/>
          </w:tblCellMar>
        </w:tblPrEx>
        <w:tc>
          <w:tcPr>
            <w:tcW w:w="3066"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Wymiar sita #, [mm]</w:t>
            </w:r>
          </w:p>
        </w:tc>
        <w:tc>
          <w:tcPr>
            <w:tcW w:w="823"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od</w:t>
            </w:r>
          </w:p>
        </w:tc>
        <w:tc>
          <w:tcPr>
            <w:tcW w:w="658"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do</w:t>
            </w:r>
          </w:p>
        </w:tc>
        <w:tc>
          <w:tcPr>
            <w:tcW w:w="846"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od</w:t>
            </w:r>
          </w:p>
        </w:tc>
        <w:tc>
          <w:tcPr>
            <w:tcW w:w="846"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do</w:t>
            </w:r>
          </w:p>
        </w:tc>
        <w:tc>
          <w:tcPr>
            <w:tcW w:w="846"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od</w:t>
            </w:r>
          </w:p>
        </w:tc>
        <w:tc>
          <w:tcPr>
            <w:tcW w:w="846"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do</w:t>
            </w:r>
          </w:p>
        </w:tc>
        <w:tc>
          <w:tcPr>
            <w:tcW w:w="846"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od</w:t>
            </w:r>
          </w:p>
        </w:tc>
        <w:tc>
          <w:tcPr>
            <w:tcW w:w="8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do</w:t>
            </w:r>
          </w:p>
        </w:tc>
      </w:tr>
      <w:tr w:rsidR="00B77F00">
        <w:tblPrEx>
          <w:tblCellMar>
            <w:top w:w="0" w:type="dxa"/>
            <w:bottom w:w="0" w:type="dxa"/>
          </w:tblCellMar>
        </w:tblPrEx>
        <w:tc>
          <w:tcPr>
            <w:tcW w:w="3066"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16</w:t>
            </w:r>
          </w:p>
        </w:tc>
        <w:tc>
          <w:tcPr>
            <w:tcW w:w="823"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w:t>
            </w:r>
          </w:p>
        </w:tc>
        <w:tc>
          <w:tcPr>
            <w:tcW w:w="658"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w:t>
            </w:r>
          </w:p>
        </w:tc>
        <w:tc>
          <w:tcPr>
            <w:tcW w:w="846"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w:t>
            </w:r>
          </w:p>
        </w:tc>
        <w:tc>
          <w:tcPr>
            <w:tcW w:w="846"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w:t>
            </w:r>
          </w:p>
        </w:tc>
        <w:tc>
          <w:tcPr>
            <w:tcW w:w="846"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100</w:t>
            </w:r>
          </w:p>
        </w:tc>
        <w:tc>
          <w:tcPr>
            <w:tcW w:w="846"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w:t>
            </w:r>
          </w:p>
        </w:tc>
        <w:tc>
          <w:tcPr>
            <w:tcW w:w="846"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100</w:t>
            </w:r>
          </w:p>
        </w:tc>
        <w:tc>
          <w:tcPr>
            <w:tcW w:w="8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w:t>
            </w:r>
          </w:p>
        </w:tc>
      </w:tr>
      <w:tr w:rsidR="00B77F00">
        <w:tblPrEx>
          <w:tblCellMar>
            <w:top w:w="0" w:type="dxa"/>
            <w:bottom w:w="0" w:type="dxa"/>
          </w:tblCellMar>
        </w:tblPrEx>
        <w:tc>
          <w:tcPr>
            <w:tcW w:w="3066"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11,2</w:t>
            </w:r>
          </w:p>
        </w:tc>
        <w:tc>
          <w:tcPr>
            <w:tcW w:w="823"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w:t>
            </w:r>
          </w:p>
        </w:tc>
        <w:tc>
          <w:tcPr>
            <w:tcW w:w="658"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w:t>
            </w:r>
          </w:p>
        </w:tc>
        <w:tc>
          <w:tcPr>
            <w:tcW w:w="846"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100</w:t>
            </w:r>
          </w:p>
        </w:tc>
        <w:tc>
          <w:tcPr>
            <w:tcW w:w="846"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w:t>
            </w:r>
          </w:p>
        </w:tc>
        <w:tc>
          <w:tcPr>
            <w:tcW w:w="846"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90</w:t>
            </w:r>
          </w:p>
        </w:tc>
        <w:tc>
          <w:tcPr>
            <w:tcW w:w="846"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100</w:t>
            </w:r>
          </w:p>
        </w:tc>
        <w:tc>
          <w:tcPr>
            <w:tcW w:w="846"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90</w:t>
            </w:r>
          </w:p>
        </w:tc>
        <w:tc>
          <w:tcPr>
            <w:tcW w:w="8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100</w:t>
            </w:r>
          </w:p>
        </w:tc>
      </w:tr>
      <w:tr w:rsidR="00B77F00">
        <w:tblPrEx>
          <w:tblCellMar>
            <w:top w:w="0" w:type="dxa"/>
            <w:bottom w:w="0" w:type="dxa"/>
          </w:tblCellMar>
        </w:tblPrEx>
        <w:tc>
          <w:tcPr>
            <w:tcW w:w="3066"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8</w:t>
            </w:r>
          </w:p>
        </w:tc>
        <w:tc>
          <w:tcPr>
            <w:tcW w:w="823"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100</w:t>
            </w:r>
          </w:p>
        </w:tc>
        <w:tc>
          <w:tcPr>
            <w:tcW w:w="658"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w:t>
            </w:r>
          </w:p>
        </w:tc>
        <w:tc>
          <w:tcPr>
            <w:tcW w:w="846"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90</w:t>
            </w:r>
          </w:p>
        </w:tc>
        <w:tc>
          <w:tcPr>
            <w:tcW w:w="846"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100</w:t>
            </w:r>
          </w:p>
        </w:tc>
        <w:tc>
          <w:tcPr>
            <w:tcW w:w="846"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50</w:t>
            </w:r>
          </w:p>
        </w:tc>
        <w:tc>
          <w:tcPr>
            <w:tcW w:w="846"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65</w:t>
            </w:r>
          </w:p>
        </w:tc>
        <w:tc>
          <w:tcPr>
            <w:tcW w:w="846"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50</w:t>
            </w:r>
          </w:p>
        </w:tc>
        <w:tc>
          <w:tcPr>
            <w:tcW w:w="8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65</w:t>
            </w:r>
          </w:p>
        </w:tc>
      </w:tr>
      <w:tr w:rsidR="00B77F00">
        <w:tblPrEx>
          <w:tblCellMar>
            <w:top w:w="0" w:type="dxa"/>
            <w:bottom w:w="0" w:type="dxa"/>
          </w:tblCellMar>
        </w:tblPrEx>
        <w:tc>
          <w:tcPr>
            <w:tcW w:w="3066"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5,6</w:t>
            </w:r>
          </w:p>
        </w:tc>
        <w:tc>
          <w:tcPr>
            <w:tcW w:w="823"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90</w:t>
            </w:r>
          </w:p>
        </w:tc>
        <w:tc>
          <w:tcPr>
            <w:tcW w:w="658"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100</w:t>
            </w:r>
          </w:p>
        </w:tc>
        <w:tc>
          <w:tcPr>
            <w:tcW w:w="846"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35</w:t>
            </w:r>
          </w:p>
        </w:tc>
        <w:tc>
          <w:tcPr>
            <w:tcW w:w="846"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60</w:t>
            </w:r>
          </w:p>
        </w:tc>
        <w:tc>
          <w:tcPr>
            <w:tcW w:w="846"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35</w:t>
            </w:r>
          </w:p>
        </w:tc>
        <w:tc>
          <w:tcPr>
            <w:tcW w:w="846"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45</w:t>
            </w:r>
          </w:p>
        </w:tc>
        <w:tc>
          <w:tcPr>
            <w:tcW w:w="846"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35</w:t>
            </w:r>
          </w:p>
        </w:tc>
        <w:tc>
          <w:tcPr>
            <w:tcW w:w="8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45</w:t>
            </w:r>
          </w:p>
        </w:tc>
      </w:tr>
      <w:tr w:rsidR="00B77F00">
        <w:tblPrEx>
          <w:tblCellMar>
            <w:top w:w="0" w:type="dxa"/>
            <w:bottom w:w="0" w:type="dxa"/>
          </w:tblCellMar>
        </w:tblPrEx>
        <w:tc>
          <w:tcPr>
            <w:tcW w:w="3066"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2</w:t>
            </w:r>
          </w:p>
        </w:tc>
        <w:tc>
          <w:tcPr>
            <w:tcW w:w="823"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30</w:t>
            </w:r>
          </w:p>
        </w:tc>
        <w:tc>
          <w:tcPr>
            <w:tcW w:w="658"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40</w:t>
            </w:r>
          </w:p>
        </w:tc>
        <w:tc>
          <w:tcPr>
            <w:tcW w:w="846"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20</w:t>
            </w:r>
          </w:p>
        </w:tc>
        <w:tc>
          <w:tcPr>
            <w:tcW w:w="846"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30</w:t>
            </w:r>
          </w:p>
        </w:tc>
        <w:tc>
          <w:tcPr>
            <w:tcW w:w="846"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20</w:t>
            </w:r>
          </w:p>
        </w:tc>
        <w:tc>
          <w:tcPr>
            <w:tcW w:w="846"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30</w:t>
            </w:r>
          </w:p>
        </w:tc>
        <w:tc>
          <w:tcPr>
            <w:tcW w:w="846"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20</w:t>
            </w:r>
          </w:p>
        </w:tc>
        <w:tc>
          <w:tcPr>
            <w:tcW w:w="8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30</w:t>
            </w:r>
          </w:p>
        </w:tc>
      </w:tr>
      <w:tr w:rsidR="00B77F00">
        <w:tblPrEx>
          <w:tblCellMar>
            <w:top w:w="0" w:type="dxa"/>
            <w:bottom w:w="0" w:type="dxa"/>
          </w:tblCellMar>
        </w:tblPrEx>
        <w:tc>
          <w:tcPr>
            <w:tcW w:w="3066"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0,125</w:t>
            </w:r>
          </w:p>
        </w:tc>
        <w:tc>
          <w:tcPr>
            <w:tcW w:w="823"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10</w:t>
            </w:r>
          </w:p>
        </w:tc>
        <w:tc>
          <w:tcPr>
            <w:tcW w:w="658"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19</w:t>
            </w:r>
          </w:p>
        </w:tc>
        <w:tc>
          <w:tcPr>
            <w:tcW w:w="846"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9</w:t>
            </w:r>
          </w:p>
        </w:tc>
        <w:tc>
          <w:tcPr>
            <w:tcW w:w="846"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17</w:t>
            </w:r>
          </w:p>
        </w:tc>
        <w:tc>
          <w:tcPr>
            <w:tcW w:w="846"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9</w:t>
            </w:r>
          </w:p>
        </w:tc>
        <w:tc>
          <w:tcPr>
            <w:tcW w:w="846"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17</w:t>
            </w:r>
          </w:p>
        </w:tc>
        <w:tc>
          <w:tcPr>
            <w:tcW w:w="846"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9</w:t>
            </w:r>
          </w:p>
        </w:tc>
        <w:tc>
          <w:tcPr>
            <w:tcW w:w="8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17</w:t>
            </w:r>
          </w:p>
        </w:tc>
      </w:tr>
      <w:tr w:rsidR="00B77F00">
        <w:tblPrEx>
          <w:tblCellMar>
            <w:top w:w="0" w:type="dxa"/>
            <w:bottom w:w="0" w:type="dxa"/>
          </w:tblCellMar>
        </w:tblPrEx>
        <w:tc>
          <w:tcPr>
            <w:tcW w:w="3066"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0,063</w:t>
            </w:r>
          </w:p>
        </w:tc>
        <w:tc>
          <w:tcPr>
            <w:tcW w:w="823"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7,0</w:t>
            </w:r>
          </w:p>
        </w:tc>
        <w:tc>
          <w:tcPr>
            <w:tcW w:w="658"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1,5</w:t>
            </w:r>
          </w:p>
        </w:tc>
        <w:tc>
          <w:tcPr>
            <w:tcW w:w="846"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7,0</w:t>
            </w:r>
          </w:p>
        </w:tc>
        <w:tc>
          <w:tcPr>
            <w:tcW w:w="846"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12,0</w:t>
            </w:r>
          </w:p>
        </w:tc>
        <w:tc>
          <w:tcPr>
            <w:tcW w:w="846"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8,0</w:t>
            </w:r>
          </w:p>
        </w:tc>
        <w:tc>
          <w:tcPr>
            <w:tcW w:w="846"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12,0</w:t>
            </w:r>
          </w:p>
        </w:tc>
        <w:tc>
          <w:tcPr>
            <w:tcW w:w="846"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8,0</w:t>
            </w:r>
          </w:p>
        </w:tc>
        <w:tc>
          <w:tcPr>
            <w:tcW w:w="8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12,0</w:t>
            </w:r>
          </w:p>
        </w:tc>
      </w:tr>
      <w:tr w:rsidR="00B77F00">
        <w:tblPrEx>
          <w:tblCellMar>
            <w:top w:w="0" w:type="dxa"/>
            <w:bottom w:w="0" w:type="dxa"/>
          </w:tblCellMar>
        </w:tblPrEx>
        <w:tc>
          <w:tcPr>
            <w:tcW w:w="3066"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Zawartość środka stabilizującego [%(m/m)]</w:t>
            </w:r>
          </w:p>
        </w:tc>
        <w:tc>
          <w:tcPr>
            <w:tcW w:w="823"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0,3</w:t>
            </w:r>
          </w:p>
        </w:tc>
        <w:tc>
          <w:tcPr>
            <w:tcW w:w="658"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1,5</w:t>
            </w:r>
          </w:p>
        </w:tc>
        <w:tc>
          <w:tcPr>
            <w:tcW w:w="846"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0,3</w:t>
            </w:r>
          </w:p>
        </w:tc>
        <w:tc>
          <w:tcPr>
            <w:tcW w:w="846"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1,5</w:t>
            </w:r>
          </w:p>
        </w:tc>
        <w:tc>
          <w:tcPr>
            <w:tcW w:w="846"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0,3</w:t>
            </w:r>
          </w:p>
        </w:tc>
        <w:tc>
          <w:tcPr>
            <w:tcW w:w="846"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1,5</w:t>
            </w:r>
          </w:p>
        </w:tc>
        <w:tc>
          <w:tcPr>
            <w:tcW w:w="846"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0,3</w:t>
            </w:r>
          </w:p>
        </w:tc>
        <w:tc>
          <w:tcPr>
            <w:tcW w:w="8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77F00" w:rsidRDefault="00865FA3">
            <w:pPr>
              <w:pStyle w:val="Tekst-spec-w-tabeli"/>
            </w:pPr>
            <w:r>
              <w:t>1,5</w:t>
            </w:r>
          </w:p>
        </w:tc>
      </w:tr>
      <w:tr w:rsidR="00B77F00">
        <w:tblPrEx>
          <w:tblCellMar>
            <w:top w:w="0" w:type="dxa"/>
            <w:bottom w:w="0" w:type="dxa"/>
          </w:tblCellMar>
        </w:tblPrEx>
        <w:tc>
          <w:tcPr>
            <w:tcW w:w="3066"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 xml:space="preserve">Zawartość </w:t>
            </w:r>
            <w:r>
              <w:t>lepiszcza, minimum</w:t>
            </w:r>
          </w:p>
        </w:tc>
        <w:tc>
          <w:tcPr>
            <w:tcW w:w="1481" w:type="dxa"/>
            <w:gridSpan w:val="2"/>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Bmin7,4</w:t>
            </w:r>
          </w:p>
        </w:tc>
        <w:tc>
          <w:tcPr>
            <w:tcW w:w="1692" w:type="dxa"/>
            <w:gridSpan w:val="2"/>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Bmin7,2</w:t>
            </w:r>
          </w:p>
        </w:tc>
        <w:tc>
          <w:tcPr>
            <w:tcW w:w="1692" w:type="dxa"/>
            <w:gridSpan w:val="2"/>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Bmin6,6</w:t>
            </w:r>
          </w:p>
        </w:tc>
        <w:tc>
          <w:tcPr>
            <w:tcW w:w="1705"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77F00" w:rsidRDefault="00865FA3">
            <w:pPr>
              <w:pStyle w:val="Tekst-spec-w-tabeli"/>
            </w:pPr>
            <w:r>
              <w:t>Bmin6,6</w:t>
            </w:r>
          </w:p>
        </w:tc>
      </w:tr>
    </w:tbl>
    <w:p w:rsidR="00B77F00" w:rsidRDefault="00B77F00">
      <w:pPr>
        <w:pStyle w:val="Tekst-specyfikacji"/>
      </w:pPr>
    </w:p>
    <w:p w:rsidR="00B77F00" w:rsidRDefault="00B77F00">
      <w:pPr>
        <w:pStyle w:val="Tekst-specyfikacji"/>
      </w:pPr>
    </w:p>
    <w:p w:rsidR="00B77F00" w:rsidRDefault="00B77F00">
      <w:pPr>
        <w:pStyle w:val="Tekst-specyfikacji"/>
      </w:pPr>
    </w:p>
    <w:p w:rsidR="00B77F00" w:rsidRDefault="00865FA3">
      <w:pPr>
        <w:pStyle w:val="Tekst-specyfikacji"/>
      </w:pPr>
      <w:r>
        <w:t>Tablica 5.</w:t>
      </w:r>
      <w:r>
        <w:tab/>
        <w:t>Wymagane właściwości mieszanki SMA do warstwy ścieralnej,</w:t>
      </w:r>
    </w:p>
    <w:p w:rsidR="00B77F00" w:rsidRDefault="00865FA3">
      <w:pPr>
        <w:pStyle w:val="Tekst-specyfikacji"/>
      </w:pPr>
      <w:r>
        <w:t>przy ruchu KR1 ÷ KR2 [65]</w:t>
      </w:r>
    </w:p>
    <w:tbl>
      <w:tblPr>
        <w:tblW w:w="9638" w:type="dxa"/>
        <w:tblLayout w:type="fixed"/>
        <w:tblCellMar>
          <w:left w:w="10" w:type="dxa"/>
          <w:right w:w="10" w:type="dxa"/>
        </w:tblCellMar>
        <w:tblLook w:val="0000" w:firstRow="0" w:lastRow="0" w:firstColumn="0" w:lastColumn="0" w:noHBand="0" w:noVBand="0"/>
      </w:tblPr>
      <w:tblGrid>
        <w:gridCol w:w="2380"/>
        <w:gridCol w:w="1680"/>
        <w:gridCol w:w="3855"/>
        <w:gridCol w:w="841"/>
        <w:gridCol w:w="882"/>
      </w:tblGrid>
      <w:tr w:rsidR="00B77F00">
        <w:tblPrEx>
          <w:tblCellMar>
            <w:top w:w="0" w:type="dxa"/>
            <w:bottom w:w="0" w:type="dxa"/>
          </w:tblCellMar>
        </w:tblPrEx>
        <w:tc>
          <w:tcPr>
            <w:tcW w:w="2380"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Właściwość</w:t>
            </w:r>
          </w:p>
        </w:tc>
        <w:tc>
          <w:tcPr>
            <w:tcW w:w="1680"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Warunki zagęszczania wg PN-EN</w:t>
            </w:r>
          </w:p>
          <w:p w:rsidR="00B77F00" w:rsidRDefault="00865FA3">
            <w:pPr>
              <w:pStyle w:val="Tekst-spec-w-tabeli"/>
            </w:pPr>
            <w:r>
              <w:t>13108-20  [48]</w:t>
            </w:r>
          </w:p>
        </w:tc>
        <w:tc>
          <w:tcPr>
            <w:tcW w:w="3855"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Metoda i warunki badania</w:t>
            </w:r>
          </w:p>
        </w:tc>
        <w:tc>
          <w:tcPr>
            <w:tcW w:w="841"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SMA 5</w:t>
            </w:r>
          </w:p>
        </w:tc>
        <w:tc>
          <w:tcPr>
            <w:tcW w:w="88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77F00" w:rsidRDefault="00865FA3">
            <w:pPr>
              <w:pStyle w:val="Tekst-spec-w-tabeli"/>
            </w:pPr>
            <w:r>
              <w:t>SMA 8</w:t>
            </w:r>
          </w:p>
        </w:tc>
      </w:tr>
      <w:tr w:rsidR="00B77F00">
        <w:tblPrEx>
          <w:tblCellMar>
            <w:top w:w="0" w:type="dxa"/>
            <w:bottom w:w="0" w:type="dxa"/>
          </w:tblCellMar>
        </w:tblPrEx>
        <w:tc>
          <w:tcPr>
            <w:tcW w:w="238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 xml:space="preserve">Zawartość </w:t>
            </w:r>
            <w:r>
              <w:t>wolnych przestrzeni</w:t>
            </w:r>
          </w:p>
        </w:tc>
        <w:tc>
          <w:tcPr>
            <w:tcW w:w="168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C.1.2,ubijanie, 2×50 uderzeń</w:t>
            </w:r>
          </w:p>
        </w:tc>
        <w:tc>
          <w:tcPr>
            <w:tcW w:w="3855"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PN-EN 12697-8 [33], p. 4</w:t>
            </w:r>
          </w:p>
        </w:tc>
        <w:tc>
          <w:tcPr>
            <w:tcW w:w="841"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Vmin1,5</w:t>
            </w:r>
          </w:p>
          <w:p w:rsidR="00B77F00" w:rsidRDefault="00865FA3">
            <w:pPr>
              <w:pStyle w:val="Tekst-spec-w-tabeli"/>
            </w:pPr>
            <w:r>
              <w:t>Vmax3,0</w:t>
            </w:r>
          </w:p>
        </w:tc>
        <w:tc>
          <w:tcPr>
            <w:tcW w:w="88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Vmin1,5</w:t>
            </w:r>
          </w:p>
          <w:p w:rsidR="00B77F00" w:rsidRDefault="00865FA3">
            <w:pPr>
              <w:pStyle w:val="Tekst-spec-w-tabeli"/>
            </w:pPr>
            <w:r>
              <w:t>Vmax3,0</w:t>
            </w:r>
          </w:p>
        </w:tc>
      </w:tr>
      <w:tr w:rsidR="00B77F00">
        <w:tblPrEx>
          <w:tblCellMar>
            <w:top w:w="0" w:type="dxa"/>
            <w:bottom w:w="0" w:type="dxa"/>
          </w:tblCellMar>
        </w:tblPrEx>
        <w:tc>
          <w:tcPr>
            <w:tcW w:w="2380"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Wrażliwość na działanie wody</w:t>
            </w:r>
          </w:p>
        </w:tc>
        <w:tc>
          <w:tcPr>
            <w:tcW w:w="1680"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C.1.1,ubijanie, 2×35 uderzeń</w:t>
            </w:r>
          </w:p>
        </w:tc>
        <w:tc>
          <w:tcPr>
            <w:tcW w:w="3855"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PN-EN 12697-12 [35], przechowywanie w 40°C z jednym cyklem zamrażania,</w:t>
            </w:r>
          </w:p>
          <w:p w:rsidR="00B77F00" w:rsidRDefault="00865FA3">
            <w:pPr>
              <w:pStyle w:val="Tekst-spec-w-tabeli"/>
            </w:pPr>
            <w:r>
              <w:t>badanie w 25°C</w:t>
            </w:r>
          </w:p>
        </w:tc>
        <w:tc>
          <w:tcPr>
            <w:tcW w:w="841"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ITSR90</w:t>
            </w:r>
          </w:p>
        </w:tc>
        <w:tc>
          <w:tcPr>
            <w:tcW w:w="88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77F00" w:rsidRDefault="00865FA3">
            <w:pPr>
              <w:pStyle w:val="Tekst-spec-w-tabeli"/>
            </w:pPr>
            <w:r>
              <w:t>ITSR90</w:t>
            </w:r>
          </w:p>
        </w:tc>
      </w:tr>
      <w:tr w:rsidR="00B77F00">
        <w:tblPrEx>
          <w:tblCellMar>
            <w:top w:w="0" w:type="dxa"/>
            <w:bottom w:w="0" w:type="dxa"/>
          </w:tblCellMar>
        </w:tblPrEx>
        <w:tc>
          <w:tcPr>
            <w:tcW w:w="238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Spływność lepiszcza</w:t>
            </w:r>
          </w:p>
        </w:tc>
        <w:tc>
          <w:tcPr>
            <w:tcW w:w="168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w:t>
            </w:r>
          </w:p>
        </w:tc>
        <w:tc>
          <w:tcPr>
            <w:tcW w:w="3855"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PN-EN 12697-18 [37], p. 5</w:t>
            </w:r>
          </w:p>
        </w:tc>
        <w:tc>
          <w:tcPr>
            <w:tcW w:w="841"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D0,3</w:t>
            </w:r>
          </w:p>
        </w:tc>
        <w:tc>
          <w:tcPr>
            <w:tcW w:w="88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D0,3</w:t>
            </w:r>
          </w:p>
        </w:tc>
      </w:tr>
    </w:tbl>
    <w:p w:rsidR="00B77F00" w:rsidRDefault="00B77F00">
      <w:pPr>
        <w:pStyle w:val="Tekst-specyfikacji"/>
      </w:pPr>
    </w:p>
    <w:p w:rsidR="00B77F00" w:rsidRDefault="00865FA3">
      <w:pPr>
        <w:pStyle w:val="Tekst-specyfikacji"/>
      </w:pPr>
      <w:r>
        <w:t>Tablica 6.</w:t>
      </w:r>
      <w:r>
        <w:tab/>
        <w:t>Wymagane właściwości mieszanki SMA do warstwy ścieralnej,</w:t>
      </w:r>
    </w:p>
    <w:p w:rsidR="00B77F00" w:rsidRDefault="00865FA3">
      <w:pPr>
        <w:pStyle w:val="Tekst-specyfikacji"/>
      </w:pPr>
      <w:r>
        <w:t>przy ruchu KR3 ÷ KR4 [65]</w:t>
      </w:r>
    </w:p>
    <w:tbl>
      <w:tblPr>
        <w:tblW w:w="9638" w:type="dxa"/>
        <w:tblLayout w:type="fixed"/>
        <w:tblCellMar>
          <w:left w:w="10" w:type="dxa"/>
          <w:right w:w="10" w:type="dxa"/>
        </w:tblCellMar>
        <w:tblLook w:val="0000" w:firstRow="0" w:lastRow="0" w:firstColumn="0" w:lastColumn="0" w:noHBand="0" w:noVBand="0"/>
      </w:tblPr>
      <w:tblGrid>
        <w:gridCol w:w="1899"/>
        <w:gridCol w:w="1891"/>
        <w:gridCol w:w="1990"/>
        <w:gridCol w:w="1294"/>
        <w:gridCol w:w="1260"/>
        <w:gridCol w:w="1304"/>
      </w:tblGrid>
      <w:tr w:rsidR="00B77F00">
        <w:tblPrEx>
          <w:tblCellMar>
            <w:top w:w="0" w:type="dxa"/>
            <w:bottom w:w="0" w:type="dxa"/>
          </w:tblCellMar>
        </w:tblPrEx>
        <w:tc>
          <w:tcPr>
            <w:tcW w:w="1899"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Właściwość</w:t>
            </w:r>
          </w:p>
        </w:tc>
        <w:tc>
          <w:tcPr>
            <w:tcW w:w="1891"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Warunki zagęszczania wg PN-EN</w:t>
            </w:r>
          </w:p>
          <w:p w:rsidR="00B77F00" w:rsidRDefault="00865FA3">
            <w:pPr>
              <w:pStyle w:val="Tekst-spec-w-tabeli"/>
            </w:pPr>
            <w:r>
              <w:t>13108-20 [48]</w:t>
            </w:r>
          </w:p>
        </w:tc>
        <w:tc>
          <w:tcPr>
            <w:tcW w:w="1990"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Metoda i warunki badania</w:t>
            </w:r>
          </w:p>
        </w:tc>
        <w:tc>
          <w:tcPr>
            <w:tcW w:w="1294"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 xml:space="preserve">SMA </w:t>
            </w:r>
            <w:r>
              <w:t>5</w:t>
            </w:r>
          </w:p>
        </w:tc>
        <w:tc>
          <w:tcPr>
            <w:tcW w:w="1260"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 xml:space="preserve"> SMA 8</w:t>
            </w:r>
          </w:p>
        </w:tc>
        <w:tc>
          <w:tcPr>
            <w:tcW w:w="130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77F00" w:rsidRDefault="00865FA3">
            <w:pPr>
              <w:pStyle w:val="Tekst-spec-w-tabeli"/>
            </w:pPr>
            <w:r>
              <w:t>SMA 11</w:t>
            </w:r>
          </w:p>
        </w:tc>
      </w:tr>
      <w:tr w:rsidR="00B77F00">
        <w:tblPrEx>
          <w:tblCellMar>
            <w:top w:w="0" w:type="dxa"/>
            <w:bottom w:w="0" w:type="dxa"/>
          </w:tblCellMar>
        </w:tblPrEx>
        <w:tc>
          <w:tcPr>
            <w:tcW w:w="1899"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Zawartość wolnych przestrzeni</w:t>
            </w:r>
          </w:p>
        </w:tc>
        <w:tc>
          <w:tcPr>
            <w:tcW w:w="1891"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C.1.2,ubijanie, 2×50 uderzeń</w:t>
            </w:r>
          </w:p>
        </w:tc>
        <w:tc>
          <w:tcPr>
            <w:tcW w:w="1990"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PN-EN 12697-8 [33], p. 4</w:t>
            </w:r>
          </w:p>
        </w:tc>
        <w:tc>
          <w:tcPr>
            <w:tcW w:w="1294"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Vmin1,5</w:t>
            </w:r>
          </w:p>
          <w:p w:rsidR="00B77F00" w:rsidRDefault="00865FA3">
            <w:pPr>
              <w:pStyle w:val="Tekst-spec-w-tabeli"/>
            </w:pPr>
            <w:r>
              <w:t>Vmax3,0</w:t>
            </w:r>
          </w:p>
        </w:tc>
        <w:tc>
          <w:tcPr>
            <w:tcW w:w="1260"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Vmin1,5</w:t>
            </w:r>
          </w:p>
          <w:p w:rsidR="00B77F00" w:rsidRDefault="00865FA3">
            <w:pPr>
              <w:pStyle w:val="Tekst-spec-w-tabeli"/>
            </w:pPr>
            <w:r>
              <w:t>Vmax3,0</w:t>
            </w:r>
          </w:p>
        </w:tc>
        <w:tc>
          <w:tcPr>
            <w:tcW w:w="130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77F00" w:rsidRDefault="00865FA3">
            <w:pPr>
              <w:pStyle w:val="Tekst-spec-w-tabeli"/>
            </w:pPr>
            <w:r>
              <w:t>Vmin1,5</w:t>
            </w:r>
          </w:p>
          <w:p w:rsidR="00B77F00" w:rsidRDefault="00865FA3">
            <w:pPr>
              <w:pStyle w:val="Tekst-spec-w-tabeli"/>
            </w:pPr>
            <w:r>
              <w:t>Vmax3,0</w:t>
            </w:r>
          </w:p>
        </w:tc>
      </w:tr>
      <w:tr w:rsidR="00B77F00">
        <w:tblPrEx>
          <w:tblCellMar>
            <w:top w:w="0" w:type="dxa"/>
            <w:bottom w:w="0" w:type="dxa"/>
          </w:tblCellMar>
        </w:tblPrEx>
        <w:tc>
          <w:tcPr>
            <w:tcW w:w="1899"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Odporność na deformacje trwałe</w:t>
            </w:r>
          </w:p>
        </w:tc>
        <w:tc>
          <w:tcPr>
            <w:tcW w:w="1891"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C.1.20, wałowanie,</w:t>
            </w:r>
          </w:p>
          <w:p w:rsidR="00B77F00" w:rsidRDefault="00865FA3">
            <w:pPr>
              <w:pStyle w:val="Tekst-spec-w-tabeli"/>
            </w:pPr>
            <w:r>
              <w:t>P98-P100</w:t>
            </w:r>
          </w:p>
        </w:tc>
        <w:tc>
          <w:tcPr>
            <w:tcW w:w="1990"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PN-EN 12697-22 [38],</w:t>
            </w:r>
          </w:p>
          <w:p w:rsidR="00B77F00" w:rsidRDefault="00865FA3">
            <w:pPr>
              <w:pStyle w:val="Tekst-spec-w-tabeli"/>
            </w:pPr>
            <w:r>
              <w:t>metoda B w powietrzu,</w:t>
            </w:r>
          </w:p>
          <w:p w:rsidR="00B77F00" w:rsidRDefault="00865FA3">
            <w:pPr>
              <w:pStyle w:val="Tekst-spec-w-tabeli"/>
            </w:pPr>
            <w:r>
              <w:t>PN-EN 13108-20, D.1.6, 60°C, 10000 cykli [48]</w:t>
            </w:r>
          </w:p>
        </w:tc>
        <w:tc>
          <w:tcPr>
            <w:tcW w:w="1294"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WTSAIR0,15</w:t>
            </w:r>
          </w:p>
          <w:p w:rsidR="00B77F00" w:rsidRDefault="00865FA3">
            <w:pPr>
              <w:pStyle w:val="Tekst-spec-w-tabeli"/>
            </w:pPr>
            <w:r>
              <w:t>PRDAIR</w:t>
            </w:r>
          </w:p>
          <w:p w:rsidR="00B77F00" w:rsidRDefault="00865FA3">
            <w:pPr>
              <w:pStyle w:val="Tekst-spec-w-tabeli"/>
            </w:pPr>
            <w:r>
              <w:t>Deklarowana nie więcej niż 9,0</w:t>
            </w:r>
          </w:p>
        </w:tc>
        <w:tc>
          <w:tcPr>
            <w:tcW w:w="1260"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WTSAIR0,15</w:t>
            </w:r>
          </w:p>
          <w:p w:rsidR="00B77F00" w:rsidRDefault="00865FA3">
            <w:pPr>
              <w:pStyle w:val="Tekst-spec-w-tabeli"/>
            </w:pPr>
            <w:r>
              <w:t>PRDAIR</w:t>
            </w:r>
          </w:p>
          <w:p w:rsidR="00B77F00" w:rsidRDefault="00865FA3">
            <w:pPr>
              <w:pStyle w:val="Tekst-spec-w-tabeli"/>
            </w:pPr>
            <w:r>
              <w:t>Deklarowana nie więcej niż 9,0</w:t>
            </w:r>
          </w:p>
        </w:tc>
        <w:tc>
          <w:tcPr>
            <w:tcW w:w="130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77F00" w:rsidRDefault="00865FA3">
            <w:pPr>
              <w:pStyle w:val="Tekst-spec-w-tabeli"/>
            </w:pPr>
            <w:r>
              <w:t>WTSAIR0,15</w:t>
            </w:r>
          </w:p>
          <w:p w:rsidR="00B77F00" w:rsidRDefault="00865FA3">
            <w:pPr>
              <w:pStyle w:val="Tekst-spec-w-tabeli"/>
            </w:pPr>
            <w:r>
              <w:t>PRDAIR</w:t>
            </w:r>
          </w:p>
          <w:p w:rsidR="00B77F00" w:rsidRDefault="00865FA3">
            <w:pPr>
              <w:pStyle w:val="Tekst-spec-w-tabeli"/>
            </w:pPr>
            <w:r>
              <w:t>Deklarowana nie więcej niż 9,0</w:t>
            </w:r>
          </w:p>
        </w:tc>
      </w:tr>
      <w:tr w:rsidR="00B77F00">
        <w:tblPrEx>
          <w:tblCellMar>
            <w:top w:w="0" w:type="dxa"/>
            <w:bottom w:w="0" w:type="dxa"/>
          </w:tblCellMar>
        </w:tblPrEx>
        <w:tc>
          <w:tcPr>
            <w:tcW w:w="1899"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Wrażliwość na działanie wody</w:t>
            </w:r>
          </w:p>
        </w:tc>
        <w:tc>
          <w:tcPr>
            <w:tcW w:w="1891"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C.1.1,ubijanie, 2×35 uderzeń</w:t>
            </w:r>
          </w:p>
        </w:tc>
        <w:tc>
          <w:tcPr>
            <w:tcW w:w="1990"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PN-EN 12697-12 [35], przechowywanie w 40°C z jednym cyklem zamrażania,</w:t>
            </w:r>
          </w:p>
          <w:p w:rsidR="00B77F00" w:rsidRDefault="00865FA3">
            <w:pPr>
              <w:pStyle w:val="Tekst-spec-w-tabeli"/>
            </w:pPr>
            <w:r>
              <w:t>badanie w 25°C</w:t>
            </w:r>
          </w:p>
        </w:tc>
        <w:tc>
          <w:tcPr>
            <w:tcW w:w="1294"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ITSR90</w:t>
            </w:r>
          </w:p>
        </w:tc>
        <w:tc>
          <w:tcPr>
            <w:tcW w:w="1260"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ITSR90</w:t>
            </w:r>
          </w:p>
        </w:tc>
        <w:tc>
          <w:tcPr>
            <w:tcW w:w="130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77F00" w:rsidRDefault="00865FA3">
            <w:pPr>
              <w:pStyle w:val="Tekst-spec-w-tabeli"/>
            </w:pPr>
            <w:r>
              <w:t>ITSR90</w:t>
            </w:r>
          </w:p>
        </w:tc>
      </w:tr>
      <w:tr w:rsidR="00B77F00">
        <w:tblPrEx>
          <w:tblCellMar>
            <w:top w:w="0" w:type="dxa"/>
            <w:bottom w:w="0" w:type="dxa"/>
          </w:tblCellMar>
        </w:tblPrEx>
        <w:tc>
          <w:tcPr>
            <w:tcW w:w="1899"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Spływność lepiszcza</w:t>
            </w:r>
          </w:p>
        </w:tc>
        <w:tc>
          <w:tcPr>
            <w:tcW w:w="1891"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w:t>
            </w:r>
          </w:p>
        </w:tc>
        <w:tc>
          <w:tcPr>
            <w:tcW w:w="1990"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PN-EN 12697-18 [37], p. 5</w:t>
            </w:r>
          </w:p>
        </w:tc>
        <w:tc>
          <w:tcPr>
            <w:tcW w:w="1294"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D0,3</w:t>
            </w:r>
          </w:p>
        </w:tc>
        <w:tc>
          <w:tcPr>
            <w:tcW w:w="1260"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D0,3</w:t>
            </w:r>
          </w:p>
        </w:tc>
        <w:tc>
          <w:tcPr>
            <w:tcW w:w="130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77F00" w:rsidRDefault="00865FA3">
            <w:pPr>
              <w:pStyle w:val="Tekst-spec-w-tabeli"/>
            </w:pPr>
            <w:r>
              <w:t>D0,3</w:t>
            </w:r>
          </w:p>
        </w:tc>
      </w:tr>
    </w:tbl>
    <w:p w:rsidR="00B77F00" w:rsidRDefault="00B77F00">
      <w:pPr>
        <w:pStyle w:val="Tekst-specyfikacji"/>
      </w:pPr>
    </w:p>
    <w:p w:rsidR="00B77F00" w:rsidRDefault="00B77F00">
      <w:pPr>
        <w:pStyle w:val="Tekst-specyfikacji"/>
      </w:pPr>
    </w:p>
    <w:p w:rsidR="00B77F00" w:rsidRDefault="00865FA3">
      <w:pPr>
        <w:pStyle w:val="Tekst-specyfikacji"/>
      </w:pPr>
      <w:r>
        <w:t>Tablica 7.</w:t>
      </w:r>
      <w:r>
        <w:tab/>
        <w:t xml:space="preserve">Wymagane właściwości mieszanki SMA do warstwy ścieralnej, przy ruchu </w:t>
      </w:r>
      <w:r>
        <w:t>KR5 ÷ KR7 [65]</w:t>
      </w:r>
    </w:p>
    <w:tbl>
      <w:tblPr>
        <w:tblW w:w="9638" w:type="dxa"/>
        <w:tblLayout w:type="fixed"/>
        <w:tblCellMar>
          <w:left w:w="10" w:type="dxa"/>
          <w:right w:w="10" w:type="dxa"/>
        </w:tblCellMar>
        <w:tblLook w:val="0000" w:firstRow="0" w:lastRow="0" w:firstColumn="0" w:lastColumn="0" w:noHBand="0" w:noVBand="0"/>
      </w:tblPr>
      <w:tblGrid>
        <w:gridCol w:w="2049"/>
        <w:gridCol w:w="1749"/>
        <w:gridCol w:w="2526"/>
        <w:gridCol w:w="1652"/>
        <w:gridCol w:w="1662"/>
      </w:tblGrid>
      <w:tr w:rsidR="00B77F00">
        <w:tblPrEx>
          <w:tblCellMar>
            <w:top w:w="0" w:type="dxa"/>
            <w:bottom w:w="0" w:type="dxa"/>
          </w:tblCellMar>
        </w:tblPrEx>
        <w:tc>
          <w:tcPr>
            <w:tcW w:w="2048"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Właściwość</w:t>
            </w:r>
          </w:p>
        </w:tc>
        <w:tc>
          <w:tcPr>
            <w:tcW w:w="1749"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 xml:space="preserve">Warunki </w:t>
            </w:r>
            <w:r>
              <w:lastRenderedPageBreak/>
              <w:t>zagęszczania wg PN-EN</w:t>
            </w:r>
          </w:p>
          <w:p w:rsidR="00B77F00" w:rsidRDefault="00865FA3">
            <w:pPr>
              <w:pStyle w:val="Tekst-spec-w-tabeli"/>
            </w:pPr>
            <w:r>
              <w:t>13108-20  [48]</w:t>
            </w:r>
          </w:p>
        </w:tc>
        <w:tc>
          <w:tcPr>
            <w:tcW w:w="2526"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lastRenderedPageBreak/>
              <w:t>Metoda i warunki badania</w:t>
            </w:r>
          </w:p>
        </w:tc>
        <w:tc>
          <w:tcPr>
            <w:tcW w:w="1652"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SMA 8</w:t>
            </w:r>
          </w:p>
        </w:tc>
        <w:tc>
          <w:tcPr>
            <w:tcW w:w="166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77F00" w:rsidRDefault="00865FA3">
            <w:pPr>
              <w:pStyle w:val="Tekst-spec-w-tabeli"/>
            </w:pPr>
            <w:r>
              <w:t>SMA 11</w:t>
            </w:r>
          </w:p>
        </w:tc>
      </w:tr>
      <w:tr w:rsidR="00B77F00">
        <w:tblPrEx>
          <w:tblCellMar>
            <w:top w:w="0" w:type="dxa"/>
            <w:bottom w:w="0" w:type="dxa"/>
          </w:tblCellMar>
        </w:tblPrEx>
        <w:tc>
          <w:tcPr>
            <w:tcW w:w="2048"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Zawartość wolnych przestrzeni</w:t>
            </w:r>
          </w:p>
        </w:tc>
        <w:tc>
          <w:tcPr>
            <w:tcW w:w="1749"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C.1.2,ubijanie, 2×50 uderzeń</w:t>
            </w:r>
          </w:p>
        </w:tc>
        <w:tc>
          <w:tcPr>
            <w:tcW w:w="2526"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PN-EN 12697-8 [33], p. 4</w:t>
            </w:r>
          </w:p>
        </w:tc>
        <w:tc>
          <w:tcPr>
            <w:tcW w:w="1652"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Vmin2,0</w:t>
            </w:r>
          </w:p>
          <w:p w:rsidR="00B77F00" w:rsidRDefault="00865FA3">
            <w:pPr>
              <w:pStyle w:val="Tekst-spec-w-tabeli"/>
            </w:pPr>
            <w:r>
              <w:t>Vmax3,5</w:t>
            </w:r>
          </w:p>
        </w:tc>
        <w:tc>
          <w:tcPr>
            <w:tcW w:w="166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77F00" w:rsidRDefault="00865FA3">
            <w:pPr>
              <w:pStyle w:val="Tekst-spec-w-tabeli"/>
            </w:pPr>
            <w:r>
              <w:t>Vmin2,0</w:t>
            </w:r>
          </w:p>
          <w:p w:rsidR="00B77F00" w:rsidRDefault="00865FA3">
            <w:pPr>
              <w:pStyle w:val="Tekst-spec-w-tabeli"/>
            </w:pPr>
            <w:r>
              <w:t>Vmax3,5</w:t>
            </w:r>
          </w:p>
        </w:tc>
      </w:tr>
      <w:tr w:rsidR="00B77F00">
        <w:tblPrEx>
          <w:tblCellMar>
            <w:top w:w="0" w:type="dxa"/>
            <w:bottom w:w="0" w:type="dxa"/>
          </w:tblCellMar>
        </w:tblPrEx>
        <w:tc>
          <w:tcPr>
            <w:tcW w:w="2048"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 xml:space="preserve">Odporność na deformacje </w:t>
            </w:r>
            <w:r>
              <w:t>trwałe</w:t>
            </w:r>
          </w:p>
        </w:tc>
        <w:tc>
          <w:tcPr>
            <w:tcW w:w="1749"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C.1.20, wałowanie,</w:t>
            </w:r>
          </w:p>
          <w:p w:rsidR="00B77F00" w:rsidRDefault="00865FA3">
            <w:pPr>
              <w:pStyle w:val="Tekst-spec-w-tabeli"/>
            </w:pPr>
            <w:r>
              <w:t>P98-P100</w:t>
            </w:r>
          </w:p>
        </w:tc>
        <w:tc>
          <w:tcPr>
            <w:tcW w:w="2526"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PN-EN 12697-22,</w:t>
            </w:r>
          </w:p>
          <w:p w:rsidR="00B77F00" w:rsidRDefault="00865FA3">
            <w:pPr>
              <w:pStyle w:val="Tekst-spec-w-tabeli"/>
            </w:pPr>
            <w:r>
              <w:t>metoda B w powietrzu, PN-EN 13108-20, D.1.6, 60°C, 10 000 cykli [38]</w:t>
            </w:r>
          </w:p>
        </w:tc>
        <w:tc>
          <w:tcPr>
            <w:tcW w:w="1652"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WTSAIR0,15 / WTSAIR0,10</w:t>
            </w:r>
          </w:p>
          <w:p w:rsidR="00B77F00" w:rsidRDefault="00865FA3">
            <w:pPr>
              <w:pStyle w:val="Tekst-spec-w-tabeli"/>
            </w:pPr>
            <w:r>
              <w:t>PRDAIR Deklarowana nie więcej niż 7,0</w:t>
            </w:r>
          </w:p>
        </w:tc>
        <w:tc>
          <w:tcPr>
            <w:tcW w:w="166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77F00" w:rsidRDefault="00865FA3">
            <w:pPr>
              <w:pStyle w:val="Tekst-spec-w-tabeli"/>
            </w:pPr>
            <w:r>
              <w:t>WTSAIR0,15 / WTSAIR0,10</w:t>
            </w:r>
          </w:p>
          <w:p w:rsidR="00B77F00" w:rsidRDefault="00865FA3">
            <w:pPr>
              <w:pStyle w:val="Tekst-spec-w-tabeli"/>
            </w:pPr>
            <w:r>
              <w:t>PRDAIR Deklarowana nie więcej niż 7,0</w:t>
            </w:r>
          </w:p>
        </w:tc>
      </w:tr>
      <w:tr w:rsidR="00B77F00">
        <w:tblPrEx>
          <w:tblCellMar>
            <w:top w:w="0" w:type="dxa"/>
            <w:bottom w:w="0" w:type="dxa"/>
          </w:tblCellMar>
        </w:tblPrEx>
        <w:tc>
          <w:tcPr>
            <w:tcW w:w="2048"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Odporność n</w:t>
            </w:r>
            <w:r>
              <w:t>a działanie wody</w:t>
            </w:r>
          </w:p>
        </w:tc>
        <w:tc>
          <w:tcPr>
            <w:tcW w:w="1749"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C.1.1,ubijanie, 2×35 uderzeń</w:t>
            </w:r>
          </w:p>
        </w:tc>
        <w:tc>
          <w:tcPr>
            <w:tcW w:w="2526"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PN-EN 12697-12 [35], przechowywanie w 40°C</w:t>
            </w:r>
          </w:p>
          <w:p w:rsidR="00B77F00" w:rsidRDefault="00865FA3">
            <w:pPr>
              <w:pStyle w:val="Tekst-spec-w-tabeli"/>
            </w:pPr>
            <w:r>
              <w:t>z jednym cyklem zamrażania,</w:t>
            </w:r>
          </w:p>
          <w:p w:rsidR="00B77F00" w:rsidRDefault="00865FA3">
            <w:pPr>
              <w:pStyle w:val="Tekst-spec-w-tabeli"/>
            </w:pPr>
            <w:r>
              <w:t>badanie w 25°C</w:t>
            </w:r>
          </w:p>
        </w:tc>
        <w:tc>
          <w:tcPr>
            <w:tcW w:w="1652"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ITSR90</w:t>
            </w:r>
          </w:p>
        </w:tc>
        <w:tc>
          <w:tcPr>
            <w:tcW w:w="166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77F00" w:rsidRDefault="00865FA3">
            <w:pPr>
              <w:pStyle w:val="Tekst-spec-w-tabeli"/>
            </w:pPr>
            <w:r>
              <w:t>ITSR90</w:t>
            </w:r>
          </w:p>
        </w:tc>
      </w:tr>
      <w:tr w:rsidR="00B77F00">
        <w:tblPrEx>
          <w:tblCellMar>
            <w:top w:w="0" w:type="dxa"/>
            <w:bottom w:w="0" w:type="dxa"/>
          </w:tblCellMar>
        </w:tblPrEx>
        <w:tc>
          <w:tcPr>
            <w:tcW w:w="2048"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Spływność lepiszcza</w:t>
            </w:r>
          </w:p>
        </w:tc>
        <w:tc>
          <w:tcPr>
            <w:tcW w:w="1749"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w:t>
            </w:r>
          </w:p>
        </w:tc>
        <w:tc>
          <w:tcPr>
            <w:tcW w:w="2526"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PN-EN 12697-18 [37], p. 5</w:t>
            </w:r>
          </w:p>
        </w:tc>
        <w:tc>
          <w:tcPr>
            <w:tcW w:w="1652"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D0,3</w:t>
            </w:r>
          </w:p>
        </w:tc>
        <w:tc>
          <w:tcPr>
            <w:tcW w:w="166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77F00" w:rsidRDefault="00865FA3">
            <w:pPr>
              <w:pStyle w:val="Tekst-spec-w-tabeli"/>
            </w:pPr>
            <w:r>
              <w:t>D0,3</w:t>
            </w:r>
          </w:p>
        </w:tc>
      </w:tr>
      <w:tr w:rsidR="00B77F00">
        <w:tblPrEx>
          <w:tblCellMar>
            <w:top w:w="0" w:type="dxa"/>
            <w:bottom w:w="0" w:type="dxa"/>
          </w:tblCellMar>
        </w:tblPrEx>
        <w:tc>
          <w:tcPr>
            <w:tcW w:w="2048"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Współczynnik Luminacji</w:t>
            </w:r>
          </w:p>
        </w:tc>
        <w:tc>
          <w:tcPr>
            <w:tcW w:w="1749"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w:t>
            </w:r>
          </w:p>
        </w:tc>
        <w:tc>
          <w:tcPr>
            <w:tcW w:w="2526"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 xml:space="preserve">Zgodnie z załącznikiem </w:t>
            </w:r>
            <w:r>
              <w:t>nr 4 do WT-2</w:t>
            </w:r>
          </w:p>
        </w:tc>
        <w:tc>
          <w:tcPr>
            <w:tcW w:w="1652"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Qd ≥ 70a</w:t>
            </w:r>
          </w:p>
          <w:p w:rsidR="00B77F00" w:rsidRDefault="00865FA3">
            <w:pPr>
              <w:pStyle w:val="Tekst-spec-w-tabeli"/>
            </w:pPr>
            <w:r>
              <w:t>Qd ≥ 90b</w:t>
            </w:r>
          </w:p>
        </w:tc>
        <w:tc>
          <w:tcPr>
            <w:tcW w:w="166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77F00" w:rsidRDefault="00865FA3">
            <w:pPr>
              <w:pStyle w:val="Tekst-spec-w-tabeli"/>
            </w:pPr>
            <w:r>
              <w:t>Qd ≥ 70a</w:t>
            </w:r>
          </w:p>
          <w:p w:rsidR="00B77F00" w:rsidRDefault="00865FA3">
            <w:pPr>
              <w:pStyle w:val="Tekst-spec-w-tabeli"/>
            </w:pPr>
            <w:r>
              <w:t>Qd ≥ 90b</w:t>
            </w:r>
          </w:p>
        </w:tc>
      </w:tr>
      <w:tr w:rsidR="00B77F00">
        <w:tblPrEx>
          <w:tblCellMar>
            <w:top w:w="0" w:type="dxa"/>
            <w:bottom w:w="0" w:type="dxa"/>
          </w:tblCellMar>
        </w:tblPrEx>
        <w:tc>
          <w:tcPr>
            <w:tcW w:w="9637"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77F00" w:rsidRDefault="00865FA3">
            <w:pPr>
              <w:pStyle w:val="Tekst-spec-w-tabeli"/>
            </w:pPr>
            <w:r>
              <w:t>a)   wymaganie dotyczy nawierzchni wykonywanych na terenie otwartym</w:t>
            </w:r>
          </w:p>
          <w:p w:rsidR="00B77F00" w:rsidRDefault="00865FA3">
            <w:pPr>
              <w:pStyle w:val="Tekst-spec-w-tabeli"/>
            </w:pPr>
            <w:r>
              <w:t>b)   wymaganie dotyczy nawierzchni wykonywanych w tunelach</w:t>
            </w:r>
          </w:p>
        </w:tc>
      </w:tr>
    </w:tbl>
    <w:p w:rsidR="00B77F00" w:rsidRDefault="00B77F00">
      <w:pPr>
        <w:pStyle w:val="Tekst-specyfikacji"/>
      </w:pPr>
    </w:p>
    <w:p w:rsidR="00B77F00" w:rsidRDefault="00865FA3">
      <w:pPr>
        <w:pStyle w:val="Spec-num2"/>
        <w:jc w:val="both"/>
      </w:pPr>
      <w:r>
        <w:rPr>
          <w:rStyle w:val="WW-DefaultParagraphFont"/>
          <w:rFonts w:eastAsia="Times New Roman" w:cs="Arial"/>
          <w:lang w:val="pl-PL"/>
        </w:rPr>
        <w:t>5.3. Wytwarzanie mieszanki SMA</w:t>
      </w:r>
    </w:p>
    <w:p w:rsidR="00B77F00" w:rsidRDefault="00865FA3">
      <w:pPr>
        <w:pStyle w:val="Tekst-specyfikacji"/>
        <w:jc w:val="both"/>
      </w:pPr>
      <w:r>
        <w:rPr>
          <w:rStyle w:val="WW-DefaultParagraphFont"/>
          <w:rFonts w:eastAsia="Times New Roman" w:cs="Arial"/>
          <w:lang w:val="pl-PL"/>
        </w:rPr>
        <w:tab/>
        <w:t xml:space="preserve">Mieszankę SMA należy wytwarzać na gorąco w </w:t>
      </w:r>
      <w:r>
        <w:rPr>
          <w:rStyle w:val="WW-DefaultParagraphFont"/>
          <w:rFonts w:eastAsia="Times New Roman" w:cs="Arial"/>
          <w:lang w:val="pl-PL"/>
        </w:rPr>
        <w:t>otaczarce (zespole maszyn i urządzeń dozowania, podgrzewania i mieszania składników oraz przechowywania gotowej mieszanki).</w:t>
      </w:r>
    </w:p>
    <w:p w:rsidR="00B77F00" w:rsidRDefault="00865FA3">
      <w:pPr>
        <w:pStyle w:val="Tekst-specyfikacji"/>
        <w:jc w:val="both"/>
      </w:pPr>
      <w:r>
        <w:rPr>
          <w:rStyle w:val="WW-DefaultParagraphFont"/>
          <w:rFonts w:eastAsia="Times New Roman" w:cs="Arial"/>
          <w:lang w:val="pl-PL"/>
        </w:rPr>
        <w:tab/>
        <w:t>Dozowanie składników mieszanki SMA w otaczarkach, w tym także wstępne, powinno być zautomatyzowane i zgodne z receptą roboczą, a ur</w:t>
      </w:r>
      <w:r>
        <w:rPr>
          <w:rStyle w:val="WW-DefaultParagraphFont"/>
          <w:rFonts w:eastAsia="Times New Roman" w:cs="Arial"/>
          <w:lang w:val="pl-PL"/>
        </w:rPr>
        <w:t>ządzenia do dozowania składników oraz pomiaru temperatury powinny być okresowo sprawdzane. Kruszywo o różnym uziarnieniu lub pochodzeniu należy dodawać odmierzone oddzielnie.</w:t>
      </w:r>
    </w:p>
    <w:p w:rsidR="00B77F00" w:rsidRDefault="00865FA3">
      <w:pPr>
        <w:pStyle w:val="Tekst-specyfikacji"/>
        <w:jc w:val="both"/>
      </w:pPr>
      <w:r>
        <w:rPr>
          <w:rStyle w:val="WW-DefaultParagraphFont"/>
          <w:rFonts w:eastAsia="Times New Roman" w:cs="Arial"/>
          <w:lang w:val="pl-PL"/>
        </w:rPr>
        <w:tab/>
        <w:t>Lepiszcze asfaltowe należy przechowywać w zbiorniku z pośrednim systemem ogrzewa</w:t>
      </w:r>
      <w:r>
        <w:rPr>
          <w:rStyle w:val="WW-DefaultParagraphFont"/>
          <w:rFonts w:eastAsia="Times New Roman" w:cs="Arial"/>
          <w:lang w:val="pl-PL"/>
        </w:rPr>
        <w:t>nia, z układem termostatowania zapewniającym utrzymanie żądanej temperatury z dokładnością ± 5°C. Temperatura lepiszcza asfaltowego w zbiorniku magazynowym (roboczym) nie powinna przekraczać 180°C dla asfaltu drogowego 50/70 i 70/100 i polimeroasfaltu drog</w:t>
      </w:r>
      <w:r>
        <w:rPr>
          <w:rStyle w:val="WW-DefaultParagraphFont"/>
          <w:rFonts w:eastAsia="Times New Roman" w:cs="Arial"/>
          <w:lang w:val="pl-PL"/>
        </w:rPr>
        <w:t>owego 45/80-55, 45/80-65 i 65/105-60.</w:t>
      </w:r>
    </w:p>
    <w:p w:rsidR="00B77F00" w:rsidRDefault="00865FA3">
      <w:pPr>
        <w:pStyle w:val="Tekst-specyfikacji"/>
        <w:jc w:val="both"/>
      </w:pPr>
      <w:r>
        <w:rPr>
          <w:rStyle w:val="WW-DefaultParagraphFont"/>
          <w:rFonts w:eastAsia="Times New Roman" w:cs="Arial"/>
          <w:lang w:val="pl-PL"/>
        </w:rPr>
        <w:tab/>
        <w:t>Kruszywo (ewentualnie z wypełniaczem) powinno być wysuszone i podgrzane tak, aby mieszanka mineralna uzyskała temperaturę właściwą do otoczenia lepiszczem asfaltowym. Temperatura mieszanki mineralnej nie powinna być w</w:t>
      </w:r>
      <w:r>
        <w:rPr>
          <w:rStyle w:val="WW-DefaultParagraphFont"/>
          <w:rFonts w:eastAsia="Times New Roman" w:cs="Arial"/>
          <w:lang w:val="pl-PL"/>
        </w:rPr>
        <w:t>yższa o więcej niż 30°C od najwyższej temperatury mieszanki mineralno-asfaltowej podanej w tablicy 8. W tej tablicy najniższa temperatura dotyczy mieszanki mineralno-asfaltowej (SMA) dostarczonej na miejsce wbudowania, a najwyższa temperatura dotyczy miesz</w:t>
      </w:r>
      <w:r>
        <w:rPr>
          <w:rStyle w:val="WW-DefaultParagraphFont"/>
          <w:rFonts w:eastAsia="Times New Roman" w:cs="Arial"/>
          <w:lang w:val="pl-PL"/>
        </w:rPr>
        <w:t>anki mineralno-asfaltowej bezpośrednio po wytworzeniu w wytwórni.</w:t>
      </w:r>
    </w:p>
    <w:p w:rsidR="00B77F00" w:rsidRDefault="00B77F00">
      <w:pPr>
        <w:pStyle w:val="Tekst-specyfikacji"/>
      </w:pPr>
    </w:p>
    <w:p w:rsidR="00B77F00" w:rsidRDefault="00B77F00">
      <w:pPr>
        <w:pStyle w:val="Tekst-specyfikacji"/>
      </w:pPr>
    </w:p>
    <w:p w:rsidR="00B77F00" w:rsidRDefault="00865FA3">
      <w:pPr>
        <w:pStyle w:val="Tekst-specyfikacji"/>
      </w:pPr>
      <w:r>
        <w:t>Tablica 8. Najwyższa i najniższa temperatura mieszanki SMA [65]</w:t>
      </w:r>
    </w:p>
    <w:tbl>
      <w:tblPr>
        <w:tblW w:w="5618" w:type="dxa"/>
        <w:jc w:val="center"/>
        <w:tblLayout w:type="fixed"/>
        <w:tblCellMar>
          <w:left w:w="10" w:type="dxa"/>
          <w:right w:w="10" w:type="dxa"/>
        </w:tblCellMar>
        <w:tblLook w:val="0000" w:firstRow="0" w:lastRow="0" w:firstColumn="0" w:lastColumn="0" w:noHBand="0" w:noVBand="0"/>
      </w:tblPr>
      <w:tblGrid>
        <w:gridCol w:w="3508"/>
        <w:gridCol w:w="2110"/>
      </w:tblGrid>
      <w:tr w:rsidR="00B77F00">
        <w:tblPrEx>
          <w:tblCellMar>
            <w:top w:w="0" w:type="dxa"/>
            <w:bottom w:w="0" w:type="dxa"/>
          </w:tblCellMar>
        </w:tblPrEx>
        <w:trPr>
          <w:jc w:val="center"/>
        </w:trPr>
        <w:tc>
          <w:tcPr>
            <w:tcW w:w="3508"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Lepiszcze asfaltowe</w:t>
            </w:r>
          </w:p>
        </w:tc>
        <w:tc>
          <w:tcPr>
            <w:tcW w:w="211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Temperatura mieszanki [°C]</w:t>
            </w:r>
          </w:p>
        </w:tc>
      </w:tr>
      <w:tr w:rsidR="00B77F00">
        <w:tblPrEx>
          <w:tblCellMar>
            <w:top w:w="0" w:type="dxa"/>
            <w:bottom w:w="0" w:type="dxa"/>
          </w:tblCellMar>
        </w:tblPrEx>
        <w:trPr>
          <w:jc w:val="center"/>
        </w:trPr>
        <w:tc>
          <w:tcPr>
            <w:tcW w:w="3508"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20/30</w:t>
            </w:r>
          </w:p>
          <w:p w:rsidR="00B77F00" w:rsidRDefault="00865FA3">
            <w:pPr>
              <w:pStyle w:val="Tekst-spec-w-tabeli"/>
            </w:pPr>
            <w:r>
              <w:t>PMB 10/40-65</w:t>
            </w:r>
          </w:p>
          <w:p w:rsidR="00B77F00" w:rsidRDefault="00865FA3">
            <w:pPr>
              <w:pStyle w:val="Tekst-spec-w-tabeli"/>
            </w:pPr>
            <w:r>
              <w:t>PMB 25/55-x lub PMB 45/80-x</w:t>
            </w:r>
          </w:p>
          <w:p w:rsidR="00B77F00" w:rsidRDefault="00865FA3">
            <w:pPr>
              <w:pStyle w:val="Tekst-spec-w-tabeli"/>
            </w:pPr>
            <w:r>
              <w:t>PMB 65/105-65</w:t>
            </w:r>
          </w:p>
          <w:p w:rsidR="00B77F00" w:rsidRDefault="00865FA3">
            <w:pPr>
              <w:pStyle w:val="Tekst-spec-w-tabeli"/>
            </w:pPr>
            <w:r>
              <w:t xml:space="preserve">35/50, 50/70 </w:t>
            </w:r>
            <w:r>
              <w:t>lub 70/100</w:t>
            </w:r>
          </w:p>
          <w:p w:rsidR="00B77F00" w:rsidRDefault="00865FA3">
            <w:pPr>
              <w:pStyle w:val="Tekst-spec-w-tabeli"/>
            </w:pPr>
            <w:r>
              <w:t>MG 35/50-57/69, MG 50/70-54/64</w:t>
            </w:r>
          </w:p>
        </w:tc>
        <w:tc>
          <w:tcPr>
            <w:tcW w:w="211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od 160 +/- 5</w:t>
            </w:r>
          </w:p>
          <w:p w:rsidR="00B77F00" w:rsidRDefault="00865FA3">
            <w:pPr>
              <w:pStyle w:val="Tekst-spec-w-tabeli"/>
            </w:pPr>
            <w:r>
              <w:t>od 150 +/- 5</w:t>
            </w:r>
          </w:p>
          <w:p w:rsidR="00B77F00" w:rsidRDefault="00865FA3">
            <w:pPr>
              <w:pStyle w:val="Tekst-spec-w-tabeli"/>
            </w:pPr>
            <w:r>
              <w:t>od 145 +/- 5</w:t>
            </w:r>
          </w:p>
          <w:p w:rsidR="00B77F00" w:rsidRDefault="00865FA3">
            <w:pPr>
              <w:pStyle w:val="Tekst-spec-w-tabeli"/>
            </w:pPr>
            <w:r>
              <w:t>od 145 +/- 5</w:t>
            </w:r>
          </w:p>
          <w:p w:rsidR="00B77F00" w:rsidRDefault="00865FA3">
            <w:pPr>
              <w:pStyle w:val="Tekst-spec-w-tabeli"/>
            </w:pPr>
            <w:r>
              <w:t>od 135 +/- 5</w:t>
            </w:r>
          </w:p>
          <w:p w:rsidR="00B77F00" w:rsidRDefault="00865FA3">
            <w:pPr>
              <w:pStyle w:val="Tekst-spec-w-tabeli"/>
            </w:pPr>
            <w:r>
              <w:t>od 140 +/- 5</w:t>
            </w:r>
          </w:p>
        </w:tc>
      </w:tr>
    </w:tbl>
    <w:p w:rsidR="00B77F00" w:rsidRDefault="00B77F00">
      <w:pPr>
        <w:pStyle w:val="Tekst-specyfikacji"/>
      </w:pPr>
    </w:p>
    <w:p w:rsidR="00B77F00" w:rsidRDefault="00865FA3">
      <w:pPr>
        <w:pStyle w:val="Tekst-specyfikacji"/>
        <w:jc w:val="both"/>
      </w:pPr>
      <w:r>
        <w:rPr>
          <w:rStyle w:val="WW-DefaultParagraphFont"/>
          <w:rFonts w:eastAsia="Times New Roman" w:cs="Arial"/>
          <w:lang w:val="pl-PL"/>
        </w:rPr>
        <w:tab/>
        <w:t>Sposób i czas mieszania składników mieszanki mineralno-asfaltowej powinny zapewnić równomierne otoczenie kruszywa lepiszczem asfaltow</w:t>
      </w:r>
      <w:r>
        <w:rPr>
          <w:rStyle w:val="WW-DefaultParagraphFont"/>
          <w:rFonts w:eastAsia="Times New Roman" w:cs="Arial"/>
          <w:lang w:val="pl-PL"/>
        </w:rPr>
        <w:t>ym.</w:t>
      </w:r>
    </w:p>
    <w:p w:rsidR="00B77F00" w:rsidRDefault="00865FA3">
      <w:pPr>
        <w:pStyle w:val="Tekst-specyfikacji"/>
        <w:jc w:val="both"/>
      </w:pPr>
      <w:r>
        <w:rPr>
          <w:rStyle w:val="WW-DefaultParagraphFont"/>
          <w:rFonts w:eastAsia="Times New Roman" w:cs="Arial"/>
          <w:lang w:val="pl-PL"/>
        </w:rPr>
        <w:tab/>
        <w:t>System dozowania dodatków modyfikujących lub stabilizujących powinien zapewnić jednorodność dozowania dodatków do wytwarzanej mieszanki. Warunki wytwarzania i przechowywania mieszanki mineralno-asfaltowej na gorąco nie powinny istotnie wpływać na skut</w:t>
      </w:r>
      <w:r>
        <w:rPr>
          <w:rStyle w:val="WW-DefaultParagraphFont"/>
          <w:rFonts w:eastAsia="Times New Roman" w:cs="Arial"/>
          <w:lang w:val="pl-PL"/>
        </w:rPr>
        <w:t>eczność działania tych dodatków.</w:t>
      </w:r>
    </w:p>
    <w:p w:rsidR="00B77F00" w:rsidRDefault="00865FA3">
      <w:pPr>
        <w:pStyle w:val="Spec-num2"/>
        <w:jc w:val="both"/>
      </w:pPr>
      <w:r>
        <w:rPr>
          <w:rStyle w:val="WW-DefaultParagraphFont"/>
          <w:rFonts w:eastAsia="Times New Roman" w:cs="Arial"/>
          <w:lang w:val="pl-PL"/>
        </w:rPr>
        <w:t>5.4. Przygotowanie podłoża</w:t>
      </w:r>
    </w:p>
    <w:p w:rsidR="00B77F00" w:rsidRDefault="00865FA3">
      <w:pPr>
        <w:pStyle w:val="Tekst-specyfikacji"/>
        <w:jc w:val="both"/>
      </w:pPr>
      <w:r>
        <w:rPr>
          <w:rStyle w:val="WW-DefaultParagraphFont"/>
          <w:rFonts w:eastAsia="Times New Roman" w:cs="Arial"/>
          <w:lang w:val="pl-PL"/>
        </w:rPr>
        <w:tab/>
        <w:t>Podłoże (warstwa wyrównawcza, warstwa wiążąca lub stara warstwa ścieralna) pod warstwę SMA powinno być na całej powierzchni:</w:t>
      </w:r>
    </w:p>
    <w:p w:rsidR="00B77F00" w:rsidRDefault="00865FA3">
      <w:pPr>
        <w:pStyle w:val="Tekst-specyfikacji"/>
        <w:numPr>
          <w:ilvl w:val="0"/>
          <w:numId w:val="27"/>
        </w:numPr>
        <w:jc w:val="both"/>
      </w:pPr>
      <w:r>
        <w:rPr>
          <w:rStyle w:val="WW-DefaultParagraphFont"/>
          <w:rFonts w:eastAsia="Times New Roman" w:cs="Arial"/>
          <w:lang w:val="pl-PL"/>
        </w:rPr>
        <w:t>ustabilizowane i nośne,</w:t>
      </w:r>
    </w:p>
    <w:p w:rsidR="00B77F00" w:rsidRDefault="00865FA3">
      <w:pPr>
        <w:pStyle w:val="Tekst-specyfikacji"/>
        <w:numPr>
          <w:ilvl w:val="0"/>
          <w:numId w:val="27"/>
        </w:numPr>
        <w:jc w:val="both"/>
      </w:pPr>
      <w:r>
        <w:rPr>
          <w:rStyle w:val="WW-DefaultParagraphFont"/>
          <w:rFonts w:eastAsia="Times New Roman" w:cs="Arial"/>
          <w:lang w:val="pl-PL"/>
        </w:rPr>
        <w:t xml:space="preserve">czyste, bez zanieczyszczenia lub pozostałości </w:t>
      </w:r>
      <w:r>
        <w:rPr>
          <w:rStyle w:val="WW-DefaultParagraphFont"/>
          <w:rFonts w:eastAsia="Times New Roman" w:cs="Arial"/>
          <w:lang w:val="pl-PL"/>
        </w:rPr>
        <w:t>luźnego kruszywa,</w:t>
      </w:r>
    </w:p>
    <w:p w:rsidR="00B77F00" w:rsidRDefault="00865FA3">
      <w:pPr>
        <w:pStyle w:val="Tekst-specyfikacji"/>
        <w:numPr>
          <w:ilvl w:val="0"/>
          <w:numId w:val="27"/>
        </w:numPr>
        <w:jc w:val="both"/>
      </w:pPr>
      <w:r>
        <w:rPr>
          <w:rStyle w:val="WW-DefaultParagraphFont"/>
          <w:rFonts w:eastAsia="Times New Roman" w:cs="Arial"/>
          <w:lang w:val="pl-PL"/>
        </w:rPr>
        <w:t>wyprofilowane, równe i bez kolein.</w:t>
      </w:r>
    </w:p>
    <w:p w:rsidR="00B77F00" w:rsidRDefault="00865FA3">
      <w:pPr>
        <w:pStyle w:val="Tekst-specyfikacji"/>
        <w:jc w:val="both"/>
      </w:pPr>
      <w:r>
        <w:rPr>
          <w:rStyle w:val="WW-DefaultParagraphFont"/>
          <w:rFonts w:eastAsia="Times New Roman" w:cs="Arial"/>
          <w:lang w:val="pl-PL"/>
        </w:rPr>
        <w:t xml:space="preserve">W wypadku podłoża z nowo wykonanej warstwy asfaltowej, do oceny nierówności należy przyjąć dane z pomiaru równości tej warstwy wykonanego metodą z wykorzystaniem łaty 4-metrowej i klina lub metody </w:t>
      </w:r>
      <w:r>
        <w:rPr>
          <w:rStyle w:val="WW-DefaultParagraphFont"/>
          <w:rFonts w:eastAsia="Times New Roman" w:cs="Arial"/>
          <w:lang w:val="pl-PL"/>
        </w:rPr>
        <w:lastRenderedPageBreak/>
        <w:t>równow</w:t>
      </w:r>
      <w:r>
        <w:rPr>
          <w:rStyle w:val="WW-DefaultParagraphFont"/>
          <w:rFonts w:eastAsia="Times New Roman" w:cs="Arial"/>
          <w:lang w:val="pl-PL"/>
        </w:rPr>
        <w:t>ażnej przy użyciu łaty i klina, mierząc wysokość prześwitu w połowie długości łaty. Pomiar wykonuje się nie rzadziej niż co 10 m. Wymagana równość podłużna jest określona w rozporządzeniu dotyczącym warunków technicznych, jakim powinny odpowiadać drogi pub</w:t>
      </w:r>
      <w:r>
        <w:rPr>
          <w:rStyle w:val="WW-DefaultParagraphFont"/>
          <w:rFonts w:eastAsia="Times New Roman" w:cs="Arial"/>
          <w:lang w:val="pl-PL"/>
        </w:rPr>
        <w:t>liczne [67]. W wypadku podłoża z warstwy starej nawierzchni, nierówności nie powinny przekraczać wartości podanych w tablicy 9.</w:t>
      </w:r>
    </w:p>
    <w:p w:rsidR="00B77F00" w:rsidRDefault="00B77F00">
      <w:pPr>
        <w:pStyle w:val="Tekst-specyfikacji"/>
        <w:jc w:val="both"/>
      </w:pPr>
    </w:p>
    <w:p w:rsidR="00B77F00" w:rsidRDefault="00B77F00">
      <w:pPr>
        <w:pStyle w:val="Tekst-specyfikacji"/>
      </w:pPr>
    </w:p>
    <w:p w:rsidR="00B77F00" w:rsidRDefault="00865FA3">
      <w:pPr>
        <w:pStyle w:val="Tekst-specyfikacji"/>
      </w:pPr>
      <w:r>
        <w:t>Tablica 9. Maksymalne nierówności podłoża z warstwy starej nawierzchni pod warstwy asfaltowe (pomiar łatą 4-metrową lub równow</w:t>
      </w:r>
      <w:r>
        <w:t>ażną metodą) [65]</w:t>
      </w:r>
    </w:p>
    <w:tbl>
      <w:tblPr>
        <w:tblW w:w="7523" w:type="dxa"/>
        <w:jc w:val="center"/>
        <w:tblLayout w:type="fixed"/>
        <w:tblCellMar>
          <w:left w:w="10" w:type="dxa"/>
          <w:right w:w="10" w:type="dxa"/>
        </w:tblCellMar>
        <w:tblLook w:val="0000" w:firstRow="0" w:lastRow="0" w:firstColumn="0" w:lastColumn="0" w:noHBand="0" w:noVBand="0"/>
      </w:tblPr>
      <w:tblGrid>
        <w:gridCol w:w="1242"/>
        <w:gridCol w:w="3970"/>
        <w:gridCol w:w="2311"/>
      </w:tblGrid>
      <w:tr w:rsidR="00B77F00">
        <w:tblPrEx>
          <w:tblCellMar>
            <w:top w:w="0" w:type="dxa"/>
            <w:bottom w:w="0" w:type="dxa"/>
          </w:tblCellMar>
        </w:tblPrEx>
        <w:trPr>
          <w:jc w:val="center"/>
        </w:trPr>
        <w:tc>
          <w:tcPr>
            <w:tcW w:w="1242"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Klasa drogi</w:t>
            </w:r>
          </w:p>
        </w:tc>
        <w:tc>
          <w:tcPr>
            <w:tcW w:w="3970"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Element nawierzchni</w:t>
            </w:r>
          </w:p>
        </w:tc>
        <w:tc>
          <w:tcPr>
            <w:tcW w:w="23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77F00" w:rsidRDefault="00865FA3">
            <w:pPr>
              <w:pStyle w:val="Tekst-spec-w-tabeli"/>
            </w:pPr>
            <w:r>
              <w:t>Maksymalna nierówność podłoża pod warstwę ścieralną [mm]</w:t>
            </w:r>
          </w:p>
        </w:tc>
      </w:tr>
      <w:tr w:rsidR="00B77F00">
        <w:tblPrEx>
          <w:tblCellMar>
            <w:top w:w="0" w:type="dxa"/>
            <w:bottom w:w="0" w:type="dxa"/>
          </w:tblCellMar>
        </w:tblPrEx>
        <w:trPr>
          <w:cantSplit/>
          <w:jc w:val="center"/>
        </w:trPr>
        <w:tc>
          <w:tcPr>
            <w:tcW w:w="1242" w:type="dxa"/>
            <w:vMerge w:val="restart"/>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A, S,</w:t>
            </w:r>
          </w:p>
          <w:p w:rsidR="00B77F00" w:rsidRDefault="00865FA3">
            <w:pPr>
              <w:pStyle w:val="Tekst-spec-w-tabeli"/>
            </w:pPr>
            <w:r>
              <w:t>GP</w:t>
            </w:r>
          </w:p>
        </w:tc>
        <w:tc>
          <w:tcPr>
            <w:tcW w:w="3970"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Pasy: ruchu, awaryjne, dodatkowe, włączania i wyłączania</w:t>
            </w:r>
          </w:p>
        </w:tc>
        <w:tc>
          <w:tcPr>
            <w:tcW w:w="23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77F00" w:rsidRDefault="00865FA3">
            <w:pPr>
              <w:pStyle w:val="Tekst-spec-w-tabeli"/>
            </w:pPr>
            <w:r>
              <w:t>6</w:t>
            </w:r>
          </w:p>
        </w:tc>
      </w:tr>
      <w:tr w:rsidR="00B77F00">
        <w:tblPrEx>
          <w:tblCellMar>
            <w:top w:w="0" w:type="dxa"/>
            <w:bottom w:w="0" w:type="dxa"/>
          </w:tblCellMar>
        </w:tblPrEx>
        <w:trPr>
          <w:cantSplit/>
          <w:jc w:val="center"/>
        </w:trPr>
        <w:tc>
          <w:tcPr>
            <w:tcW w:w="1242" w:type="dxa"/>
            <w:vMerge/>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000000" w:rsidRDefault="00865FA3"/>
        </w:tc>
        <w:tc>
          <w:tcPr>
            <w:tcW w:w="3970"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Jezdnie łącznic, jezdnie MOP, utwardzone pobocza</w:t>
            </w:r>
          </w:p>
        </w:tc>
        <w:tc>
          <w:tcPr>
            <w:tcW w:w="23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77F00" w:rsidRDefault="00865FA3">
            <w:pPr>
              <w:pStyle w:val="Tekst-spec-w-tabeli"/>
            </w:pPr>
            <w:r>
              <w:t>8</w:t>
            </w:r>
          </w:p>
        </w:tc>
      </w:tr>
      <w:tr w:rsidR="00B77F00">
        <w:tblPrEx>
          <w:tblCellMar>
            <w:top w:w="0" w:type="dxa"/>
            <w:bottom w:w="0" w:type="dxa"/>
          </w:tblCellMar>
        </w:tblPrEx>
        <w:trPr>
          <w:jc w:val="center"/>
        </w:trPr>
        <w:tc>
          <w:tcPr>
            <w:tcW w:w="1242"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G</w:t>
            </w:r>
          </w:p>
        </w:tc>
        <w:tc>
          <w:tcPr>
            <w:tcW w:w="3970"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 xml:space="preserve">Pasy: ruchu, dodatkowe, </w:t>
            </w:r>
            <w:r>
              <w:t>włączania i wyłączania, postojowe, jezdnie łącznic, utwardzone pobocza</w:t>
            </w:r>
          </w:p>
        </w:tc>
        <w:tc>
          <w:tcPr>
            <w:tcW w:w="23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77F00" w:rsidRDefault="00865FA3">
            <w:pPr>
              <w:pStyle w:val="Tekst-spec-w-tabeli"/>
            </w:pPr>
            <w:r>
              <w:t>8</w:t>
            </w:r>
          </w:p>
        </w:tc>
      </w:tr>
      <w:tr w:rsidR="00B77F00">
        <w:tblPrEx>
          <w:tblCellMar>
            <w:top w:w="0" w:type="dxa"/>
            <w:bottom w:w="0" w:type="dxa"/>
          </w:tblCellMar>
        </w:tblPrEx>
        <w:trPr>
          <w:jc w:val="center"/>
        </w:trPr>
        <w:tc>
          <w:tcPr>
            <w:tcW w:w="1242"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Z, L, D</w:t>
            </w:r>
          </w:p>
        </w:tc>
        <w:tc>
          <w:tcPr>
            <w:tcW w:w="3970"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Pasy ruchu</w:t>
            </w:r>
          </w:p>
        </w:tc>
        <w:tc>
          <w:tcPr>
            <w:tcW w:w="23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77F00" w:rsidRDefault="00865FA3">
            <w:pPr>
              <w:pStyle w:val="Tekst-spec-w-tabeli"/>
            </w:pPr>
            <w:r>
              <w:t>9</w:t>
            </w:r>
          </w:p>
        </w:tc>
      </w:tr>
    </w:tbl>
    <w:p w:rsidR="00B77F00" w:rsidRDefault="00865FA3">
      <w:pPr>
        <w:pStyle w:val="Tekst-specyfikacji"/>
        <w:jc w:val="both"/>
      </w:pPr>
      <w:r>
        <w:rPr>
          <w:rStyle w:val="WW-DefaultParagraphFont"/>
          <w:rFonts w:eastAsia="Times New Roman" w:cs="Arial"/>
          <w:lang w:val="pl-PL"/>
        </w:rPr>
        <w:tab/>
        <w:t>Jeżeli nierówności poprzeczne są większe niż dopuszczalne, to należy wyrównać podłoże.</w:t>
      </w:r>
    </w:p>
    <w:p w:rsidR="00B77F00" w:rsidRDefault="00865FA3">
      <w:pPr>
        <w:pStyle w:val="Tekst-specyfikacji"/>
        <w:jc w:val="both"/>
      </w:pPr>
      <w:r>
        <w:rPr>
          <w:rStyle w:val="WW-DefaultParagraphFont"/>
          <w:rFonts w:eastAsia="Times New Roman" w:cs="Arial"/>
          <w:lang w:val="pl-PL"/>
        </w:rPr>
        <w:tab/>
        <w:t xml:space="preserve">Rzędne wysokościowe podłoża oraz urządzeń usytuowanych w nawierzchni </w:t>
      </w:r>
      <w:r>
        <w:rPr>
          <w:rStyle w:val="WW-DefaultParagraphFont"/>
          <w:rFonts w:eastAsia="Times New Roman" w:cs="Arial"/>
          <w:lang w:val="pl-PL"/>
        </w:rPr>
        <w:t>lub ją ograniczających powinny być zgodne z dokumentacją projektową. Z podłoża powinien być zapewniony odpływ wody.</w:t>
      </w:r>
    </w:p>
    <w:p w:rsidR="00B77F00" w:rsidRDefault="00865FA3">
      <w:pPr>
        <w:pStyle w:val="Tekst-specyfikacji"/>
        <w:jc w:val="both"/>
      </w:pPr>
      <w:r>
        <w:rPr>
          <w:rStyle w:val="WW-DefaultParagraphFont"/>
          <w:rFonts w:eastAsia="Times New Roman" w:cs="Arial"/>
          <w:lang w:val="pl-PL"/>
        </w:rPr>
        <w:tab/>
        <w:t>Oznakowanie poziome na warstwie podłoża należy usunąć. Dopuszcza się pozostawienie oznakowania poziomego z materiałów termoplastycznych prz</w:t>
      </w:r>
      <w:r>
        <w:rPr>
          <w:rStyle w:val="WW-DefaultParagraphFont"/>
          <w:rFonts w:eastAsia="Times New Roman" w:cs="Arial"/>
          <w:lang w:val="pl-PL"/>
        </w:rPr>
        <w:t>y spełnieniu warunku sczepności warstw wg punktu 5.7.</w:t>
      </w:r>
    </w:p>
    <w:p w:rsidR="00B77F00" w:rsidRDefault="00865FA3">
      <w:pPr>
        <w:pStyle w:val="Tekst-specyfikacji"/>
        <w:jc w:val="both"/>
      </w:pPr>
      <w:r>
        <w:rPr>
          <w:rStyle w:val="WW-DefaultParagraphFont"/>
          <w:rFonts w:eastAsia="Times New Roman" w:cs="Arial"/>
          <w:lang w:val="pl-PL"/>
        </w:rPr>
        <w:tab/>
        <w:t>Nierówności podłoża (w tym powierzchnię istniejącej warstwy ścieralnej) należy wyrównać poprzez frezowanie lub wykonanie warstwy wyrównawczej.</w:t>
      </w:r>
    </w:p>
    <w:p w:rsidR="00B77F00" w:rsidRDefault="00865FA3">
      <w:pPr>
        <w:pStyle w:val="Tekst-specyfikacji"/>
        <w:jc w:val="both"/>
      </w:pPr>
      <w:r>
        <w:rPr>
          <w:rStyle w:val="WW-DefaultParagraphFont"/>
          <w:rFonts w:eastAsia="Times New Roman" w:cs="Arial"/>
          <w:lang w:val="pl-PL"/>
        </w:rPr>
        <w:tab/>
        <w:t>Wykonane w podłożu łaty z materiału o mniejszej sztywnośc</w:t>
      </w:r>
      <w:r>
        <w:rPr>
          <w:rStyle w:val="WW-DefaultParagraphFont"/>
          <w:rFonts w:eastAsia="Times New Roman" w:cs="Arial"/>
          <w:lang w:val="pl-PL"/>
        </w:rPr>
        <w:t>i (np. łaty z asfaltu lanego w betonie asfaltowym) należy usunąć, a powstałe w ten sposób ubytki wypełnić materiałem o właściwościach zbliżonych do materiału podstawowego (np. wypełnić betonem asfaltowym).</w:t>
      </w:r>
    </w:p>
    <w:p w:rsidR="00B77F00" w:rsidRDefault="00865FA3">
      <w:pPr>
        <w:pStyle w:val="Tekst-specyfikacji"/>
        <w:jc w:val="both"/>
      </w:pPr>
      <w:r>
        <w:rPr>
          <w:rStyle w:val="WW-DefaultParagraphFont"/>
          <w:rFonts w:eastAsia="Times New Roman" w:cs="Arial"/>
          <w:lang w:val="pl-PL"/>
        </w:rPr>
        <w:tab/>
        <w:t>W celu polepszenia połączenia między warstwami te</w:t>
      </w:r>
      <w:r>
        <w:rPr>
          <w:rStyle w:val="WW-DefaultParagraphFont"/>
          <w:rFonts w:eastAsia="Times New Roman" w:cs="Arial"/>
          <w:lang w:val="pl-PL"/>
        </w:rPr>
        <w:t>chnologicznymi nawierzchni powierzchnia podłoża powinna być w ocenie wizualnej chropowata.</w:t>
      </w:r>
    </w:p>
    <w:p w:rsidR="00B77F00" w:rsidRDefault="00865FA3">
      <w:pPr>
        <w:pStyle w:val="Tekst-specyfikacji"/>
        <w:jc w:val="both"/>
      </w:pPr>
      <w:r>
        <w:rPr>
          <w:rStyle w:val="WW-DefaultParagraphFont"/>
          <w:rFonts w:eastAsia="Times New Roman" w:cs="Arial"/>
          <w:lang w:val="pl-PL"/>
        </w:rPr>
        <w:tab/>
        <w:t>Jeżeli podłoże jest nieodpowiednie, to należy ustalić, jakie specjalne środki należy podjąć przed wykonaniem warstwy asfaltowej.</w:t>
      </w:r>
    </w:p>
    <w:p w:rsidR="00B77F00" w:rsidRDefault="00865FA3">
      <w:pPr>
        <w:pStyle w:val="Tekst-specyfikacji"/>
        <w:jc w:val="both"/>
      </w:pPr>
      <w:r>
        <w:rPr>
          <w:rStyle w:val="WW-DefaultParagraphFont"/>
          <w:rFonts w:eastAsia="Times New Roman" w:cs="Arial"/>
          <w:lang w:val="pl-PL"/>
        </w:rPr>
        <w:tab/>
        <w:t>Szerokie szczeliny w podłożu należ</w:t>
      </w:r>
      <w:r>
        <w:rPr>
          <w:rStyle w:val="WW-DefaultParagraphFont"/>
          <w:rFonts w:eastAsia="Times New Roman" w:cs="Arial"/>
          <w:lang w:val="pl-PL"/>
        </w:rPr>
        <w:t>y wypełnić odpowiednim materiałem, np. zalewami drogowymi według PN-EN 14188-1 [60] lub PN-EN 14188-2 [61] albo innymi materiałami według norm lub aprobat technicznych.</w:t>
      </w:r>
    </w:p>
    <w:p w:rsidR="00B77F00" w:rsidRDefault="00865FA3">
      <w:pPr>
        <w:pStyle w:val="Tekst-specyfikacji"/>
        <w:jc w:val="both"/>
      </w:pPr>
      <w:r>
        <w:rPr>
          <w:rStyle w:val="WW-DefaultParagraphFont"/>
          <w:rFonts w:eastAsia="Times New Roman" w:cs="Arial"/>
          <w:lang w:val="pl-PL"/>
        </w:rPr>
        <w:tab/>
        <w:t>Na podłożu wykazującym zniszczenia w postaci siatki spękań zmęczeniowych lub spękań po</w:t>
      </w:r>
      <w:r>
        <w:rPr>
          <w:rStyle w:val="WW-DefaultParagraphFont"/>
          <w:rFonts w:eastAsia="Times New Roman" w:cs="Arial"/>
          <w:lang w:val="pl-PL"/>
        </w:rPr>
        <w:t>przecznych zaleca się stosowanie membrany przeciwspękaniowej, np. mieszanki mineralno-asfaltowej, warstwy SAMI lub z geosyntetyków według norm lub aprobat technicznych.</w:t>
      </w:r>
    </w:p>
    <w:p w:rsidR="00B77F00" w:rsidRDefault="00865FA3">
      <w:pPr>
        <w:pStyle w:val="Spec-num2"/>
        <w:jc w:val="both"/>
      </w:pPr>
      <w:r>
        <w:rPr>
          <w:rStyle w:val="WW-DefaultParagraphFont"/>
          <w:rFonts w:eastAsia="Times New Roman" w:cs="Arial"/>
          <w:lang w:val="pl-PL"/>
        </w:rPr>
        <w:t>5.5. Próba technologiczna</w:t>
      </w:r>
    </w:p>
    <w:p w:rsidR="00B77F00" w:rsidRDefault="00865FA3">
      <w:pPr>
        <w:pStyle w:val="Tekst-specyfikacji"/>
        <w:jc w:val="both"/>
      </w:pPr>
      <w:r>
        <w:rPr>
          <w:rStyle w:val="WW-DefaultParagraphFont"/>
          <w:rFonts w:eastAsia="Times New Roman" w:cs="Arial"/>
          <w:lang w:val="pl-PL"/>
        </w:rPr>
        <w:tab/>
        <w:t xml:space="preserve">Wykonawca przed przystąpieniem do produkcji mieszanki jest </w:t>
      </w:r>
      <w:r>
        <w:rPr>
          <w:rStyle w:val="WW-DefaultParagraphFont"/>
          <w:rFonts w:eastAsia="Times New Roman" w:cs="Arial"/>
          <w:lang w:val="pl-PL"/>
        </w:rPr>
        <w:t>zobowiązany do przeprowadzenia w obecności Inżyniera próby technologicznej, która ma na celu sprawdzenie zgodności właściwości wyprodukowanej mieszanki z receptą. W tym celu należy zaprogramować otaczarkę zgodnie z receptą roboczą i w cyklu automatycznym p</w:t>
      </w:r>
      <w:r>
        <w:rPr>
          <w:rStyle w:val="WW-DefaultParagraphFont"/>
          <w:rFonts w:eastAsia="Times New Roman" w:cs="Arial"/>
          <w:lang w:val="pl-PL"/>
        </w:rPr>
        <w:t>rodukować mieszankę. Do badań należy pobrać mieszankę wyprodukowaną po ustabilizowaniu się pracy otaczarki.</w:t>
      </w:r>
    </w:p>
    <w:p w:rsidR="00B77F00" w:rsidRDefault="00865FA3">
      <w:pPr>
        <w:pStyle w:val="Tekst-specyfikacji"/>
        <w:jc w:val="both"/>
      </w:pPr>
      <w:r>
        <w:rPr>
          <w:rStyle w:val="WW-DefaultParagraphFont"/>
          <w:rFonts w:eastAsia="Times New Roman" w:cs="Arial"/>
          <w:lang w:val="pl-PL"/>
        </w:rPr>
        <w:tab/>
        <w:t>Nie dopuszcza się oceniania dokładności pracy otaczarki oraz prawidłowości składu mieszanki mineralnej na podstawie tzw. suchego zarobu, z uwagi na</w:t>
      </w:r>
      <w:r>
        <w:rPr>
          <w:rStyle w:val="WW-DefaultParagraphFont"/>
          <w:rFonts w:eastAsia="Times New Roman" w:cs="Arial"/>
          <w:lang w:val="pl-PL"/>
        </w:rPr>
        <w:t xml:space="preserve"> możliwą segregację kruszywa.</w:t>
      </w:r>
    </w:p>
    <w:p w:rsidR="00B77F00" w:rsidRDefault="00865FA3">
      <w:pPr>
        <w:pStyle w:val="Tekst-specyfikacji"/>
        <w:jc w:val="both"/>
      </w:pPr>
      <w:r>
        <w:rPr>
          <w:rStyle w:val="WW-DefaultParagraphFont"/>
          <w:rFonts w:eastAsia="Times New Roman" w:cs="Arial"/>
          <w:lang w:val="pl-PL"/>
        </w:rPr>
        <w:tab/>
        <w:t>Mieszankę wyprodukowaną po ustabilizowaniu się pracy otaczarki należy zgromadzić w silosie lub załadować na samochód. Próbki do badań należy pobierać ze skrzyni samochodu zgodnie z metodą określoną w PN-EN 12697-27 [39].</w:t>
      </w:r>
    </w:p>
    <w:p w:rsidR="00B77F00" w:rsidRDefault="00865FA3">
      <w:pPr>
        <w:pStyle w:val="Tekst-specyfikacji"/>
        <w:jc w:val="both"/>
      </w:pPr>
      <w:r>
        <w:rPr>
          <w:rStyle w:val="WW-DefaultParagraphFont"/>
          <w:rFonts w:eastAsia="Times New Roman" w:cs="Arial"/>
          <w:lang w:val="pl-PL"/>
        </w:rPr>
        <w:tab/>
        <w:t xml:space="preserve">Na </w:t>
      </w:r>
      <w:r>
        <w:rPr>
          <w:rStyle w:val="WW-DefaultParagraphFont"/>
          <w:rFonts w:eastAsia="Times New Roman" w:cs="Arial"/>
          <w:lang w:val="pl-PL"/>
        </w:rPr>
        <w:t>podstawie uzyskanych wyników Inżynier podejmuje decyzję o wykonaniu odcinka próbnego.</w:t>
      </w:r>
    </w:p>
    <w:p w:rsidR="00B77F00" w:rsidRDefault="00865FA3">
      <w:pPr>
        <w:pStyle w:val="Spec-num2"/>
        <w:jc w:val="both"/>
      </w:pPr>
      <w:r>
        <w:rPr>
          <w:rStyle w:val="WW-DefaultParagraphFont"/>
          <w:rFonts w:eastAsia="Times New Roman" w:cs="Arial"/>
          <w:lang w:val="pl-PL"/>
        </w:rPr>
        <w:t>5.6. Odcinek próbny</w:t>
      </w:r>
    </w:p>
    <w:p w:rsidR="00B77F00" w:rsidRDefault="00865FA3">
      <w:pPr>
        <w:pStyle w:val="Tekst-specyfikacji"/>
        <w:jc w:val="both"/>
      </w:pPr>
      <w:r>
        <w:rPr>
          <w:rStyle w:val="WW-DefaultParagraphFont"/>
          <w:rFonts w:eastAsia="Times New Roman" w:cs="Arial"/>
          <w:lang w:val="pl-PL"/>
        </w:rPr>
        <w:tab/>
        <w:t>Przed przystąpieniem do wykonania warstwy SMA Wykonawca wykona odcinek próbny celem uściślenia organizacji wytwarzania i układania oraz ustalenia war</w:t>
      </w:r>
      <w:r>
        <w:rPr>
          <w:rStyle w:val="WW-DefaultParagraphFont"/>
          <w:rFonts w:eastAsia="Times New Roman" w:cs="Arial"/>
          <w:lang w:val="pl-PL"/>
        </w:rPr>
        <w:t>unków zagęszczania i uzyskiwanych parametrów jakościowych.</w:t>
      </w:r>
    </w:p>
    <w:p w:rsidR="00B77F00" w:rsidRDefault="00865FA3">
      <w:pPr>
        <w:pStyle w:val="Tekst-specyfikacji"/>
        <w:jc w:val="both"/>
      </w:pPr>
      <w:r>
        <w:rPr>
          <w:rStyle w:val="WW-DefaultParagraphFont"/>
          <w:rFonts w:eastAsia="Times New Roman" w:cs="Arial"/>
          <w:lang w:val="pl-PL"/>
        </w:rPr>
        <w:tab/>
        <w:t>Odcinek próbny powinien być zlokalizowany w miejscu uzgodnionym z Inżynierem. Powierzchnia odcinka próbnego powinna wynosić co najmniej 500 m2, a długość co najmniej 50 m. Na odcinku próbnym Wykon</w:t>
      </w:r>
      <w:r>
        <w:rPr>
          <w:rStyle w:val="WW-DefaultParagraphFont"/>
          <w:rFonts w:eastAsia="Times New Roman" w:cs="Arial"/>
          <w:lang w:val="pl-PL"/>
        </w:rPr>
        <w:t>awca powinien użyć takich materiałów oraz sprzętu jakie zamierza stosować do wykonania warstwy ścieralnej.</w:t>
      </w:r>
    </w:p>
    <w:p w:rsidR="00B77F00" w:rsidRDefault="00865FA3">
      <w:pPr>
        <w:pStyle w:val="Tekst-specyfikacji"/>
        <w:jc w:val="both"/>
      </w:pPr>
      <w:r>
        <w:rPr>
          <w:rStyle w:val="WW-DefaultParagraphFont"/>
          <w:rFonts w:eastAsia="Times New Roman" w:cs="Arial"/>
          <w:lang w:val="pl-PL"/>
        </w:rPr>
        <w:tab/>
        <w:t xml:space="preserve">Wykonawca może przystąpić do realizacji robót po zaakceptowaniu przez Inżyniera technologii </w:t>
      </w:r>
      <w:r>
        <w:rPr>
          <w:rStyle w:val="WW-DefaultParagraphFont"/>
          <w:rFonts w:eastAsia="Times New Roman" w:cs="Arial"/>
          <w:lang w:val="pl-PL"/>
        </w:rPr>
        <w:lastRenderedPageBreak/>
        <w:t>wbudowania i zagęszczania oraz wyników z odcinka próbneg</w:t>
      </w:r>
      <w:r>
        <w:rPr>
          <w:rStyle w:val="WW-DefaultParagraphFont"/>
          <w:rFonts w:eastAsia="Times New Roman" w:cs="Arial"/>
          <w:lang w:val="pl-PL"/>
        </w:rPr>
        <w:t>o.</w:t>
      </w:r>
    </w:p>
    <w:p w:rsidR="00B77F00" w:rsidRDefault="00865FA3">
      <w:pPr>
        <w:pStyle w:val="Spec-num2"/>
        <w:jc w:val="both"/>
      </w:pPr>
      <w:r>
        <w:rPr>
          <w:rStyle w:val="WW-DefaultParagraphFont"/>
          <w:rFonts w:eastAsia="Times New Roman" w:cs="Arial"/>
          <w:lang w:val="pl-PL"/>
        </w:rPr>
        <w:t>5.7. Połączenie międzywarstwowe</w:t>
      </w:r>
    </w:p>
    <w:p w:rsidR="00B77F00" w:rsidRDefault="00865FA3">
      <w:pPr>
        <w:pStyle w:val="Tekst-specyfikacji"/>
        <w:jc w:val="both"/>
      </w:pPr>
      <w:r>
        <w:rPr>
          <w:rStyle w:val="WW-DefaultParagraphFont"/>
          <w:rFonts w:eastAsia="Times New Roman" w:cs="Arial"/>
          <w:lang w:val="pl-PL"/>
        </w:rPr>
        <w:tab/>
        <w:t>Uzyskanie wymaganej trwałości nawierzchni jest uzależnione od zapewnienia połączenia między warstwami i ich współpracy w przenoszeniu obciążenia nawierzchni ruchem.</w:t>
      </w:r>
    </w:p>
    <w:p w:rsidR="00B77F00" w:rsidRDefault="00865FA3">
      <w:pPr>
        <w:pStyle w:val="Tekst-specyfikacji"/>
        <w:jc w:val="both"/>
      </w:pPr>
      <w:r>
        <w:rPr>
          <w:rStyle w:val="WW-DefaultParagraphFont"/>
          <w:rFonts w:eastAsia="Times New Roman" w:cs="Arial"/>
          <w:lang w:val="pl-PL"/>
        </w:rPr>
        <w:tab/>
        <w:t>Podłoże powinno być skropione lepiszczem. Ma to na cel</w:t>
      </w:r>
      <w:r>
        <w:rPr>
          <w:rStyle w:val="WW-DefaultParagraphFont"/>
          <w:rFonts w:eastAsia="Times New Roman" w:cs="Arial"/>
          <w:lang w:val="pl-PL"/>
        </w:rPr>
        <w:t>u zwiększenie połączenia między warstwami konstrukcyjnymi oraz zabezpieczenie przed wnikaniem i zaleganiem wody między warstwami.</w:t>
      </w:r>
    </w:p>
    <w:p w:rsidR="00B77F00" w:rsidRDefault="00865FA3">
      <w:pPr>
        <w:pStyle w:val="Tekst-specyfikacji"/>
        <w:jc w:val="both"/>
      </w:pPr>
      <w:r>
        <w:rPr>
          <w:rStyle w:val="WW-DefaultParagraphFont"/>
          <w:rFonts w:eastAsia="Times New Roman" w:cs="Arial"/>
          <w:lang w:val="pl-PL"/>
        </w:rPr>
        <w:tab/>
        <w:t>Skropienie lepiszczem podłoża (np. z warstwy wiążącej asfaltowej), przed ułożeniem warstwy z mieszanki SMA, powinno być wykon</w:t>
      </w:r>
      <w:r>
        <w:rPr>
          <w:rStyle w:val="WW-DefaultParagraphFont"/>
          <w:rFonts w:eastAsia="Times New Roman" w:cs="Arial"/>
          <w:lang w:val="pl-PL"/>
        </w:rPr>
        <w:t>ane w ilości podanej w przeliczeniu na pozostałe lepiszcze, tj. 0,1 ÷ 0,3 kg/m2, przy czym:</w:t>
      </w:r>
    </w:p>
    <w:p w:rsidR="00B77F00" w:rsidRDefault="00865FA3">
      <w:pPr>
        <w:pStyle w:val="Tekst-specyfikacji"/>
        <w:numPr>
          <w:ilvl w:val="0"/>
          <w:numId w:val="80"/>
        </w:numPr>
        <w:jc w:val="both"/>
      </w:pPr>
      <w:r>
        <w:rPr>
          <w:rStyle w:val="WW-DefaultParagraphFont"/>
          <w:rFonts w:eastAsia="Times New Roman" w:cs="Arial"/>
          <w:lang w:val="pl-PL"/>
        </w:rPr>
        <w:t>zaleca się stosować emulsję modyfikowaną polimerem,</w:t>
      </w:r>
    </w:p>
    <w:p w:rsidR="00B77F00" w:rsidRDefault="00865FA3">
      <w:pPr>
        <w:pStyle w:val="Tekst-specyfikacji"/>
        <w:numPr>
          <w:ilvl w:val="0"/>
          <w:numId w:val="80"/>
        </w:numPr>
        <w:jc w:val="both"/>
      </w:pPr>
      <w:r>
        <w:rPr>
          <w:rStyle w:val="WW-DefaultParagraphFont"/>
          <w:rFonts w:eastAsia="Times New Roman" w:cs="Arial"/>
          <w:lang w:val="pl-PL"/>
        </w:rPr>
        <w:t>ilość emulsji należy dobrać z uwzględnieniem stanu podłoża oraz porowatości mieszanki SMA; jeśli mieszanka ma wi</w:t>
      </w:r>
      <w:r>
        <w:rPr>
          <w:rStyle w:val="WW-DefaultParagraphFont"/>
          <w:rFonts w:eastAsia="Times New Roman" w:cs="Arial"/>
          <w:lang w:val="pl-PL"/>
        </w:rPr>
        <w:t>ększą zawartość wolnych przestrzeni, to należy użyć większą ilość lepiszcza do skropienia, które po ułożeniu warstwy ścieralnej uszczelni ją.</w:t>
      </w:r>
    </w:p>
    <w:p w:rsidR="00B77F00" w:rsidRDefault="00865FA3">
      <w:pPr>
        <w:pStyle w:val="Tekst-specyfikacji"/>
        <w:jc w:val="both"/>
      </w:pPr>
      <w:r>
        <w:rPr>
          <w:rStyle w:val="WW-DefaultParagraphFont"/>
          <w:rFonts w:eastAsia="Times New Roman" w:cs="Arial"/>
          <w:lang w:val="pl-PL"/>
        </w:rPr>
        <w:t>Skrapianie podłoża należy wykonywać równomiernie stosując rampy do skrapiania, np. skrapiarki do lepiszczy asfalto</w:t>
      </w:r>
      <w:r>
        <w:rPr>
          <w:rStyle w:val="WW-DefaultParagraphFont"/>
          <w:rFonts w:eastAsia="Times New Roman" w:cs="Arial"/>
          <w:lang w:val="pl-PL"/>
        </w:rPr>
        <w:t>wych. Dopuszcza się skrapianie ręczne lancą w miejscach trudno dostępnych (np. ścieki uliczne) oraz przy urządzeniach usytuowanych w nawierzchni lub ją ograniczających. W razie potrzeby urządzenia te należy zabezpieczyć przed zabrudzeniem. Skropione podłoż</w:t>
      </w:r>
      <w:r>
        <w:rPr>
          <w:rStyle w:val="WW-DefaultParagraphFont"/>
          <w:rFonts w:eastAsia="Times New Roman" w:cs="Arial"/>
          <w:lang w:val="pl-PL"/>
        </w:rPr>
        <w:t>e należy wyłączyć z ruchu publicznego przez zmianę organizacji ruchu.</w:t>
      </w:r>
    </w:p>
    <w:p w:rsidR="00B77F00" w:rsidRDefault="00865FA3">
      <w:pPr>
        <w:pStyle w:val="Tekst-specyfikacji"/>
        <w:jc w:val="both"/>
      </w:pPr>
      <w:r>
        <w:rPr>
          <w:rStyle w:val="WW-DefaultParagraphFont"/>
          <w:rFonts w:eastAsia="Times New Roman" w:cs="Arial"/>
          <w:lang w:val="pl-PL"/>
        </w:rPr>
        <w:t>W wypadku stosowania emulsji asfaltowej podłoże powinno być skropione 0,5 h przed układaniem warstwy SMA w celu odparowania wody.</w:t>
      </w:r>
    </w:p>
    <w:p w:rsidR="00B77F00" w:rsidRDefault="00865FA3">
      <w:pPr>
        <w:pStyle w:val="Tekst-specyfikacji"/>
        <w:jc w:val="both"/>
      </w:pPr>
      <w:r>
        <w:rPr>
          <w:rStyle w:val="WW-DefaultParagraphFont"/>
          <w:rFonts w:eastAsia="Times New Roman" w:cs="Arial"/>
          <w:lang w:val="pl-PL"/>
        </w:rPr>
        <w:t>Czas ten nie dotyczy skrapiania rampą zamontowaną na roz</w:t>
      </w:r>
      <w:r>
        <w:rPr>
          <w:rStyle w:val="WW-DefaultParagraphFont"/>
          <w:rFonts w:eastAsia="Times New Roman" w:cs="Arial"/>
          <w:lang w:val="pl-PL"/>
        </w:rPr>
        <w:t>kładarce.</w:t>
      </w:r>
    </w:p>
    <w:p w:rsidR="00B77F00" w:rsidRDefault="00865FA3">
      <w:pPr>
        <w:pStyle w:val="Spec-num2"/>
        <w:jc w:val="both"/>
      </w:pPr>
      <w:r>
        <w:rPr>
          <w:rStyle w:val="WW-DefaultParagraphFont"/>
          <w:rFonts w:eastAsia="Times New Roman" w:cs="Arial"/>
          <w:lang w:val="pl-PL"/>
        </w:rPr>
        <w:t>5.8. Wbudowanie mieszanki mineralno-asfaltowej</w:t>
      </w:r>
    </w:p>
    <w:p w:rsidR="00B77F00" w:rsidRDefault="00865FA3">
      <w:pPr>
        <w:pStyle w:val="Tekst-specyfikacji"/>
        <w:jc w:val="both"/>
      </w:pPr>
      <w:r>
        <w:rPr>
          <w:rStyle w:val="WW-DefaultParagraphFont"/>
          <w:rFonts w:eastAsia="Times New Roman" w:cs="Arial"/>
          <w:lang w:val="pl-PL"/>
        </w:rPr>
        <w:tab/>
        <w:t>Mieszankę mineralno-asfaltową można wbudowywać na podłożu przygotowanym zgodnie z zapisami w punktach 5.4 i 5.7.</w:t>
      </w:r>
    </w:p>
    <w:p w:rsidR="00B77F00" w:rsidRDefault="00865FA3">
      <w:pPr>
        <w:pStyle w:val="Tekst-specyfikacji"/>
        <w:jc w:val="both"/>
      </w:pPr>
      <w:r>
        <w:rPr>
          <w:rStyle w:val="WW-DefaultParagraphFont"/>
          <w:rFonts w:eastAsia="Times New Roman" w:cs="Arial"/>
          <w:lang w:val="pl-PL"/>
        </w:rPr>
        <w:tab/>
        <w:t>Transport mieszanki SMA powinien być zgodny z zaleceniami podanymi w punkcie 4.2.</w:t>
      </w:r>
    </w:p>
    <w:p w:rsidR="00B77F00" w:rsidRDefault="00865FA3">
      <w:pPr>
        <w:pStyle w:val="Tekst-specyfikacji"/>
        <w:jc w:val="both"/>
      </w:pPr>
      <w:r>
        <w:rPr>
          <w:rStyle w:val="WW-DefaultParagraphFont"/>
          <w:rFonts w:eastAsia="Times New Roman" w:cs="Arial"/>
          <w:lang w:val="pl-PL"/>
        </w:rPr>
        <w:tab/>
        <w:t>M</w:t>
      </w:r>
      <w:r>
        <w:rPr>
          <w:rStyle w:val="WW-DefaultParagraphFont"/>
          <w:rFonts w:eastAsia="Times New Roman" w:cs="Arial"/>
          <w:lang w:val="pl-PL"/>
        </w:rPr>
        <w:t>ieszankę SMA należy wbudowywać w odpowiednich warunkach atmosferycznych.</w:t>
      </w:r>
    </w:p>
    <w:p w:rsidR="00B77F00" w:rsidRDefault="00865FA3">
      <w:pPr>
        <w:pStyle w:val="Tekst-specyfikacji"/>
        <w:jc w:val="both"/>
      </w:pPr>
      <w:r>
        <w:rPr>
          <w:rStyle w:val="WW-DefaultParagraphFont"/>
          <w:rFonts w:eastAsia="Times New Roman" w:cs="Arial"/>
          <w:lang w:val="pl-PL"/>
        </w:rPr>
        <w:tab/>
        <w:t>Temperatura otoczenia w ciągu doby nie powinna być niższa od temperatury podanej w tablicy 10. Temperatura otoczenia może być niższa w wypadku stosowania ogrzewania podłoża. Nie dopu</w:t>
      </w:r>
      <w:r>
        <w:rPr>
          <w:rStyle w:val="WW-DefaultParagraphFont"/>
          <w:rFonts w:eastAsia="Times New Roman" w:cs="Arial"/>
          <w:lang w:val="pl-PL"/>
        </w:rPr>
        <w:t>szcza się układania mieszanki SMA podczas silnego wiatru (V &gt; 16 m/s).</w:t>
      </w:r>
    </w:p>
    <w:p w:rsidR="00B77F00" w:rsidRDefault="00865FA3">
      <w:pPr>
        <w:pStyle w:val="Tekst-specyfikacji"/>
        <w:jc w:val="both"/>
      </w:pPr>
      <w:r>
        <w:rPr>
          <w:rStyle w:val="WW-DefaultParagraphFont"/>
          <w:rFonts w:eastAsia="Times New Roman" w:cs="Arial"/>
          <w:lang w:val="pl-PL"/>
        </w:rPr>
        <w:tab/>
        <w:t>W wypadku stosowania mieszanek mineralno-asfaltowych z dodatkiem obniżającym temperaturę mieszania i wbudowania należy indywidualnie określić wymagane warunki otoczenia.</w:t>
      </w:r>
    </w:p>
    <w:p w:rsidR="00B77F00" w:rsidRDefault="00B77F00">
      <w:pPr>
        <w:pStyle w:val="Tekst-specyfikacji"/>
      </w:pPr>
    </w:p>
    <w:p w:rsidR="00B77F00" w:rsidRDefault="00865FA3">
      <w:pPr>
        <w:pStyle w:val="Tekst-specyfikacji"/>
      </w:pPr>
      <w:r>
        <w:t>Tablica 10. M</w:t>
      </w:r>
      <w:r>
        <w:t>inimalna temperatura otoczenia podczas wykonywania warstw asfaltowych</w:t>
      </w:r>
    </w:p>
    <w:tbl>
      <w:tblPr>
        <w:tblW w:w="9638" w:type="dxa"/>
        <w:tblLayout w:type="fixed"/>
        <w:tblCellMar>
          <w:left w:w="10" w:type="dxa"/>
          <w:right w:w="10" w:type="dxa"/>
        </w:tblCellMar>
        <w:tblLook w:val="0000" w:firstRow="0" w:lastRow="0" w:firstColumn="0" w:lastColumn="0" w:noHBand="0" w:noVBand="0"/>
      </w:tblPr>
      <w:tblGrid>
        <w:gridCol w:w="4135"/>
        <w:gridCol w:w="3451"/>
        <w:gridCol w:w="2052"/>
      </w:tblGrid>
      <w:tr w:rsidR="00B77F00">
        <w:tblPrEx>
          <w:tblCellMar>
            <w:top w:w="0" w:type="dxa"/>
            <w:bottom w:w="0" w:type="dxa"/>
          </w:tblCellMar>
        </w:tblPrEx>
        <w:trPr>
          <w:cantSplit/>
        </w:trPr>
        <w:tc>
          <w:tcPr>
            <w:tcW w:w="4135" w:type="dxa"/>
            <w:vMerge w:val="restart"/>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Rodzaj robót</w:t>
            </w:r>
          </w:p>
        </w:tc>
        <w:tc>
          <w:tcPr>
            <w:tcW w:w="550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Minimalna temperatura otoczenia  [°C]</w:t>
            </w:r>
          </w:p>
        </w:tc>
      </w:tr>
      <w:tr w:rsidR="00B77F00">
        <w:tblPrEx>
          <w:tblCellMar>
            <w:top w:w="0" w:type="dxa"/>
            <w:bottom w:w="0" w:type="dxa"/>
          </w:tblCellMar>
        </w:tblPrEx>
        <w:trPr>
          <w:cantSplit/>
        </w:trPr>
        <w:tc>
          <w:tcPr>
            <w:tcW w:w="4135" w:type="dxa"/>
            <w:vMerge/>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000000" w:rsidRDefault="00865FA3"/>
        </w:tc>
        <w:tc>
          <w:tcPr>
            <w:tcW w:w="3451"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przed przystąpieniem do robót</w:t>
            </w:r>
          </w:p>
        </w:tc>
        <w:tc>
          <w:tcPr>
            <w:tcW w:w="205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w czasie robót</w:t>
            </w:r>
          </w:p>
        </w:tc>
      </w:tr>
      <w:tr w:rsidR="00B77F00">
        <w:tblPrEx>
          <w:tblCellMar>
            <w:top w:w="0" w:type="dxa"/>
            <w:bottom w:w="0" w:type="dxa"/>
          </w:tblCellMar>
        </w:tblPrEx>
        <w:tc>
          <w:tcPr>
            <w:tcW w:w="4135"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Warstwa ścieralna o grubości ≥ 3 cm</w:t>
            </w:r>
          </w:p>
        </w:tc>
        <w:tc>
          <w:tcPr>
            <w:tcW w:w="3451"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0</w:t>
            </w:r>
          </w:p>
        </w:tc>
        <w:tc>
          <w:tcPr>
            <w:tcW w:w="205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+5</w:t>
            </w:r>
          </w:p>
        </w:tc>
      </w:tr>
      <w:tr w:rsidR="00B77F00">
        <w:tblPrEx>
          <w:tblCellMar>
            <w:top w:w="0" w:type="dxa"/>
            <w:bottom w:w="0" w:type="dxa"/>
          </w:tblCellMar>
        </w:tblPrEx>
        <w:tc>
          <w:tcPr>
            <w:tcW w:w="4135"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Warstwa ścieralna o grubości &lt; 3 cm</w:t>
            </w:r>
          </w:p>
        </w:tc>
        <w:tc>
          <w:tcPr>
            <w:tcW w:w="3451"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+5</w:t>
            </w:r>
          </w:p>
        </w:tc>
        <w:tc>
          <w:tcPr>
            <w:tcW w:w="205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+10</w:t>
            </w:r>
          </w:p>
        </w:tc>
      </w:tr>
    </w:tbl>
    <w:p w:rsidR="00B77F00" w:rsidRDefault="00865FA3">
      <w:pPr>
        <w:pStyle w:val="Tekst-specyfikacji"/>
      </w:pPr>
      <w:r>
        <w:tab/>
      </w:r>
      <w:r>
        <w:t>Właściwości wykonanej warstwy powinny spełniać warunki podane w tablicy 13.</w:t>
      </w:r>
    </w:p>
    <w:p w:rsidR="00B77F00" w:rsidRDefault="00865FA3">
      <w:pPr>
        <w:pStyle w:val="Tekst-specyfikacji"/>
      </w:pPr>
      <w:r>
        <w:t>Tablica 11. Właściwości warstwy SMA [65]</w:t>
      </w:r>
    </w:p>
    <w:tbl>
      <w:tblPr>
        <w:tblW w:w="9638" w:type="dxa"/>
        <w:tblLayout w:type="fixed"/>
        <w:tblCellMar>
          <w:left w:w="10" w:type="dxa"/>
          <w:right w:w="10" w:type="dxa"/>
        </w:tblCellMar>
        <w:tblLook w:val="0000" w:firstRow="0" w:lastRow="0" w:firstColumn="0" w:lastColumn="0" w:noHBand="0" w:noVBand="0"/>
      </w:tblPr>
      <w:tblGrid>
        <w:gridCol w:w="2404"/>
        <w:gridCol w:w="2407"/>
        <w:gridCol w:w="2407"/>
        <w:gridCol w:w="2420"/>
      </w:tblGrid>
      <w:tr w:rsidR="00B77F00">
        <w:tblPrEx>
          <w:tblCellMar>
            <w:top w:w="0" w:type="dxa"/>
            <w:bottom w:w="0" w:type="dxa"/>
          </w:tblCellMar>
        </w:tblPrEx>
        <w:tc>
          <w:tcPr>
            <w:tcW w:w="2405"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Typ i wymiar mieszanki</w:t>
            </w:r>
          </w:p>
        </w:tc>
        <w:tc>
          <w:tcPr>
            <w:tcW w:w="2407"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Projektowana grubość warstwy technologicznej [cm]</w:t>
            </w:r>
          </w:p>
        </w:tc>
        <w:tc>
          <w:tcPr>
            <w:tcW w:w="2407"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Wskaźnik zagęszczenia</w:t>
            </w:r>
          </w:p>
          <w:p w:rsidR="00B77F00" w:rsidRDefault="00865FA3">
            <w:pPr>
              <w:pStyle w:val="Tekst-spec-w-tabeli"/>
            </w:pPr>
            <w:r>
              <w:t>[%]</w:t>
            </w:r>
          </w:p>
        </w:tc>
        <w:tc>
          <w:tcPr>
            <w:tcW w:w="242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77F00" w:rsidRDefault="00865FA3">
            <w:pPr>
              <w:pStyle w:val="Tekst-spec-w-tabeli"/>
            </w:pPr>
            <w:r>
              <w:t>Zawartość wolnych przestrzeni w warstwie</w:t>
            </w:r>
          </w:p>
          <w:p w:rsidR="00B77F00" w:rsidRDefault="00865FA3">
            <w:pPr>
              <w:pStyle w:val="Tekst-spec-w-tabeli"/>
            </w:pPr>
            <w:r>
              <w:t>[%(v/v)]</w:t>
            </w:r>
          </w:p>
        </w:tc>
      </w:tr>
      <w:tr w:rsidR="00B77F00">
        <w:tblPrEx>
          <w:tblCellMar>
            <w:top w:w="0" w:type="dxa"/>
            <w:bottom w:w="0" w:type="dxa"/>
          </w:tblCellMar>
        </w:tblPrEx>
        <w:tc>
          <w:tcPr>
            <w:tcW w:w="2405"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SMA 5</w:t>
            </w:r>
          </w:p>
        </w:tc>
        <w:tc>
          <w:tcPr>
            <w:tcW w:w="2407"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2,0 ÷ 4,0</w:t>
            </w:r>
          </w:p>
        </w:tc>
        <w:tc>
          <w:tcPr>
            <w:tcW w:w="2407"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 97</w:t>
            </w:r>
          </w:p>
        </w:tc>
        <w:tc>
          <w:tcPr>
            <w:tcW w:w="242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2,0 ÷ 6,0</w:t>
            </w:r>
          </w:p>
        </w:tc>
      </w:tr>
      <w:tr w:rsidR="00B77F00">
        <w:tblPrEx>
          <w:tblCellMar>
            <w:top w:w="0" w:type="dxa"/>
            <w:bottom w:w="0" w:type="dxa"/>
          </w:tblCellMar>
        </w:tblPrEx>
        <w:tc>
          <w:tcPr>
            <w:tcW w:w="2405"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SMA 8</w:t>
            </w:r>
          </w:p>
        </w:tc>
        <w:tc>
          <w:tcPr>
            <w:tcW w:w="2407"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2,5 ÷ 5,0</w:t>
            </w:r>
          </w:p>
        </w:tc>
        <w:tc>
          <w:tcPr>
            <w:tcW w:w="2407"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 97</w:t>
            </w:r>
          </w:p>
        </w:tc>
        <w:tc>
          <w:tcPr>
            <w:tcW w:w="242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2,0 ÷ 6,0</w:t>
            </w:r>
          </w:p>
        </w:tc>
      </w:tr>
      <w:tr w:rsidR="00B77F00">
        <w:tblPrEx>
          <w:tblCellMar>
            <w:top w:w="0" w:type="dxa"/>
            <w:bottom w:w="0" w:type="dxa"/>
          </w:tblCellMar>
        </w:tblPrEx>
        <w:tc>
          <w:tcPr>
            <w:tcW w:w="2405"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SMA 11</w:t>
            </w:r>
          </w:p>
        </w:tc>
        <w:tc>
          <w:tcPr>
            <w:tcW w:w="2407"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3,5 ÷ 5,0</w:t>
            </w:r>
          </w:p>
        </w:tc>
        <w:tc>
          <w:tcPr>
            <w:tcW w:w="2407"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 97</w:t>
            </w:r>
          </w:p>
        </w:tc>
        <w:tc>
          <w:tcPr>
            <w:tcW w:w="242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3,0 ÷ 6,0</w:t>
            </w:r>
          </w:p>
        </w:tc>
      </w:tr>
    </w:tbl>
    <w:p w:rsidR="00B77F00" w:rsidRDefault="00B77F00">
      <w:pPr>
        <w:pStyle w:val="Tekst-specyfikacji"/>
      </w:pPr>
    </w:p>
    <w:p w:rsidR="00B77F00" w:rsidRDefault="00865FA3">
      <w:pPr>
        <w:pStyle w:val="Tekst-specyfikacji"/>
        <w:jc w:val="both"/>
      </w:pPr>
      <w:r>
        <w:tab/>
      </w:r>
      <w:r>
        <w:rPr>
          <w:rStyle w:val="WW-DefaultParagraphFont"/>
          <w:rFonts w:eastAsia="Times New Roman" w:cs="Arial"/>
          <w:lang w:val="pl-PL"/>
        </w:rPr>
        <w:t xml:space="preserve">Mieszanka mineralno-asfaltowa powinna być wbudowywana rozkładarką wyposażoną w układ automatycznego sterowania grubości warstwy i utrzymywania </w:t>
      </w:r>
      <w:r>
        <w:rPr>
          <w:rStyle w:val="WW-DefaultParagraphFont"/>
          <w:rFonts w:eastAsia="Times New Roman" w:cs="Arial"/>
          <w:lang w:val="pl-PL"/>
        </w:rPr>
        <w:t>niwelety zgodnie z dokumentacją projektową. W miejscach niedostępnych dla sprzętu dopuszcza się wbudowywanie ręczne.</w:t>
      </w:r>
    </w:p>
    <w:p w:rsidR="00B77F00" w:rsidRDefault="00865FA3">
      <w:pPr>
        <w:pStyle w:val="Tekst-specyfikacji"/>
        <w:jc w:val="both"/>
      </w:pPr>
      <w:r>
        <w:rPr>
          <w:rStyle w:val="WW-DefaultParagraphFont"/>
          <w:rFonts w:eastAsia="Times New Roman" w:cs="Arial"/>
          <w:lang w:val="pl-PL"/>
        </w:rPr>
        <w:tab/>
        <w:t>Grubość wykonywanej warstwy powinna być sprawdzana co 25 m, w co najmniej trzech miejscach (w osi i przy brzegach warstwy).</w:t>
      </w:r>
    </w:p>
    <w:p w:rsidR="00B77F00" w:rsidRDefault="00865FA3">
      <w:pPr>
        <w:pStyle w:val="Tekst-specyfikacji"/>
        <w:jc w:val="both"/>
      </w:pPr>
      <w:r>
        <w:rPr>
          <w:rStyle w:val="WW-DefaultParagraphFont"/>
          <w:rFonts w:eastAsia="Times New Roman" w:cs="Arial"/>
          <w:lang w:val="pl-PL"/>
        </w:rPr>
        <w:tab/>
        <w:t>Warstwy wałow</w:t>
      </w:r>
      <w:r>
        <w:rPr>
          <w:rStyle w:val="WW-DefaultParagraphFont"/>
          <w:rFonts w:eastAsia="Times New Roman" w:cs="Arial"/>
          <w:lang w:val="pl-PL"/>
        </w:rPr>
        <w:t>ane powinny być równomiernie zagęszczone ciężkimi walcami drogowymi. Do warstw z mieszanki SMA można stosować wyłącznie walce drogowe stalowe gładkie. Nie zaleca się stosowania wibracji podczas zagęszczania SMA.</w:t>
      </w:r>
    </w:p>
    <w:p w:rsidR="00B77F00" w:rsidRDefault="00865FA3">
      <w:pPr>
        <w:pStyle w:val="Spec-num2"/>
        <w:jc w:val="both"/>
      </w:pPr>
      <w:r>
        <w:rPr>
          <w:rStyle w:val="WW-DefaultParagraphFont"/>
          <w:rFonts w:eastAsia="Times New Roman" w:cs="Arial"/>
          <w:lang w:val="pl-PL"/>
        </w:rPr>
        <w:t>5.9. Połączenia technologiczne</w:t>
      </w:r>
    </w:p>
    <w:p w:rsidR="00B77F00" w:rsidRDefault="00865FA3">
      <w:pPr>
        <w:pStyle w:val="Tekst-specyfikacji"/>
        <w:jc w:val="both"/>
      </w:pPr>
      <w:r>
        <w:rPr>
          <w:rStyle w:val="WW-DefaultParagraphFont"/>
          <w:rFonts w:eastAsia="Times New Roman" w:cs="Arial"/>
          <w:lang w:val="pl-PL"/>
        </w:rPr>
        <w:tab/>
        <w:t>Połączenia t</w:t>
      </w:r>
      <w:r>
        <w:rPr>
          <w:rStyle w:val="WW-DefaultParagraphFont"/>
          <w:rFonts w:eastAsia="Times New Roman" w:cs="Arial"/>
          <w:lang w:val="pl-PL"/>
        </w:rPr>
        <w:t>echnologiczne należy wykonać zgodnie z WT-2 Nawierzchnie asfaltowe 2016 punkt 7.6.[65]</w:t>
      </w:r>
    </w:p>
    <w:p w:rsidR="00B77F00" w:rsidRDefault="00865FA3">
      <w:pPr>
        <w:pStyle w:val="Spec-num2"/>
        <w:jc w:val="both"/>
      </w:pPr>
      <w:r>
        <w:rPr>
          <w:rStyle w:val="WW-DefaultParagraphFont"/>
          <w:rFonts w:eastAsia="Times New Roman" w:cs="Arial"/>
          <w:lang w:val="pl-PL"/>
        </w:rPr>
        <w:t>5.10. Uszorstnienie warstwy SMA</w:t>
      </w:r>
    </w:p>
    <w:p w:rsidR="00B77F00" w:rsidRDefault="00865FA3">
      <w:pPr>
        <w:pStyle w:val="Tekst-specyfikacji"/>
        <w:jc w:val="both"/>
      </w:pPr>
      <w:r>
        <w:rPr>
          <w:rStyle w:val="WW-DefaultParagraphFont"/>
          <w:rFonts w:eastAsia="Times New Roman" w:cs="Arial"/>
          <w:lang w:val="pl-PL"/>
        </w:rPr>
        <w:lastRenderedPageBreak/>
        <w:tab/>
        <w:t xml:space="preserve">Warstwa ścieralna z SMA powinna mieć jednorodną teksturę i strukturę, dostosowaną do przeznaczenia, np. ze względu na właściwości </w:t>
      </w:r>
      <w:r>
        <w:rPr>
          <w:rStyle w:val="WW-DefaultParagraphFont"/>
          <w:rFonts w:eastAsia="Times New Roman" w:cs="Arial"/>
          <w:lang w:val="pl-PL"/>
        </w:rPr>
        <w:t>przeciwpoślizgowe, hałas toczenia kół lub względy estetyczne.</w:t>
      </w:r>
    </w:p>
    <w:p w:rsidR="00B77F00" w:rsidRDefault="00865FA3">
      <w:pPr>
        <w:pStyle w:val="Tekst-specyfikacji"/>
        <w:jc w:val="both"/>
      </w:pPr>
      <w:r>
        <w:rPr>
          <w:rStyle w:val="WW-DefaultParagraphFont"/>
          <w:rFonts w:eastAsia="Times New Roman" w:cs="Arial"/>
          <w:lang w:val="pl-PL"/>
        </w:rPr>
        <w:tab/>
        <w:t xml:space="preserve">Do zwiększenia szorstkości warstwy ścieralnej konieczne może być jej uszorstnienie. Do warstw z mieszanki SMA o D &lt; 11 mm zaleca się stosowanie posypki o wymiarze 2/4 mm. Do warstw z mieszanki </w:t>
      </w:r>
      <w:r>
        <w:rPr>
          <w:rStyle w:val="WW-DefaultParagraphFont"/>
          <w:rFonts w:eastAsia="Times New Roman" w:cs="Arial"/>
          <w:lang w:val="pl-PL"/>
        </w:rPr>
        <w:t>SMA o D ≥ 11 mm można stosować posypkę o wymiarze 2/4 lub 2/5 mm.</w:t>
      </w:r>
    </w:p>
    <w:p w:rsidR="00B77F00" w:rsidRDefault="00865FA3">
      <w:pPr>
        <w:pStyle w:val="Tekst-specyfikacji"/>
        <w:jc w:val="both"/>
      </w:pPr>
      <w:r>
        <w:rPr>
          <w:rStyle w:val="WW-DefaultParagraphFont"/>
          <w:rFonts w:eastAsia="Times New Roman" w:cs="Arial"/>
          <w:lang w:val="pl-PL"/>
        </w:rPr>
        <w:tab/>
        <w:t>Na powierzchnię gorącej warstwy należy równomiernie nanieść posypkę odpowiednio wcześnie tak, aby została wgnieciona w warstwę przez walce. Nanoszenie posypki powinno odbywać się maszynowo,</w:t>
      </w:r>
      <w:r>
        <w:rPr>
          <w:rStyle w:val="WW-DefaultParagraphFont"/>
          <w:rFonts w:eastAsia="Times New Roman" w:cs="Arial"/>
          <w:lang w:val="pl-PL"/>
        </w:rPr>
        <w:t xml:space="preserve"> a jedynie w miejscach trudno dostępnych dopuszcza się wykonanie ręczne.</w:t>
      </w:r>
      <w:r>
        <w:rPr>
          <w:rStyle w:val="WW-DefaultParagraphFont"/>
          <w:rFonts w:eastAsia="Times New Roman" w:cs="Arial"/>
          <w:lang w:val="pl-PL"/>
        </w:rPr>
        <w:tab/>
        <w:t xml:space="preserve">Przy wyborze uziarnienia posypki należy wziąć pod uwagę wymagania ochrony przed hałasem. Jeżeli wymaga się zmniejszenia hałasu od kół pojazdów, należy stosować posypkę o drobniejszym </w:t>
      </w:r>
      <w:r>
        <w:rPr>
          <w:rStyle w:val="WW-DefaultParagraphFont"/>
          <w:rFonts w:eastAsia="Times New Roman" w:cs="Arial"/>
          <w:lang w:val="pl-PL"/>
        </w:rPr>
        <w:t>uziarnieniu.</w:t>
      </w:r>
    </w:p>
    <w:p w:rsidR="00B77F00" w:rsidRDefault="00865FA3">
      <w:pPr>
        <w:pStyle w:val="Tekst-specyfikacji"/>
        <w:jc w:val="both"/>
      </w:pPr>
      <w:r>
        <w:rPr>
          <w:rStyle w:val="WW-DefaultParagraphFont"/>
          <w:rFonts w:eastAsia="Times New Roman" w:cs="Arial"/>
          <w:lang w:val="pl-PL"/>
        </w:rPr>
        <w:tab/>
        <w:t>Zalecana ilość posypki do warstwy z mieszanki SMA:</w:t>
      </w:r>
    </w:p>
    <w:p w:rsidR="00B77F00" w:rsidRDefault="00865FA3">
      <w:pPr>
        <w:pStyle w:val="Tekst-specyfikacji"/>
        <w:numPr>
          <w:ilvl w:val="0"/>
          <w:numId w:val="102"/>
        </w:numPr>
        <w:jc w:val="both"/>
      </w:pPr>
      <w:r>
        <w:rPr>
          <w:rStyle w:val="WW-DefaultParagraphFont"/>
          <w:rFonts w:eastAsia="Times New Roman" w:cs="Arial"/>
          <w:lang w:val="pl-PL"/>
        </w:rPr>
        <w:t>kruszywo o wymiarze 2/4 mm: od 0,5 do 1,5 kg/m2,</w:t>
      </w:r>
    </w:p>
    <w:p w:rsidR="00B77F00" w:rsidRDefault="00865FA3">
      <w:pPr>
        <w:pStyle w:val="Tekst-specyfikacji"/>
        <w:numPr>
          <w:ilvl w:val="0"/>
          <w:numId w:val="9"/>
        </w:numPr>
        <w:jc w:val="both"/>
      </w:pPr>
      <w:r>
        <w:rPr>
          <w:rStyle w:val="WW-DefaultParagraphFont"/>
          <w:rFonts w:eastAsia="Times New Roman" w:cs="Arial"/>
          <w:lang w:val="pl-PL"/>
        </w:rPr>
        <w:t>kruszywo o wymiarze 2/5 mm: od 1,0 do 2,0 kg/m2.</w:t>
      </w:r>
    </w:p>
    <w:p w:rsidR="00B77F00" w:rsidRDefault="00865FA3">
      <w:pPr>
        <w:pStyle w:val="Tekst-specyfikacji"/>
        <w:jc w:val="both"/>
      </w:pPr>
      <w:r>
        <w:rPr>
          <w:rStyle w:val="WW-DefaultParagraphFont"/>
          <w:rFonts w:eastAsia="Times New Roman" w:cs="Arial"/>
          <w:lang w:val="pl-PL"/>
        </w:rPr>
        <w:t>W uzasadnionych wypadkach można nie stosować uszorstnienia, na przykład w celu zmniejszenia h</w:t>
      </w:r>
      <w:r>
        <w:rPr>
          <w:rStyle w:val="WW-DefaultParagraphFont"/>
          <w:rFonts w:eastAsia="Times New Roman" w:cs="Arial"/>
          <w:lang w:val="pl-PL"/>
        </w:rPr>
        <w:t>ałaśliwości jezdni z mieszanek drobnoziarnistych na odcinkach obszarów zurbanizowanych.</w:t>
      </w:r>
    </w:p>
    <w:p w:rsidR="00B77F00" w:rsidRDefault="00865FA3">
      <w:pPr>
        <w:pStyle w:val="Spec-num1"/>
        <w:jc w:val="both"/>
        <w:rPr>
          <w:b w:val="0"/>
          <w:sz w:val="20"/>
          <w:szCs w:val="20"/>
        </w:rPr>
      </w:pPr>
      <w:r>
        <w:rPr>
          <w:rStyle w:val="WW-DefaultParagraphFont"/>
          <w:rFonts w:eastAsia="Times New Roman" w:cs="Arial"/>
          <w:bCs/>
          <w:lang w:val="pl-PL"/>
        </w:rPr>
        <w:t>6. KONTROLA JAKOŚCI ROBÓT</w:t>
      </w:r>
    </w:p>
    <w:p w:rsidR="00B77F00" w:rsidRDefault="00865FA3">
      <w:pPr>
        <w:pStyle w:val="Spec-num2"/>
        <w:jc w:val="both"/>
      </w:pPr>
      <w:r>
        <w:rPr>
          <w:rStyle w:val="WW-DefaultParagraphFont"/>
          <w:rFonts w:eastAsia="Times New Roman" w:cs="Arial"/>
          <w:lang w:val="pl-PL"/>
        </w:rPr>
        <w:t>6.1. Ogólne zasady kontroli jakości robót</w:t>
      </w:r>
    </w:p>
    <w:p w:rsidR="00B77F00" w:rsidRDefault="00865FA3">
      <w:pPr>
        <w:pStyle w:val="Tekst-specyfikacji"/>
        <w:jc w:val="both"/>
      </w:pPr>
      <w:r>
        <w:rPr>
          <w:rStyle w:val="WW-DefaultParagraphFont"/>
          <w:rFonts w:eastAsia="Times New Roman" w:cs="Arial"/>
          <w:lang w:val="pl-PL"/>
        </w:rPr>
        <w:t>Ogólne zasady kontroli jakości robót podano w ST   DMU 00.00.00 „Wymagania ogólne” [1] pkt 6.</w:t>
      </w:r>
    </w:p>
    <w:p w:rsidR="00B77F00" w:rsidRDefault="00865FA3">
      <w:pPr>
        <w:pStyle w:val="Spec-num2"/>
        <w:jc w:val="both"/>
      </w:pPr>
      <w:r>
        <w:rPr>
          <w:rStyle w:val="WW-DefaultParagraphFont"/>
          <w:rFonts w:eastAsia="Times New Roman" w:cs="Arial"/>
          <w:lang w:val="pl-PL"/>
        </w:rPr>
        <w:t xml:space="preserve">6.2. </w:t>
      </w:r>
      <w:r>
        <w:rPr>
          <w:rStyle w:val="WW-DefaultParagraphFont"/>
          <w:rFonts w:eastAsia="Times New Roman" w:cs="Arial"/>
          <w:lang w:val="pl-PL"/>
        </w:rPr>
        <w:t>Badania przed przystąpieniem do robót</w:t>
      </w:r>
    </w:p>
    <w:p w:rsidR="00B77F00" w:rsidRDefault="00865FA3">
      <w:pPr>
        <w:pStyle w:val="Tekst-specyfikacji"/>
        <w:jc w:val="both"/>
      </w:pPr>
      <w:r>
        <w:rPr>
          <w:rStyle w:val="WW-DefaultParagraphFont"/>
          <w:rFonts w:eastAsia="Times New Roman" w:cs="Arial"/>
          <w:lang w:val="pl-PL"/>
        </w:rPr>
        <w:tab/>
        <w:t>Przed przystąpieniem do robót Wykonawca powinien:</w:t>
      </w:r>
    </w:p>
    <w:p w:rsidR="00B77F00" w:rsidRDefault="00865FA3">
      <w:pPr>
        <w:pStyle w:val="Tekst-specyfikacji"/>
        <w:numPr>
          <w:ilvl w:val="0"/>
          <w:numId w:val="103"/>
        </w:numPr>
        <w:jc w:val="both"/>
      </w:pPr>
      <w:r>
        <w:rPr>
          <w:rStyle w:val="WW-DefaultParagraphFont"/>
          <w:rFonts w:eastAsia="Times New Roman" w:cs="Arial"/>
          <w:lang w:val="pl-PL"/>
        </w:rPr>
        <w:t>uzyskać wymagane dokumenty, dopuszczające wyroby budowlane do obrotu i powszechnego stosowania (np. stwierdzenie o oznakowaniu materiału znakiem CE lub znakiem budowla</w:t>
      </w:r>
      <w:r>
        <w:rPr>
          <w:rStyle w:val="WW-DefaultParagraphFont"/>
          <w:rFonts w:eastAsia="Times New Roman" w:cs="Arial"/>
          <w:lang w:val="pl-PL"/>
        </w:rPr>
        <w:t>nym B, certyfikat zgodności, deklarację zgodności, aprobatę techniczną, ew. badania materiałów wykonane przez dostawców itp.),</w:t>
      </w:r>
    </w:p>
    <w:p w:rsidR="00B77F00" w:rsidRDefault="00865FA3">
      <w:pPr>
        <w:pStyle w:val="Tekst-specyfikacji"/>
        <w:numPr>
          <w:ilvl w:val="0"/>
          <w:numId w:val="103"/>
        </w:numPr>
        <w:jc w:val="both"/>
      </w:pPr>
      <w:r>
        <w:rPr>
          <w:rStyle w:val="WW-DefaultParagraphFont"/>
          <w:rFonts w:eastAsia="Times New Roman" w:cs="Arial"/>
          <w:lang w:val="pl-PL"/>
        </w:rPr>
        <w:t>ew. wykonać własne badania właściwości materiałów przeznaczonych do wykonania robót, określone przez Inżyniera,</w:t>
      </w:r>
    </w:p>
    <w:p w:rsidR="00B77F00" w:rsidRDefault="00865FA3">
      <w:pPr>
        <w:pStyle w:val="Tekst-specyfikacji"/>
        <w:numPr>
          <w:ilvl w:val="0"/>
          <w:numId w:val="103"/>
        </w:numPr>
        <w:jc w:val="both"/>
      </w:pPr>
      <w:r>
        <w:rPr>
          <w:rStyle w:val="WW-DefaultParagraphFont"/>
          <w:rFonts w:eastAsia="Times New Roman" w:cs="Arial"/>
          <w:lang w:val="pl-PL"/>
        </w:rPr>
        <w:t>sprawdzić cechy z</w:t>
      </w:r>
      <w:r>
        <w:rPr>
          <w:rStyle w:val="WW-DefaultParagraphFont"/>
          <w:rFonts w:eastAsia="Times New Roman" w:cs="Arial"/>
          <w:lang w:val="pl-PL"/>
        </w:rPr>
        <w:t>ewnętrzne gotowych materiałów z tworzyw.</w:t>
      </w:r>
    </w:p>
    <w:p w:rsidR="00B77F00" w:rsidRDefault="00865FA3">
      <w:pPr>
        <w:pStyle w:val="Tekst-specyfikacji"/>
        <w:jc w:val="both"/>
      </w:pPr>
      <w:r>
        <w:rPr>
          <w:rStyle w:val="WW-DefaultParagraphFont"/>
          <w:rFonts w:eastAsia="Times New Roman" w:cs="Arial"/>
          <w:lang w:val="pl-PL"/>
        </w:rPr>
        <w:tab/>
        <w:t>Wszystkie dokumenty oraz wyniki badań Wykonawca przedstawia Inżynierowi do akceptacji.</w:t>
      </w:r>
    </w:p>
    <w:p w:rsidR="00B77F00" w:rsidRDefault="00865FA3">
      <w:pPr>
        <w:pStyle w:val="Spec-num2"/>
        <w:jc w:val="both"/>
      </w:pPr>
      <w:r>
        <w:rPr>
          <w:rStyle w:val="WW-DefaultParagraphFont"/>
          <w:rFonts w:eastAsia="Times New Roman" w:cs="Arial"/>
          <w:lang w:val="pl-PL"/>
        </w:rPr>
        <w:t>6.3. Badania w czasie robót</w:t>
      </w:r>
    </w:p>
    <w:p w:rsidR="00B77F00" w:rsidRDefault="00865FA3">
      <w:pPr>
        <w:pStyle w:val="Tekst-specyfikacji"/>
        <w:jc w:val="both"/>
      </w:pPr>
      <w:r>
        <w:rPr>
          <w:rStyle w:val="WW-DefaultParagraphFont"/>
          <w:rFonts w:eastAsia="Times New Roman" w:cs="Arial"/>
          <w:lang w:val="pl-PL"/>
        </w:rPr>
        <w:t>6.3.1. Uwagi ogólne</w:t>
      </w:r>
    </w:p>
    <w:p w:rsidR="00B77F00" w:rsidRDefault="00865FA3">
      <w:pPr>
        <w:pStyle w:val="Tekst-specyfikacji"/>
        <w:jc w:val="both"/>
      </w:pPr>
      <w:r>
        <w:rPr>
          <w:rStyle w:val="WW-DefaultParagraphFont"/>
          <w:rFonts w:eastAsia="Times New Roman" w:cs="Arial"/>
          <w:lang w:val="pl-PL"/>
        </w:rPr>
        <w:tab/>
        <w:t>Badania dzielą się na:</w:t>
      </w:r>
    </w:p>
    <w:p w:rsidR="00B77F00" w:rsidRDefault="00865FA3">
      <w:pPr>
        <w:pStyle w:val="Tekst-specyfikacji"/>
        <w:numPr>
          <w:ilvl w:val="0"/>
          <w:numId w:val="80"/>
        </w:numPr>
        <w:jc w:val="both"/>
      </w:pPr>
      <w:r>
        <w:rPr>
          <w:rStyle w:val="WW-DefaultParagraphFont"/>
          <w:rFonts w:eastAsia="Times New Roman" w:cs="Arial"/>
          <w:lang w:val="pl-PL"/>
        </w:rPr>
        <w:t>badania wykonawcy (w ramach własnego nadzoru),</w:t>
      </w:r>
    </w:p>
    <w:p w:rsidR="00B77F00" w:rsidRDefault="00865FA3">
      <w:pPr>
        <w:pStyle w:val="Tekst-specyfikacji"/>
        <w:numPr>
          <w:ilvl w:val="0"/>
          <w:numId w:val="80"/>
        </w:numPr>
        <w:jc w:val="both"/>
      </w:pPr>
      <w:r>
        <w:rPr>
          <w:rStyle w:val="WW-DefaultParagraphFont"/>
          <w:rFonts w:eastAsia="Times New Roman" w:cs="Arial"/>
          <w:lang w:val="pl-PL"/>
        </w:rPr>
        <w:t xml:space="preserve">badania </w:t>
      </w:r>
      <w:r>
        <w:rPr>
          <w:rStyle w:val="WW-DefaultParagraphFont"/>
          <w:rFonts w:eastAsia="Times New Roman" w:cs="Arial"/>
          <w:lang w:val="pl-PL"/>
        </w:rPr>
        <w:t>kontrolne (w ramach nadzoru zleceniodawcy – Inżyniera).</w:t>
      </w:r>
    </w:p>
    <w:p w:rsidR="00B77F00" w:rsidRDefault="00865FA3">
      <w:pPr>
        <w:pStyle w:val="Tekst-specyfikacji"/>
        <w:jc w:val="both"/>
      </w:pPr>
      <w:r>
        <w:rPr>
          <w:rStyle w:val="WW-DefaultParagraphFont"/>
          <w:rFonts w:eastAsia="Times New Roman" w:cs="Arial"/>
          <w:lang w:val="pl-PL"/>
        </w:rPr>
        <w:t>6.3.2. Badania Wykonawcy</w:t>
      </w:r>
    </w:p>
    <w:p w:rsidR="00B77F00" w:rsidRDefault="00865FA3">
      <w:pPr>
        <w:pStyle w:val="Tekst-specyfikacji"/>
        <w:jc w:val="both"/>
      </w:pPr>
      <w:r>
        <w:rPr>
          <w:rStyle w:val="WW-DefaultParagraphFont"/>
          <w:rFonts w:eastAsia="Times New Roman" w:cs="Arial"/>
          <w:lang w:val="pl-PL"/>
        </w:rPr>
        <w:tab/>
        <w:t>Badania Wykonawcy są wykonywane przez Wykonawcę lub jego zleceniobiorców celem sprawdzenia, czy jakość materiałów budowlanych (mieszanek mineralno-asfaltowych i ich składnikó</w:t>
      </w:r>
      <w:r>
        <w:rPr>
          <w:rStyle w:val="WW-DefaultParagraphFont"/>
          <w:rFonts w:eastAsia="Times New Roman" w:cs="Arial"/>
          <w:lang w:val="pl-PL"/>
        </w:rPr>
        <w:t>w, lepiszczy i materiałów do uszczelnień itp.) oraz gotowej warstwy (wbudowane warstwy asfaltowe, połączenia itp.) spełniają wymagania określone w kontrakcie.</w:t>
      </w:r>
    </w:p>
    <w:p w:rsidR="00B77F00" w:rsidRDefault="00865FA3">
      <w:pPr>
        <w:pStyle w:val="Tekst-specyfikacji"/>
        <w:jc w:val="both"/>
      </w:pPr>
      <w:r>
        <w:rPr>
          <w:rStyle w:val="WW-DefaultParagraphFont"/>
          <w:rFonts w:eastAsia="Times New Roman" w:cs="Arial"/>
          <w:lang w:val="pl-PL"/>
        </w:rPr>
        <w:tab/>
        <w:t>Wykonawca powinien wykonywać te badania podczas realizacji kontraktu, z niezbędną starannością i</w:t>
      </w:r>
      <w:r>
        <w:rPr>
          <w:rStyle w:val="WW-DefaultParagraphFont"/>
          <w:rFonts w:eastAsia="Times New Roman" w:cs="Arial"/>
          <w:lang w:val="pl-PL"/>
        </w:rPr>
        <w:t xml:space="preserve"> w wymaganym zakresie. Wyniki należy zapisywać w protokołach. W razie stwierdzenia uchybień w stosunku do wymagań kontraktu, ich przyczyny należy niezwłocznie usunąć.</w:t>
      </w:r>
    </w:p>
    <w:p w:rsidR="00B77F00" w:rsidRDefault="00865FA3">
      <w:pPr>
        <w:pStyle w:val="Tekst-specyfikacji"/>
        <w:jc w:val="both"/>
      </w:pPr>
      <w:r>
        <w:rPr>
          <w:rStyle w:val="WW-DefaultParagraphFont"/>
          <w:rFonts w:eastAsia="Times New Roman" w:cs="Arial"/>
          <w:lang w:val="pl-PL"/>
        </w:rPr>
        <w:tab/>
        <w:t>Wyniki badań Wykonawcy należy przekazywać Inżynierowi na jego żądanie. Inżynier może zde</w:t>
      </w:r>
      <w:r>
        <w:rPr>
          <w:rStyle w:val="WW-DefaultParagraphFont"/>
          <w:rFonts w:eastAsia="Times New Roman" w:cs="Arial"/>
          <w:lang w:val="pl-PL"/>
        </w:rPr>
        <w:t>cydować o dokonaniu odbioru na podstawie badań Wykonawcy. W razie zastrzeżeń Inżynier może przeprowadzić badania kontrolne według pktu 6.3.3.</w:t>
      </w:r>
    </w:p>
    <w:p w:rsidR="00B77F00" w:rsidRDefault="00865FA3">
      <w:pPr>
        <w:pStyle w:val="Tekst-specyfikacji"/>
        <w:jc w:val="both"/>
      </w:pPr>
      <w:r>
        <w:rPr>
          <w:rStyle w:val="WW-DefaultParagraphFont"/>
          <w:rFonts w:eastAsia="Times New Roman" w:cs="Arial"/>
          <w:lang w:val="pl-PL"/>
        </w:rPr>
        <w:tab/>
        <w:t>Zakres badań Wykonawcy związany z wykonywaniem nawierzchni:</w:t>
      </w:r>
    </w:p>
    <w:p w:rsidR="00B77F00" w:rsidRDefault="00865FA3">
      <w:pPr>
        <w:pStyle w:val="Tekst-specyfikacji"/>
        <w:numPr>
          <w:ilvl w:val="0"/>
          <w:numId w:val="21"/>
        </w:numPr>
        <w:jc w:val="both"/>
      </w:pPr>
      <w:r>
        <w:rPr>
          <w:rStyle w:val="WW-DefaultParagraphFont"/>
          <w:rFonts w:eastAsia="Times New Roman" w:cs="Arial"/>
          <w:lang w:val="pl-PL"/>
        </w:rPr>
        <w:t>pomiar temperatury powietrza,</w:t>
      </w:r>
    </w:p>
    <w:p w:rsidR="00B77F00" w:rsidRDefault="00865FA3">
      <w:pPr>
        <w:pStyle w:val="Tekst-specyfikacji"/>
        <w:numPr>
          <w:ilvl w:val="0"/>
          <w:numId w:val="21"/>
        </w:numPr>
        <w:jc w:val="both"/>
      </w:pPr>
      <w:r>
        <w:rPr>
          <w:rStyle w:val="WW-DefaultParagraphFont"/>
          <w:rFonts w:eastAsia="Times New Roman" w:cs="Arial"/>
          <w:lang w:val="pl-PL"/>
        </w:rPr>
        <w:t>pomiar temperatury mies</w:t>
      </w:r>
      <w:r>
        <w:rPr>
          <w:rStyle w:val="WW-DefaultParagraphFont"/>
          <w:rFonts w:eastAsia="Times New Roman" w:cs="Arial"/>
          <w:lang w:val="pl-PL"/>
        </w:rPr>
        <w:t>zanki mineralno-asfaltowej podczas wykonywania nawierzchni (wg PN-EN 12697-13 [36]),</w:t>
      </w:r>
    </w:p>
    <w:p w:rsidR="00B77F00" w:rsidRDefault="00865FA3">
      <w:pPr>
        <w:pStyle w:val="Tekst-specyfikacji"/>
        <w:numPr>
          <w:ilvl w:val="0"/>
          <w:numId w:val="21"/>
        </w:numPr>
        <w:jc w:val="both"/>
      </w:pPr>
      <w:r>
        <w:rPr>
          <w:rStyle w:val="WW-DefaultParagraphFont"/>
          <w:rFonts w:eastAsia="Times New Roman" w:cs="Arial"/>
          <w:lang w:val="pl-PL"/>
        </w:rPr>
        <w:t>ocena wizualna mieszanki mineralno-asfaltowej,</w:t>
      </w:r>
    </w:p>
    <w:p w:rsidR="00B77F00" w:rsidRDefault="00865FA3">
      <w:pPr>
        <w:pStyle w:val="Tekst-specyfikacji"/>
        <w:numPr>
          <w:ilvl w:val="0"/>
          <w:numId w:val="21"/>
        </w:numPr>
        <w:jc w:val="both"/>
      </w:pPr>
      <w:r>
        <w:rPr>
          <w:rStyle w:val="WW-DefaultParagraphFont"/>
          <w:rFonts w:eastAsia="Times New Roman" w:cs="Arial"/>
          <w:lang w:val="pl-PL"/>
        </w:rPr>
        <w:t>ocena wizualna posypki,</w:t>
      </w:r>
    </w:p>
    <w:p w:rsidR="00B77F00" w:rsidRDefault="00865FA3">
      <w:pPr>
        <w:pStyle w:val="Tekst-specyfikacji"/>
        <w:numPr>
          <w:ilvl w:val="0"/>
          <w:numId w:val="21"/>
        </w:numPr>
        <w:jc w:val="both"/>
      </w:pPr>
      <w:r>
        <w:rPr>
          <w:rStyle w:val="WW-DefaultParagraphFont"/>
          <w:rFonts w:eastAsia="Times New Roman" w:cs="Arial"/>
          <w:lang w:val="pl-PL"/>
        </w:rPr>
        <w:t>wykaz ilości materiałów lub grubości wykonanej warstwy,</w:t>
      </w:r>
    </w:p>
    <w:p w:rsidR="00B77F00" w:rsidRDefault="00865FA3">
      <w:pPr>
        <w:pStyle w:val="Tekst-specyfikacji"/>
        <w:numPr>
          <w:ilvl w:val="0"/>
          <w:numId w:val="21"/>
        </w:numPr>
        <w:jc w:val="both"/>
      </w:pPr>
      <w:r>
        <w:rPr>
          <w:rStyle w:val="WW-DefaultParagraphFont"/>
          <w:rFonts w:eastAsia="Times New Roman" w:cs="Arial"/>
          <w:lang w:val="pl-PL"/>
        </w:rPr>
        <w:t>pomiar spadku poprzecznego warstwy asfaltowe</w:t>
      </w:r>
      <w:r>
        <w:rPr>
          <w:rStyle w:val="WW-DefaultParagraphFont"/>
          <w:rFonts w:eastAsia="Times New Roman" w:cs="Arial"/>
          <w:lang w:val="pl-PL"/>
        </w:rPr>
        <w:t>j,</w:t>
      </w:r>
    </w:p>
    <w:p w:rsidR="00B77F00" w:rsidRDefault="00865FA3">
      <w:pPr>
        <w:pStyle w:val="Tekst-specyfikacji"/>
        <w:numPr>
          <w:ilvl w:val="0"/>
          <w:numId w:val="21"/>
        </w:numPr>
        <w:jc w:val="both"/>
      </w:pPr>
      <w:r>
        <w:rPr>
          <w:rStyle w:val="WW-DefaultParagraphFont"/>
          <w:rFonts w:eastAsia="Times New Roman" w:cs="Arial"/>
          <w:lang w:val="pl-PL"/>
        </w:rPr>
        <w:t>pomiar równości warstwy asfaltowej (wg pktu 6.4.2.5),</w:t>
      </w:r>
    </w:p>
    <w:p w:rsidR="00B77F00" w:rsidRDefault="00865FA3">
      <w:pPr>
        <w:pStyle w:val="Tekst-specyfikacji"/>
        <w:numPr>
          <w:ilvl w:val="0"/>
          <w:numId w:val="21"/>
        </w:numPr>
        <w:jc w:val="both"/>
      </w:pPr>
      <w:r>
        <w:rPr>
          <w:rStyle w:val="WW-DefaultParagraphFont"/>
          <w:rFonts w:eastAsia="Times New Roman" w:cs="Arial"/>
          <w:lang w:val="pl-PL"/>
        </w:rPr>
        <w:t>dokumentacja działań podejmowanych celem zapewnienia odpowiednich właściwości przeciwpoślizgowych,</w:t>
      </w:r>
    </w:p>
    <w:p w:rsidR="00B77F00" w:rsidRDefault="00865FA3">
      <w:pPr>
        <w:pStyle w:val="Tekst-specyfikacji"/>
        <w:numPr>
          <w:ilvl w:val="0"/>
          <w:numId w:val="21"/>
        </w:numPr>
        <w:jc w:val="both"/>
      </w:pPr>
      <w:r>
        <w:rPr>
          <w:rStyle w:val="WW-DefaultParagraphFont"/>
          <w:rFonts w:eastAsia="Times New Roman" w:cs="Arial"/>
          <w:lang w:val="pl-PL"/>
        </w:rPr>
        <w:lastRenderedPageBreak/>
        <w:t>pomiar parametrów geometrycznych poboczy,</w:t>
      </w:r>
    </w:p>
    <w:p w:rsidR="00B77F00" w:rsidRDefault="00865FA3">
      <w:pPr>
        <w:pStyle w:val="Tekst-specyfikacji"/>
        <w:numPr>
          <w:ilvl w:val="0"/>
          <w:numId w:val="21"/>
        </w:numPr>
        <w:jc w:val="both"/>
      </w:pPr>
      <w:r>
        <w:rPr>
          <w:rStyle w:val="WW-DefaultParagraphFont"/>
          <w:rFonts w:eastAsia="Times New Roman" w:cs="Arial"/>
          <w:lang w:val="pl-PL"/>
        </w:rPr>
        <w:t>ocena wizualna jednorodności powierzchni warstwy,</w:t>
      </w:r>
    </w:p>
    <w:p w:rsidR="00B77F00" w:rsidRDefault="00865FA3">
      <w:pPr>
        <w:pStyle w:val="Tekst-specyfikacji"/>
        <w:numPr>
          <w:ilvl w:val="0"/>
          <w:numId w:val="21"/>
        </w:numPr>
        <w:jc w:val="both"/>
      </w:pPr>
      <w:r>
        <w:rPr>
          <w:rStyle w:val="WW-DefaultParagraphFont"/>
          <w:rFonts w:eastAsia="Times New Roman" w:cs="Arial"/>
          <w:lang w:val="pl-PL"/>
        </w:rPr>
        <w:t>ocena wi</w:t>
      </w:r>
      <w:r>
        <w:rPr>
          <w:rStyle w:val="WW-DefaultParagraphFont"/>
          <w:rFonts w:eastAsia="Times New Roman" w:cs="Arial"/>
          <w:lang w:val="pl-PL"/>
        </w:rPr>
        <w:t>zualna jakości wykonania połączeń technologicznych.</w:t>
      </w:r>
    </w:p>
    <w:p w:rsidR="00B77F00" w:rsidRDefault="00865FA3">
      <w:pPr>
        <w:pStyle w:val="Tekst-specyfikacji"/>
        <w:jc w:val="both"/>
      </w:pPr>
      <w:r>
        <w:rPr>
          <w:rStyle w:val="WW-DefaultParagraphFont"/>
          <w:rFonts w:eastAsia="Times New Roman" w:cs="Arial"/>
          <w:lang w:val="pl-PL"/>
        </w:rPr>
        <w:t>6.3.3. Badania kontrolne Inżyniera</w:t>
      </w:r>
    </w:p>
    <w:p w:rsidR="00B77F00" w:rsidRDefault="00865FA3">
      <w:pPr>
        <w:pStyle w:val="Tekst-specyfikacji"/>
        <w:jc w:val="both"/>
      </w:pPr>
      <w:r>
        <w:rPr>
          <w:rStyle w:val="WW-DefaultParagraphFont"/>
          <w:rFonts w:eastAsia="Times New Roman" w:cs="Arial"/>
          <w:lang w:val="pl-PL"/>
        </w:rPr>
        <w:tab/>
        <w:t>Badania kontrolne są badaniami Inżyniera, których celem jest sprawdzenie, czy jakość materiałów budowlanych (mieszanek mineralno-asfaltowych i ich składników, lepiszczy</w:t>
      </w:r>
      <w:r>
        <w:rPr>
          <w:rStyle w:val="WW-DefaultParagraphFont"/>
          <w:rFonts w:eastAsia="Times New Roman" w:cs="Arial"/>
          <w:lang w:val="pl-PL"/>
        </w:rPr>
        <w:t xml:space="preserve"> i materiałów do uszczelnień itp.) oraz gotowej warstwy (wbudowane warstwy asfaltowe, połączenia itp.) spełniają wymagania określone w kontrakcie. Wyniki tych badań są podstawą odbioru. Pobieraniem próbek i wykonaniem badań na miejscu budowy zajmuje się In</w:t>
      </w:r>
      <w:r>
        <w:rPr>
          <w:rStyle w:val="WW-DefaultParagraphFont"/>
          <w:rFonts w:eastAsia="Times New Roman" w:cs="Arial"/>
          <w:lang w:val="pl-PL"/>
        </w:rPr>
        <w:t>żynier w obecności Wykonawcy. Badania odbywają się również wtedy, gdy Wykonawca zostanie w porę powiadomiony o ich terminie, jednak nie będzie przy nich obecny.</w:t>
      </w:r>
    </w:p>
    <w:p w:rsidR="00B77F00" w:rsidRDefault="00865FA3">
      <w:pPr>
        <w:pStyle w:val="Tekst-specyfikacji"/>
        <w:jc w:val="both"/>
      </w:pPr>
      <w:r>
        <w:rPr>
          <w:rStyle w:val="WW-DefaultParagraphFont"/>
          <w:rFonts w:eastAsia="Times New Roman" w:cs="Arial"/>
          <w:lang w:val="pl-PL"/>
        </w:rPr>
        <w:tab/>
        <w:t>Rodzaj badań kontrolnych mieszanki mineralno-asfaltowej i wykonanej z niej warstwy podano w ta</w:t>
      </w:r>
      <w:r>
        <w:rPr>
          <w:rStyle w:val="WW-DefaultParagraphFont"/>
          <w:rFonts w:eastAsia="Times New Roman" w:cs="Arial"/>
          <w:lang w:val="pl-PL"/>
        </w:rPr>
        <w:t>blicy 12</w:t>
      </w:r>
    </w:p>
    <w:p w:rsidR="00B77F00" w:rsidRDefault="00B77F00">
      <w:pPr>
        <w:pStyle w:val="Tekst-specyfikacji"/>
      </w:pPr>
    </w:p>
    <w:p w:rsidR="00B77F00" w:rsidRDefault="00865FA3">
      <w:pPr>
        <w:pStyle w:val="Tekst-specyfikacji"/>
      </w:pPr>
      <w:r>
        <w:t>Tablica 12. Rodzaj badań kontrolnych [65]</w:t>
      </w:r>
    </w:p>
    <w:tbl>
      <w:tblPr>
        <w:tblW w:w="9638" w:type="dxa"/>
        <w:tblLayout w:type="fixed"/>
        <w:tblCellMar>
          <w:left w:w="10" w:type="dxa"/>
          <w:right w:w="10" w:type="dxa"/>
        </w:tblCellMar>
        <w:tblLook w:val="0000" w:firstRow="0" w:lastRow="0" w:firstColumn="0" w:lastColumn="0" w:noHBand="0" w:noVBand="0"/>
      </w:tblPr>
      <w:tblGrid>
        <w:gridCol w:w="2025"/>
        <w:gridCol w:w="7613"/>
      </w:tblGrid>
      <w:tr w:rsidR="00B77F00">
        <w:tblPrEx>
          <w:tblCellMar>
            <w:top w:w="0" w:type="dxa"/>
            <w:bottom w:w="0" w:type="dxa"/>
          </w:tblCellMar>
        </w:tblPrEx>
        <w:tc>
          <w:tcPr>
            <w:tcW w:w="2025"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Lp.</w:t>
            </w:r>
          </w:p>
        </w:tc>
        <w:tc>
          <w:tcPr>
            <w:tcW w:w="761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Rodzaj badań</w:t>
            </w:r>
          </w:p>
        </w:tc>
      </w:tr>
      <w:tr w:rsidR="00B77F00">
        <w:tblPrEx>
          <w:tblCellMar>
            <w:top w:w="0" w:type="dxa"/>
            <w:bottom w:w="0" w:type="dxa"/>
          </w:tblCellMar>
        </w:tblPrEx>
        <w:trPr>
          <w:trHeight w:val="330"/>
        </w:trPr>
        <w:tc>
          <w:tcPr>
            <w:tcW w:w="2025" w:type="dxa"/>
            <w:tcBorders>
              <w:top w:val="single" w:sz="4" w:space="0" w:color="000000"/>
              <w:left w:val="single" w:sz="4" w:space="0" w:color="000000"/>
            </w:tcBorders>
            <w:tcMar>
              <w:top w:w="0" w:type="dxa"/>
              <w:left w:w="108" w:type="dxa"/>
              <w:bottom w:w="0" w:type="dxa"/>
              <w:right w:w="108" w:type="dxa"/>
            </w:tcMar>
          </w:tcPr>
          <w:p w:rsidR="00B77F00" w:rsidRDefault="00865FA3">
            <w:pPr>
              <w:pStyle w:val="Tekst-spec-w-tabeli"/>
            </w:pPr>
            <w:r>
              <w:t>1</w:t>
            </w:r>
          </w:p>
        </w:tc>
        <w:tc>
          <w:tcPr>
            <w:tcW w:w="7613" w:type="dxa"/>
            <w:tcBorders>
              <w:top w:val="single" w:sz="4" w:space="0" w:color="000000"/>
              <w:left w:val="single" w:sz="4" w:space="0" w:color="000000"/>
              <w:right w:val="single" w:sz="4" w:space="0" w:color="000000"/>
            </w:tcBorders>
            <w:tcMar>
              <w:top w:w="0" w:type="dxa"/>
              <w:left w:w="108" w:type="dxa"/>
              <w:bottom w:w="0" w:type="dxa"/>
              <w:right w:w="108" w:type="dxa"/>
            </w:tcMar>
          </w:tcPr>
          <w:p w:rsidR="00B77F00" w:rsidRDefault="00865FA3">
            <w:pPr>
              <w:pStyle w:val="Tekst-spec-w-tabeli"/>
            </w:pPr>
            <w:r>
              <w:t>Mieszanka mineralno-asfaltowa a), b)</w:t>
            </w:r>
          </w:p>
        </w:tc>
      </w:tr>
      <w:tr w:rsidR="00B77F00">
        <w:tblPrEx>
          <w:tblCellMar>
            <w:top w:w="0" w:type="dxa"/>
            <w:bottom w:w="0" w:type="dxa"/>
          </w:tblCellMar>
        </w:tblPrEx>
        <w:trPr>
          <w:trHeight w:val="270"/>
        </w:trPr>
        <w:tc>
          <w:tcPr>
            <w:tcW w:w="2025" w:type="dxa"/>
            <w:tcBorders>
              <w:left w:val="single" w:sz="4" w:space="0" w:color="000000"/>
            </w:tcBorders>
            <w:tcMar>
              <w:top w:w="0" w:type="dxa"/>
              <w:left w:w="108" w:type="dxa"/>
              <w:bottom w:w="0" w:type="dxa"/>
              <w:right w:w="108" w:type="dxa"/>
            </w:tcMar>
          </w:tcPr>
          <w:p w:rsidR="00B77F00" w:rsidRDefault="00865FA3">
            <w:pPr>
              <w:pStyle w:val="Tekst-spec-w-tabeli"/>
            </w:pPr>
            <w:r>
              <w:t>1.1</w:t>
            </w:r>
          </w:p>
        </w:tc>
        <w:tc>
          <w:tcPr>
            <w:tcW w:w="7613" w:type="dxa"/>
            <w:tcBorders>
              <w:left w:val="single" w:sz="4" w:space="0" w:color="000000"/>
              <w:right w:val="single" w:sz="4" w:space="0" w:color="000000"/>
            </w:tcBorders>
            <w:tcMar>
              <w:top w:w="0" w:type="dxa"/>
              <w:left w:w="108" w:type="dxa"/>
              <w:bottom w:w="0" w:type="dxa"/>
              <w:right w:w="108" w:type="dxa"/>
            </w:tcMar>
          </w:tcPr>
          <w:p w:rsidR="00B77F00" w:rsidRDefault="00865FA3">
            <w:pPr>
              <w:pStyle w:val="Tekst-spec-w-tabeli"/>
            </w:pPr>
            <w:r>
              <w:t>Uziarnienie</w:t>
            </w:r>
          </w:p>
        </w:tc>
      </w:tr>
      <w:tr w:rsidR="00B77F00">
        <w:tblPrEx>
          <w:tblCellMar>
            <w:top w:w="0" w:type="dxa"/>
            <w:bottom w:w="0" w:type="dxa"/>
          </w:tblCellMar>
        </w:tblPrEx>
        <w:trPr>
          <w:trHeight w:val="240"/>
        </w:trPr>
        <w:tc>
          <w:tcPr>
            <w:tcW w:w="2025" w:type="dxa"/>
            <w:tcBorders>
              <w:left w:val="single" w:sz="4" w:space="0" w:color="000000"/>
            </w:tcBorders>
            <w:tcMar>
              <w:top w:w="0" w:type="dxa"/>
              <w:left w:w="108" w:type="dxa"/>
              <w:bottom w:w="0" w:type="dxa"/>
              <w:right w:w="108" w:type="dxa"/>
            </w:tcMar>
          </w:tcPr>
          <w:p w:rsidR="00B77F00" w:rsidRDefault="00865FA3">
            <w:pPr>
              <w:pStyle w:val="Tekst-spec-w-tabeli"/>
            </w:pPr>
            <w:r>
              <w:t>1.2</w:t>
            </w:r>
          </w:p>
        </w:tc>
        <w:tc>
          <w:tcPr>
            <w:tcW w:w="7613" w:type="dxa"/>
            <w:tcBorders>
              <w:left w:val="single" w:sz="4" w:space="0" w:color="000000"/>
              <w:right w:val="single" w:sz="4" w:space="0" w:color="000000"/>
            </w:tcBorders>
            <w:tcMar>
              <w:top w:w="0" w:type="dxa"/>
              <w:left w:w="108" w:type="dxa"/>
              <w:bottom w:w="0" w:type="dxa"/>
              <w:right w:w="108" w:type="dxa"/>
            </w:tcMar>
          </w:tcPr>
          <w:p w:rsidR="00B77F00" w:rsidRDefault="00865FA3">
            <w:pPr>
              <w:pStyle w:val="Tekst-spec-w-tabeli"/>
            </w:pPr>
            <w:r>
              <w:t>Zawartość lepiszcza</w:t>
            </w:r>
          </w:p>
        </w:tc>
      </w:tr>
      <w:tr w:rsidR="00B77F00">
        <w:tblPrEx>
          <w:tblCellMar>
            <w:top w:w="0" w:type="dxa"/>
            <w:bottom w:w="0" w:type="dxa"/>
          </w:tblCellMar>
        </w:tblPrEx>
        <w:trPr>
          <w:trHeight w:val="280"/>
        </w:trPr>
        <w:tc>
          <w:tcPr>
            <w:tcW w:w="2025" w:type="dxa"/>
            <w:tcBorders>
              <w:left w:val="single" w:sz="4" w:space="0" w:color="000000"/>
            </w:tcBorders>
            <w:tcMar>
              <w:top w:w="0" w:type="dxa"/>
              <w:left w:w="108" w:type="dxa"/>
              <w:bottom w:w="0" w:type="dxa"/>
              <w:right w:w="108" w:type="dxa"/>
            </w:tcMar>
          </w:tcPr>
          <w:p w:rsidR="00B77F00" w:rsidRDefault="00865FA3">
            <w:pPr>
              <w:pStyle w:val="Tekst-spec-w-tabeli"/>
            </w:pPr>
            <w:r>
              <w:t>1.3</w:t>
            </w:r>
          </w:p>
        </w:tc>
        <w:tc>
          <w:tcPr>
            <w:tcW w:w="7613" w:type="dxa"/>
            <w:tcBorders>
              <w:left w:val="single" w:sz="4" w:space="0" w:color="000000"/>
              <w:right w:val="single" w:sz="4" w:space="0" w:color="000000"/>
            </w:tcBorders>
            <w:tcMar>
              <w:top w:w="0" w:type="dxa"/>
              <w:left w:w="108" w:type="dxa"/>
              <w:bottom w:w="0" w:type="dxa"/>
              <w:right w:w="108" w:type="dxa"/>
            </w:tcMar>
          </w:tcPr>
          <w:p w:rsidR="00B77F00" w:rsidRDefault="00865FA3">
            <w:pPr>
              <w:pStyle w:val="Tekst-spec-w-tabeli"/>
            </w:pPr>
            <w:r>
              <w:t>Temperatura mięknienia lepiszcza odzyskanego</w:t>
            </w:r>
          </w:p>
        </w:tc>
      </w:tr>
      <w:tr w:rsidR="00B77F00">
        <w:tblPrEx>
          <w:tblCellMar>
            <w:top w:w="0" w:type="dxa"/>
            <w:bottom w:w="0" w:type="dxa"/>
          </w:tblCellMar>
        </w:tblPrEx>
        <w:trPr>
          <w:trHeight w:val="260"/>
        </w:trPr>
        <w:tc>
          <w:tcPr>
            <w:tcW w:w="2025" w:type="dxa"/>
            <w:tcBorders>
              <w:left w:val="single" w:sz="4" w:space="0" w:color="000000"/>
            </w:tcBorders>
            <w:tcMar>
              <w:top w:w="0" w:type="dxa"/>
              <w:left w:w="108" w:type="dxa"/>
              <w:bottom w:w="0" w:type="dxa"/>
              <w:right w:w="108" w:type="dxa"/>
            </w:tcMar>
          </w:tcPr>
          <w:p w:rsidR="00B77F00" w:rsidRDefault="00865FA3">
            <w:pPr>
              <w:pStyle w:val="Tekst-spec-w-tabeli"/>
            </w:pPr>
            <w:r>
              <w:t>1.4</w:t>
            </w:r>
          </w:p>
        </w:tc>
        <w:tc>
          <w:tcPr>
            <w:tcW w:w="7613" w:type="dxa"/>
            <w:tcBorders>
              <w:left w:val="single" w:sz="4" w:space="0" w:color="000000"/>
              <w:right w:val="single" w:sz="4" w:space="0" w:color="000000"/>
            </w:tcBorders>
            <w:tcMar>
              <w:top w:w="0" w:type="dxa"/>
              <w:left w:w="108" w:type="dxa"/>
              <w:bottom w:w="0" w:type="dxa"/>
              <w:right w:w="108" w:type="dxa"/>
            </w:tcMar>
          </w:tcPr>
          <w:p w:rsidR="00B77F00" w:rsidRDefault="00865FA3">
            <w:pPr>
              <w:pStyle w:val="Tekst-spec-w-tabeli"/>
            </w:pPr>
            <w:r>
              <w:t>Gęstość i zawartość wolnych przestrzeni próbki</w:t>
            </w:r>
          </w:p>
        </w:tc>
      </w:tr>
      <w:tr w:rsidR="00B77F00">
        <w:tblPrEx>
          <w:tblCellMar>
            <w:top w:w="0" w:type="dxa"/>
            <w:bottom w:w="0" w:type="dxa"/>
          </w:tblCellMar>
        </w:tblPrEx>
        <w:trPr>
          <w:trHeight w:val="280"/>
        </w:trPr>
        <w:tc>
          <w:tcPr>
            <w:tcW w:w="2025" w:type="dxa"/>
            <w:tcBorders>
              <w:left w:val="single" w:sz="4" w:space="0" w:color="000000"/>
            </w:tcBorders>
            <w:tcMar>
              <w:top w:w="0" w:type="dxa"/>
              <w:left w:w="108" w:type="dxa"/>
              <w:bottom w:w="0" w:type="dxa"/>
              <w:right w:w="108" w:type="dxa"/>
            </w:tcMar>
          </w:tcPr>
          <w:p w:rsidR="00B77F00" w:rsidRDefault="00865FA3">
            <w:pPr>
              <w:pStyle w:val="Tekst-spec-w-tabeli"/>
            </w:pPr>
            <w:r>
              <w:t>2</w:t>
            </w:r>
          </w:p>
        </w:tc>
        <w:tc>
          <w:tcPr>
            <w:tcW w:w="7613" w:type="dxa"/>
            <w:tcBorders>
              <w:left w:val="single" w:sz="4" w:space="0" w:color="000000"/>
              <w:right w:val="single" w:sz="4" w:space="0" w:color="000000"/>
            </w:tcBorders>
            <w:tcMar>
              <w:top w:w="0" w:type="dxa"/>
              <w:left w:w="108" w:type="dxa"/>
              <w:bottom w:w="0" w:type="dxa"/>
              <w:right w:w="108" w:type="dxa"/>
            </w:tcMar>
          </w:tcPr>
          <w:p w:rsidR="00B77F00" w:rsidRDefault="00865FA3">
            <w:pPr>
              <w:pStyle w:val="Tekst-spec-w-tabeli"/>
            </w:pPr>
            <w:r>
              <w:t>Warstwa asfaltowa</w:t>
            </w:r>
          </w:p>
        </w:tc>
      </w:tr>
      <w:tr w:rsidR="00B77F00">
        <w:tblPrEx>
          <w:tblCellMar>
            <w:top w:w="0" w:type="dxa"/>
            <w:bottom w:w="0" w:type="dxa"/>
          </w:tblCellMar>
        </w:tblPrEx>
        <w:trPr>
          <w:trHeight w:val="220"/>
        </w:trPr>
        <w:tc>
          <w:tcPr>
            <w:tcW w:w="2025" w:type="dxa"/>
            <w:tcBorders>
              <w:left w:val="single" w:sz="4" w:space="0" w:color="000000"/>
            </w:tcBorders>
            <w:tcMar>
              <w:top w:w="0" w:type="dxa"/>
              <w:left w:w="108" w:type="dxa"/>
              <w:bottom w:w="0" w:type="dxa"/>
              <w:right w:w="108" w:type="dxa"/>
            </w:tcMar>
          </w:tcPr>
          <w:p w:rsidR="00B77F00" w:rsidRDefault="00865FA3">
            <w:pPr>
              <w:pStyle w:val="Tekst-spec-w-tabeli"/>
            </w:pPr>
            <w:r>
              <w:t>2.1</w:t>
            </w:r>
          </w:p>
        </w:tc>
        <w:tc>
          <w:tcPr>
            <w:tcW w:w="7613" w:type="dxa"/>
            <w:tcBorders>
              <w:left w:val="single" w:sz="4" w:space="0" w:color="000000"/>
              <w:right w:val="single" w:sz="4" w:space="0" w:color="000000"/>
            </w:tcBorders>
            <w:tcMar>
              <w:top w:w="0" w:type="dxa"/>
              <w:left w:w="108" w:type="dxa"/>
              <w:bottom w:w="0" w:type="dxa"/>
              <w:right w:w="108" w:type="dxa"/>
            </w:tcMar>
          </w:tcPr>
          <w:p w:rsidR="00B77F00" w:rsidRDefault="00865FA3">
            <w:pPr>
              <w:pStyle w:val="Tekst-spec-w-tabeli"/>
            </w:pPr>
            <w:r>
              <w:t>Wskaźnik zagęszczenia a)</w:t>
            </w:r>
          </w:p>
        </w:tc>
      </w:tr>
      <w:tr w:rsidR="00B77F00">
        <w:tblPrEx>
          <w:tblCellMar>
            <w:top w:w="0" w:type="dxa"/>
            <w:bottom w:w="0" w:type="dxa"/>
          </w:tblCellMar>
        </w:tblPrEx>
        <w:trPr>
          <w:trHeight w:val="220"/>
        </w:trPr>
        <w:tc>
          <w:tcPr>
            <w:tcW w:w="2025" w:type="dxa"/>
            <w:tcBorders>
              <w:left w:val="single" w:sz="4" w:space="0" w:color="000000"/>
            </w:tcBorders>
            <w:tcMar>
              <w:top w:w="0" w:type="dxa"/>
              <w:left w:w="108" w:type="dxa"/>
              <w:bottom w:w="0" w:type="dxa"/>
              <w:right w:w="108" w:type="dxa"/>
            </w:tcMar>
          </w:tcPr>
          <w:p w:rsidR="00B77F00" w:rsidRDefault="00865FA3">
            <w:pPr>
              <w:pStyle w:val="Tekst-spec-w-tabeli"/>
            </w:pPr>
            <w:r>
              <w:t>2.2</w:t>
            </w:r>
          </w:p>
        </w:tc>
        <w:tc>
          <w:tcPr>
            <w:tcW w:w="7613" w:type="dxa"/>
            <w:tcBorders>
              <w:left w:val="single" w:sz="4" w:space="0" w:color="000000"/>
              <w:right w:val="single" w:sz="4" w:space="0" w:color="000000"/>
            </w:tcBorders>
            <w:tcMar>
              <w:top w:w="0" w:type="dxa"/>
              <w:left w:w="108" w:type="dxa"/>
              <w:bottom w:w="0" w:type="dxa"/>
              <w:right w:w="108" w:type="dxa"/>
            </w:tcMar>
          </w:tcPr>
          <w:p w:rsidR="00B77F00" w:rsidRDefault="00865FA3">
            <w:pPr>
              <w:pStyle w:val="Tekst-spec-w-tabeli"/>
            </w:pPr>
            <w:r>
              <w:t>Spadki poprzeczne</w:t>
            </w:r>
          </w:p>
        </w:tc>
      </w:tr>
      <w:tr w:rsidR="00B77F00">
        <w:tblPrEx>
          <w:tblCellMar>
            <w:top w:w="0" w:type="dxa"/>
            <w:bottom w:w="0" w:type="dxa"/>
          </w:tblCellMar>
        </w:tblPrEx>
        <w:trPr>
          <w:trHeight w:val="260"/>
        </w:trPr>
        <w:tc>
          <w:tcPr>
            <w:tcW w:w="2025" w:type="dxa"/>
            <w:tcBorders>
              <w:left w:val="single" w:sz="4" w:space="0" w:color="000000"/>
            </w:tcBorders>
            <w:tcMar>
              <w:top w:w="0" w:type="dxa"/>
              <w:left w:w="108" w:type="dxa"/>
              <w:bottom w:w="0" w:type="dxa"/>
              <w:right w:w="108" w:type="dxa"/>
            </w:tcMar>
          </w:tcPr>
          <w:p w:rsidR="00B77F00" w:rsidRDefault="00865FA3">
            <w:pPr>
              <w:pStyle w:val="Tekst-spec-w-tabeli"/>
            </w:pPr>
            <w:r>
              <w:t>2.3</w:t>
            </w:r>
          </w:p>
        </w:tc>
        <w:tc>
          <w:tcPr>
            <w:tcW w:w="7613" w:type="dxa"/>
            <w:tcBorders>
              <w:left w:val="single" w:sz="4" w:space="0" w:color="000000"/>
              <w:right w:val="single" w:sz="4" w:space="0" w:color="000000"/>
            </w:tcBorders>
            <w:tcMar>
              <w:top w:w="0" w:type="dxa"/>
              <w:left w:w="108" w:type="dxa"/>
              <w:bottom w:w="0" w:type="dxa"/>
              <w:right w:w="108" w:type="dxa"/>
            </w:tcMar>
          </w:tcPr>
          <w:p w:rsidR="00B77F00" w:rsidRDefault="00865FA3">
            <w:pPr>
              <w:pStyle w:val="Tekst-spec-w-tabeli"/>
            </w:pPr>
            <w:r>
              <w:t>Równość</w:t>
            </w:r>
          </w:p>
        </w:tc>
      </w:tr>
      <w:tr w:rsidR="00B77F00">
        <w:tblPrEx>
          <w:tblCellMar>
            <w:top w:w="0" w:type="dxa"/>
            <w:bottom w:w="0" w:type="dxa"/>
          </w:tblCellMar>
        </w:tblPrEx>
        <w:trPr>
          <w:trHeight w:val="200"/>
        </w:trPr>
        <w:tc>
          <w:tcPr>
            <w:tcW w:w="2025" w:type="dxa"/>
            <w:tcBorders>
              <w:left w:val="single" w:sz="4" w:space="0" w:color="000000"/>
            </w:tcBorders>
            <w:tcMar>
              <w:top w:w="0" w:type="dxa"/>
              <w:left w:w="108" w:type="dxa"/>
              <w:bottom w:w="0" w:type="dxa"/>
              <w:right w:w="108" w:type="dxa"/>
            </w:tcMar>
          </w:tcPr>
          <w:p w:rsidR="00B77F00" w:rsidRDefault="00865FA3">
            <w:pPr>
              <w:pStyle w:val="Tekst-spec-w-tabeli"/>
            </w:pPr>
            <w:r>
              <w:t>2.4</w:t>
            </w:r>
          </w:p>
        </w:tc>
        <w:tc>
          <w:tcPr>
            <w:tcW w:w="7613" w:type="dxa"/>
            <w:tcBorders>
              <w:left w:val="single" w:sz="4" w:space="0" w:color="000000"/>
              <w:right w:val="single" w:sz="4" w:space="0" w:color="000000"/>
            </w:tcBorders>
            <w:tcMar>
              <w:top w:w="0" w:type="dxa"/>
              <w:left w:w="108" w:type="dxa"/>
              <w:bottom w:w="0" w:type="dxa"/>
              <w:right w:w="108" w:type="dxa"/>
            </w:tcMar>
          </w:tcPr>
          <w:p w:rsidR="00B77F00" w:rsidRDefault="00865FA3">
            <w:pPr>
              <w:pStyle w:val="Tekst-spec-w-tabeli"/>
            </w:pPr>
            <w:r>
              <w:t>Grubość lub ilość materiału</w:t>
            </w:r>
          </w:p>
        </w:tc>
      </w:tr>
      <w:tr w:rsidR="00B77F00">
        <w:tblPrEx>
          <w:tblCellMar>
            <w:top w:w="0" w:type="dxa"/>
            <w:bottom w:w="0" w:type="dxa"/>
          </w:tblCellMar>
        </w:tblPrEx>
        <w:trPr>
          <w:trHeight w:val="200"/>
        </w:trPr>
        <w:tc>
          <w:tcPr>
            <w:tcW w:w="2025" w:type="dxa"/>
            <w:tcBorders>
              <w:left w:val="single" w:sz="4" w:space="0" w:color="000000"/>
            </w:tcBorders>
            <w:tcMar>
              <w:top w:w="0" w:type="dxa"/>
              <w:left w:w="108" w:type="dxa"/>
              <w:bottom w:w="0" w:type="dxa"/>
              <w:right w:w="108" w:type="dxa"/>
            </w:tcMar>
          </w:tcPr>
          <w:p w:rsidR="00B77F00" w:rsidRDefault="00865FA3">
            <w:pPr>
              <w:pStyle w:val="Tekst-spec-w-tabeli"/>
            </w:pPr>
            <w:r>
              <w:t>2.5</w:t>
            </w:r>
          </w:p>
        </w:tc>
        <w:tc>
          <w:tcPr>
            <w:tcW w:w="7613" w:type="dxa"/>
            <w:tcBorders>
              <w:left w:val="single" w:sz="4" w:space="0" w:color="000000"/>
              <w:right w:val="single" w:sz="4" w:space="0" w:color="000000"/>
            </w:tcBorders>
            <w:tcMar>
              <w:top w:w="0" w:type="dxa"/>
              <w:left w:w="108" w:type="dxa"/>
              <w:bottom w:w="0" w:type="dxa"/>
              <w:right w:w="108" w:type="dxa"/>
            </w:tcMar>
          </w:tcPr>
          <w:p w:rsidR="00B77F00" w:rsidRDefault="00865FA3">
            <w:pPr>
              <w:pStyle w:val="Tekst-spec-w-tabeli"/>
            </w:pPr>
            <w:r>
              <w:t>Zawartość wolnych przestrzeni a)</w:t>
            </w:r>
          </w:p>
        </w:tc>
      </w:tr>
      <w:tr w:rsidR="00B77F00">
        <w:tblPrEx>
          <w:tblCellMar>
            <w:top w:w="0" w:type="dxa"/>
            <w:bottom w:w="0" w:type="dxa"/>
          </w:tblCellMar>
        </w:tblPrEx>
        <w:trPr>
          <w:trHeight w:val="349"/>
        </w:trPr>
        <w:tc>
          <w:tcPr>
            <w:tcW w:w="2025" w:type="dxa"/>
            <w:tcBorders>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2.6</w:t>
            </w:r>
          </w:p>
        </w:tc>
        <w:tc>
          <w:tcPr>
            <w:tcW w:w="7613" w:type="dxa"/>
            <w:tcBorders>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Właściwości przeciwpoślizgowe</w:t>
            </w:r>
          </w:p>
        </w:tc>
      </w:tr>
      <w:tr w:rsidR="00B77F00">
        <w:tblPrEx>
          <w:tblCellMar>
            <w:top w:w="0" w:type="dxa"/>
            <w:bottom w:w="0" w:type="dxa"/>
          </w:tblCellMar>
        </w:tblPrEx>
        <w:tc>
          <w:tcPr>
            <w:tcW w:w="963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 xml:space="preserve">a) do każdej warstwy i na każde rozpoczęte 6 000 m2 nawierzchni </w:t>
            </w:r>
            <w:r>
              <w:t>jedna próbka; w razie potrzeby liczba próbek może zostać zwiększona (np. nawierzchnie dróg w terenie zabudowy)</w:t>
            </w:r>
          </w:p>
          <w:p w:rsidR="00B77F00" w:rsidRDefault="00865FA3">
            <w:pPr>
              <w:pStyle w:val="Tekst-spec-w-tabeli"/>
            </w:pPr>
            <w:r>
              <w:t>b)   w razie potrzeby specjalne kruszywa i dodatki</w:t>
            </w:r>
          </w:p>
        </w:tc>
      </w:tr>
    </w:tbl>
    <w:p w:rsidR="00B77F00" w:rsidRDefault="00B77F00">
      <w:pPr>
        <w:pStyle w:val="Tekst-specyfikacji"/>
      </w:pPr>
    </w:p>
    <w:p w:rsidR="00B77F00" w:rsidRDefault="00B77F00">
      <w:pPr>
        <w:pStyle w:val="Tekst-specyfikacji"/>
      </w:pPr>
    </w:p>
    <w:p w:rsidR="00B77F00" w:rsidRDefault="00865FA3">
      <w:pPr>
        <w:pStyle w:val="Tekst-specyfikacji"/>
        <w:jc w:val="both"/>
      </w:pPr>
      <w:r>
        <w:rPr>
          <w:rStyle w:val="WW-DefaultParagraphFont"/>
          <w:rFonts w:eastAsia="Times New Roman" w:cs="Arial"/>
          <w:lang w:val="pl-PL"/>
        </w:rPr>
        <w:t>6.3.4. Badania kontrolne dodatkowe</w:t>
      </w:r>
    </w:p>
    <w:p w:rsidR="00B77F00" w:rsidRDefault="00865FA3">
      <w:pPr>
        <w:pStyle w:val="Tekst-specyfikacji"/>
        <w:jc w:val="both"/>
      </w:pPr>
      <w:r>
        <w:rPr>
          <w:rStyle w:val="WW-DefaultParagraphFont"/>
          <w:rFonts w:eastAsia="Times New Roman" w:cs="Arial"/>
          <w:lang w:val="pl-PL"/>
        </w:rPr>
        <w:tab/>
        <w:t>W wypadku uznania, że jeden z wyników badań kontrolnych</w:t>
      </w:r>
      <w:r>
        <w:rPr>
          <w:rStyle w:val="WW-DefaultParagraphFont"/>
          <w:rFonts w:eastAsia="Times New Roman" w:cs="Arial"/>
          <w:lang w:val="pl-PL"/>
        </w:rPr>
        <w:t xml:space="preserve"> nie jest reprezentatywny dla ocenianego odcinka budowy, Wykonawca ma prawo żądać przeprowadzenia badań kontrolnych dodatkowych.</w:t>
      </w:r>
    </w:p>
    <w:p w:rsidR="00B77F00" w:rsidRDefault="00865FA3">
      <w:pPr>
        <w:pStyle w:val="Tekst-specyfikacji"/>
        <w:jc w:val="both"/>
      </w:pPr>
      <w:r>
        <w:rPr>
          <w:rStyle w:val="WW-DefaultParagraphFont"/>
          <w:rFonts w:eastAsia="Times New Roman" w:cs="Arial"/>
          <w:lang w:val="pl-PL"/>
        </w:rPr>
        <w:tab/>
        <w:t>Inżynier i Wykonawca decydują wspólnie o miejscach pobierania próbek i wyznaczeniu odcinków częściowych ocenianego odcinka bud</w:t>
      </w:r>
      <w:r>
        <w:rPr>
          <w:rStyle w:val="WW-DefaultParagraphFont"/>
          <w:rFonts w:eastAsia="Times New Roman" w:cs="Arial"/>
          <w:lang w:val="pl-PL"/>
        </w:rPr>
        <w:t>owy. Jeżeli odcinek częściowy przyporządkowany do badań kontrolnych nie może być jednoznacznie i zgodnie wyznaczony, to odcinek ten nie powinien być mniejszy niż 20% ocenianego odcinka budowy.</w:t>
      </w:r>
    </w:p>
    <w:p w:rsidR="00B77F00" w:rsidRDefault="00865FA3">
      <w:pPr>
        <w:pStyle w:val="Tekst-specyfikacji"/>
        <w:jc w:val="both"/>
      </w:pPr>
      <w:r>
        <w:rPr>
          <w:rStyle w:val="WW-DefaultParagraphFont"/>
          <w:rFonts w:eastAsia="Times New Roman" w:cs="Arial"/>
          <w:lang w:val="pl-PL"/>
        </w:rPr>
        <w:tab/>
        <w:t>Do odbioru uwzględniane są wyniki badań kontrolnych i badań ko</w:t>
      </w:r>
      <w:r>
        <w:rPr>
          <w:rStyle w:val="WW-DefaultParagraphFont"/>
          <w:rFonts w:eastAsia="Times New Roman" w:cs="Arial"/>
          <w:lang w:val="pl-PL"/>
        </w:rPr>
        <w:t>ntrolnych dodatkowych do wyznaczonych odcinków częściowych.</w:t>
      </w:r>
    </w:p>
    <w:p w:rsidR="00B77F00" w:rsidRDefault="00865FA3">
      <w:pPr>
        <w:pStyle w:val="Tekst-specyfikacji"/>
        <w:jc w:val="both"/>
      </w:pPr>
      <w:r>
        <w:rPr>
          <w:rStyle w:val="WW-DefaultParagraphFont"/>
          <w:rFonts w:eastAsia="Times New Roman" w:cs="Arial"/>
          <w:lang w:val="pl-PL"/>
        </w:rPr>
        <w:tab/>
        <w:t>Koszty badań kontrolnych dodatkowych zażądanych przez Wykonawcę ponosi Wykonawca.</w:t>
      </w:r>
    </w:p>
    <w:p w:rsidR="00B77F00" w:rsidRDefault="00B77F00">
      <w:pPr>
        <w:pStyle w:val="Tekst-specyfikacji"/>
        <w:jc w:val="both"/>
      </w:pPr>
    </w:p>
    <w:p w:rsidR="00B77F00" w:rsidRDefault="00865FA3">
      <w:pPr>
        <w:pStyle w:val="Tekst-specyfikacji"/>
        <w:jc w:val="both"/>
      </w:pPr>
      <w:r>
        <w:rPr>
          <w:rStyle w:val="WW-DefaultParagraphFont"/>
          <w:rFonts w:eastAsia="Times New Roman" w:cs="Arial"/>
          <w:lang w:val="pl-PL"/>
        </w:rPr>
        <w:t>6.3.5. Badania arbitrażowe</w:t>
      </w:r>
    </w:p>
    <w:p w:rsidR="00B77F00" w:rsidRDefault="00865FA3">
      <w:pPr>
        <w:pStyle w:val="Tekst-specyfikacji"/>
        <w:jc w:val="both"/>
      </w:pPr>
      <w:r>
        <w:rPr>
          <w:rStyle w:val="WW-DefaultParagraphFont"/>
          <w:rFonts w:eastAsia="Times New Roman" w:cs="Arial"/>
          <w:lang w:val="pl-PL"/>
        </w:rPr>
        <w:tab/>
        <w:t>Badania arbitrażowe są powtórzeniem badań kontrolnych, co do których istnieją uzasad</w:t>
      </w:r>
      <w:r>
        <w:rPr>
          <w:rStyle w:val="WW-DefaultParagraphFont"/>
          <w:rFonts w:eastAsia="Times New Roman" w:cs="Arial"/>
          <w:lang w:val="pl-PL"/>
        </w:rPr>
        <w:t>nione wątpliwości ze strony Inżyniera lub Wykonawcy (np. na podstawie własnych badań).</w:t>
      </w:r>
    </w:p>
    <w:p w:rsidR="00B77F00" w:rsidRDefault="00865FA3">
      <w:pPr>
        <w:pStyle w:val="Tekst-specyfikacji"/>
        <w:jc w:val="both"/>
      </w:pPr>
      <w:r>
        <w:tab/>
      </w:r>
      <w:r>
        <w:rPr>
          <w:rStyle w:val="WW-DefaultParagraphFont"/>
          <w:rFonts w:eastAsia="Times New Roman" w:cs="Arial"/>
          <w:lang w:val="pl-PL"/>
        </w:rPr>
        <w:t>Badania arbitrażowe wykonuje na wniosek strony kontraktu niezależne laboratorium, które nie wykonywało badań kontrolnych.</w:t>
      </w:r>
    </w:p>
    <w:p w:rsidR="00B77F00" w:rsidRDefault="00865FA3">
      <w:pPr>
        <w:pStyle w:val="Tekst-specyfikacji"/>
        <w:jc w:val="both"/>
      </w:pPr>
      <w:r>
        <w:rPr>
          <w:rStyle w:val="WW-DefaultParagraphFont"/>
          <w:rFonts w:eastAsia="Times New Roman" w:cs="Arial"/>
          <w:lang w:val="pl-PL"/>
        </w:rPr>
        <w:tab/>
        <w:t>Koszty badań arbitrażowych wraz ze wszystkimi</w:t>
      </w:r>
      <w:r>
        <w:rPr>
          <w:rStyle w:val="WW-DefaultParagraphFont"/>
          <w:rFonts w:eastAsia="Times New Roman" w:cs="Arial"/>
          <w:lang w:val="pl-PL"/>
        </w:rPr>
        <w:t xml:space="preserve"> kosztami ubocznymi ponosi strona, na której niekorzyść przemawia wynik badania.</w:t>
      </w:r>
    </w:p>
    <w:p w:rsidR="00B77F00" w:rsidRDefault="00865FA3">
      <w:pPr>
        <w:pStyle w:val="Tekst-specyfikacji"/>
        <w:jc w:val="both"/>
      </w:pPr>
      <w:r>
        <w:rPr>
          <w:rStyle w:val="WW-DefaultParagraphFont"/>
          <w:rFonts w:eastAsia="Times New Roman" w:cs="Arial"/>
          <w:lang w:val="pl-PL"/>
        </w:rPr>
        <w:tab/>
        <w:t>Wniosek o przeprowadzenie badań arbitrażowych dotyczących zawartości wolnych przestrzeni lub wskaźnika zagęszczenia należy złożyć w ciągu 2 miesięcy od wpływu reklamacji ze s</w:t>
      </w:r>
      <w:r>
        <w:rPr>
          <w:rStyle w:val="WW-DefaultParagraphFont"/>
          <w:rFonts w:eastAsia="Times New Roman" w:cs="Arial"/>
          <w:lang w:val="pl-PL"/>
        </w:rPr>
        <w:t>trony Zamawiającego.</w:t>
      </w:r>
    </w:p>
    <w:p w:rsidR="00B77F00" w:rsidRDefault="00865FA3">
      <w:pPr>
        <w:pStyle w:val="Spec-num2"/>
        <w:jc w:val="both"/>
      </w:pPr>
      <w:r>
        <w:rPr>
          <w:rStyle w:val="WW-DefaultParagraphFont"/>
          <w:rFonts w:eastAsia="Times New Roman" w:cs="Arial"/>
          <w:lang w:val="pl-PL"/>
        </w:rPr>
        <w:t>6.4. Właściwości warstw i nawierzchni oraz dopuszczalne odchyłki</w:t>
      </w:r>
    </w:p>
    <w:p w:rsidR="00B77F00" w:rsidRDefault="00865FA3">
      <w:pPr>
        <w:pStyle w:val="Tekst-specyfikacji"/>
        <w:jc w:val="both"/>
      </w:pPr>
      <w:r>
        <w:rPr>
          <w:rStyle w:val="WW-DefaultParagraphFont"/>
          <w:rFonts w:eastAsia="Times New Roman" w:cs="Arial"/>
          <w:lang w:val="pl-PL"/>
        </w:rPr>
        <w:t>6.4.1. Mieszanka mineralno-asfaltowa</w:t>
      </w:r>
    </w:p>
    <w:p w:rsidR="00B77F00" w:rsidRDefault="00865FA3">
      <w:pPr>
        <w:pStyle w:val="Tekst-specyfikacji"/>
        <w:jc w:val="both"/>
      </w:pPr>
      <w:r>
        <w:rPr>
          <w:rStyle w:val="WW-DefaultParagraphFont"/>
          <w:rFonts w:eastAsia="Times New Roman" w:cs="Arial"/>
          <w:lang w:val="pl-PL"/>
        </w:rPr>
        <w:t>6.4.1.1. Uwagi ogólne</w:t>
      </w:r>
    </w:p>
    <w:p w:rsidR="00B77F00" w:rsidRDefault="00865FA3">
      <w:pPr>
        <w:pStyle w:val="Tekst-specyfikacji"/>
        <w:jc w:val="both"/>
      </w:pPr>
      <w:r>
        <w:rPr>
          <w:rStyle w:val="WW-DefaultParagraphFont"/>
          <w:rFonts w:eastAsia="Times New Roman" w:cs="Arial"/>
          <w:lang w:val="pl-PL"/>
        </w:rPr>
        <w:tab/>
        <w:t>Na etapie oceny jakości wbudowanej mieszanki mineralno-asfaltowej podaje się wartości dopuszczalne i tolerancj</w:t>
      </w:r>
      <w:r>
        <w:rPr>
          <w:rStyle w:val="WW-DefaultParagraphFont"/>
          <w:rFonts w:eastAsia="Times New Roman" w:cs="Arial"/>
          <w:lang w:val="pl-PL"/>
        </w:rPr>
        <w:t xml:space="preserve">e, w których uwzględnia się: rozrzut występujący przy pobieraniu próbek, dokładność </w:t>
      </w:r>
      <w:r>
        <w:rPr>
          <w:rStyle w:val="WW-DefaultParagraphFont"/>
          <w:rFonts w:eastAsia="Times New Roman" w:cs="Arial"/>
          <w:lang w:val="pl-PL"/>
        </w:rPr>
        <w:lastRenderedPageBreak/>
        <w:t>metod badań oraz odstępstwa uwarunkowane metodą pracy.</w:t>
      </w:r>
    </w:p>
    <w:p w:rsidR="00B77F00" w:rsidRDefault="00865FA3">
      <w:pPr>
        <w:pStyle w:val="Tekst-specyfikacji"/>
        <w:jc w:val="both"/>
      </w:pPr>
      <w:r>
        <w:rPr>
          <w:rStyle w:val="WW-DefaultParagraphFont"/>
          <w:rFonts w:eastAsia="Times New Roman" w:cs="Arial"/>
          <w:lang w:val="pl-PL"/>
        </w:rPr>
        <w:tab/>
        <w:t>Właściwości materiałów należy oceniać na podstawie badań pobranych próbek mieszanki mineralno-asfaltowej przed wbudo</w:t>
      </w:r>
      <w:r>
        <w:rPr>
          <w:rStyle w:val="WW-DefaultParagraphFont"/>
          <w:rFonts w:eastAsia="Times New Roman" w:cs="Arial"/>
          <w:lang w:val="pl-PL"/>
        </w:rPr>
        <w:t>waniem (wbudowanie oznacza wykonanie warstwy asfaltowej). Wyjątkowo dopuszcza się badania próbek pobranych z wykonanej warstwy asfaltowej).</w:t>
      </w:r>
    </w:p>
    <w:p w:rsidR="00B77F00" w:rsidRDefault="00865FA3">
      <w:pPr>
        <w:pStyle w:val="Tekst-specyfikacji"/>
        <w:jc w:val="both"/>
      </w:pPr>
      <w:r>
        <w:rPr>
          <w:rStyle w:val="WW-DefaultParagraphFont"/>
          <w:rFonts w:eastAsia="Times New Roman" w:cs="Arial"/>
          <w:lang w:val="pl-PL"/>
        </w:rPr>
        <w:t>6.4.1.2. Temperatura mięknienia lepiszcza odzyskanego</w:t>
      </w:r>
    </w:p>
    <w:p w:rsidR="00B77F00" w:rsidRDefault="00865FA3">
      <w:pPr>
        <w:pStyle w:val="Tekst-specyfikacji"/>
        <w:jc w:val="both"/>
      </w:pPr>
      <w:r>
        <w:rPr>
          <w:rStyle w:val="WW-DefaultParagraphFont"/>
          <w:rFonts w:eastAsia="Times New Roman" w:cs="Arial"/>
          <w:lang w:val="pl-PL"/>
        </w:rPr>
        <w:tab/>
        <w:t>Temperatura mięknienia lepiszcza (asfaltu lub polimeroasfaltu</w:t>
      </w:r>
      <w:r>
        <w:rPr>
          <w:rStyle w:val="WW-DefaultParagraphFont"/>
          <w:rFonts w:eastAsia="Times New Roman" w:cs="Arial"/>
          <w:lang w:val="pl-PL"/>
        </w:rPr>
        <w:t>) wyekstrahowanego z mieszanki mineralno-asfaltowej nie powinna przekroczyć wartości dopuszczalnych podanych w tablicy 13.</w:t>
      </w:r>
    </w:p>
    <w:p w:rsidR="00B77F00" w:rsidRDefault="00865FA3">
      <w:pPr>
        <w:pStyle w:val="Tekst-specyfikacji"/>
        <w:jc w:val="both"/>
      </w:pPr>
      <w:r>
        <w:rPr>
          <w:rStyle w:val="WW-DefaultParagraphFont"/>
          <w:rFonts w:eastAsia="Times New Roman" w:cs="Arial"/>
          <w:lang w:val="pl-PL"/>
        </w:rPr>
        <w:tab/>
        <w:t>W wypadku mieszanki mineralno-asfaltowej z polimeroasfaltem nawrót sprężysty lepiszcza wyekstrahowanego powinien wynieść co najmniej</w:t>
      </w:r>
      <w:r>
        <w:rPr>
          <w:rStyle w:val="WW-DefaultParagraphFont"/>
          <w:rFonts w:eastAsia="Times New Roman" w:cs="Arial"/>
          <w:lang w:val="pl-PL"/>
        </w:rPr>
        <w:t xml:space="preserve"> 40%. Dotyczy to również przedwczesnego zerwania tego lepiszcza w badaniu, przy czym należy wtedy podać wartość wydłużenia.</w:t>
      </w:r>
    </w:p>
    <w:p w:rsidR="00B77F00" w:rsidRDefault="00B77F00">
      <w:pPr>
        <w:pStyle w:val="Tekst-specyfikacji"/>
        <w:jc w:val="both"/>
      </w:pPr>
    </w:p>
    <w:p w:rsidR="00B77F00" w:rsidRDefault="00865FA3">
      <w:pPr>
        <w:pStyle w:val="Tekst-specyfikacji"/>
      </w:pPr>
      <w:r>
        <w:t>Tablica 13.</w:t>
      </w:r>
      <w:r>
        <w:tab/>
        <w:t>Najwyższa temperatura mięknienia wyekstrahowanego asfaltu lub polimeroasfaltu drogowego [65]</w:t>
      </w:r>
    </w:p>
    <w:tbl>
      <w:tblPr>
        <w:tblW w:w="4972" w:type="dxa"/>
        <w:jc w:val="center"/>
        <w:tblLayout w:type="fixed"/>
        <w:tblCellMar>
          <w:left w:w="10" w:type="dxa"/>
          <w:right w:w="10" w:type="dxa"/>
        </w:tblCellMar>
        <w:tblLook w:val="0000" w:firstRow="0" w:lastRow="0" w:firstColumn="0" w:lastColumn="0" w:noHBand="0" w:noVBand="0"/>
      </w:tblPr>
      <w:tblGrid>
        <w:gridCol w:w="2513"/>
        <w:gridCol w:w="2459"/>
      </w:tblGrid>
      <w:tr w:rsidR="00B77F00">
        <w:tblPrEx>
          <w:tblCellMar>
            <w:top w:w="0" w:type="dxa"/>
            <w:bottom w:w="0" w:type="dxa"/>
          </w:tblCellMar>
        </w:tblPrEx>
        <w:trPr>
          <w:jc w:val="center"/>
        </w:trPr>
        <w:tc>
          <w:tcPr>
            <w:tcW w:w="2513"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Rodzaj</w:t>
            </w:r>
          </w:p>
        </w:tc>
        <w:tc>
          <w:tcPr>
            <w:tcW w:w="24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Temperatura mięknie</w:t>
            </w:r>
            <w:r>
              <w:t>nia,</w:t>
            </w:r>
          </w:p>
          <w:p w:rsidR="00B77F00" w:rsidRDefault="00865FA3">
            <w:pPr>
              <w:pStyle w:val="Tekst-spec-w-tabeli"/>
            </w:pPr>
            <w:r>
              <w:t>nie więcej niż   [°C]</w:t>
            </w:r>
          </w:p>
        </w:tc>
      </w:tr>
      <w:tr w:rsidR="00B77F00">
        <w:tblPrEx>
          <w:tblCellMar>
            <w:top w:w="0" w:type="dxa"/>
            <w:bottom w:w="0" w:type="dxa"/>
          </w:tblCellMar>
        </w:tblPrEx>
        <w:trPr>
          <w:jc w:val="center"/>
        </w:trPr>
        <w:tc>
          <w:tcPr>
            <w:tcW w:w="4972"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Asfalt drogowy</w:t>
            </w:r>
          </w:p>
        </w:tc>
      </w:tr>
      <w:tr w:rsidR="00B77F00">
        <w:tblPrEx>
          <w:tblCellMar>
            <w:top w:w="0" w:type="dxa"/>
            <w:bottom w:w="0" w:type="dxa"/>
          </w:tblCellMar>
        </w:tblPrEx>
        <w:trPr>
          <w:jc w:val="center"/>
        </w:trPr>
        <w:tc>
          <w:tcPr>
            <w:tcW w:w="2513"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70/100</w:t>
            </w:r>
          </w:p>
        </w:tc>
        <w:tc>
          <w:tcPr>
            <w:tcW w:w="24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60</w:t>
            </w:r>
          </w:p>
        </w:tc>
      </w:tr>
      <w:tr w:rsidR="00B77F00">
        <w:tblPrEx>
          <w:tblCellMar>
            <w:top w:w="0" w:type="dxa"/>
            <w:bottom w:w="0" w:type="dxa"/>
          </w:tblCellMar>
        </w:tblPrEx>
        <w:trPr>
          <w:jc w:val="center"/>
        </w:trPr>
        <w:tc>
          <w:tcPr>
            <w:tcW w:w="2513"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50/70</w:t>
            </w:r>
          </w:p>
        </w:tc>
        <w:tc>
          <w:tcPr>
            <w:tcW w:w="24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63</w:t>
            </w:r>
          </w:p>
        </w:tc>
      </w:tr>
      <w:tr w:rsidR="00B77F00">
        <w:tblPrEx>
          <w:tblCellMar>
            <w:top w:w="0" w:type="dxa"/>
            <w:bottom w:w="0" w:type="dxa"/>
          </w:tblCellMar>
        </w:tblPrEx>
        <w:trPr>
          <w:jc w:val="center"/>
        </w:trPr>
        <w:tc>
          <w:tcPr>
            <w:tcW w:w="4972"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Polimeroasfalt drogowy</w:t>
            </w:r>
          </w:p>
        </w:tc>
      </w:tr>
      <w:tr w:rsidR="00B77F00">
        <w:tblPrEx>
          <w:tblCellMar>
            <w:top w:w="0" w:type="dxa"/>
            <w:bottom w:w="0" w:type="dxa"/>
          </w:tblCellMar>
        </w:tblPrEx>
        <w:trPr>
          <w:jc w:val="center"/>
        </w:trPr>
        <w:tc>
          <w:tcPr>
            <w:tcW w:w="2513"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PMB 45/80-55</w:t>
            </w:r>
          </w:p>
        </w:tc>
        <w:tc>
          <w:tcPr>
            <w:tcW w:w="24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73</w:t>
            </w:r>
          </w:p>
        </w:tc>
      </w:tr>
      <w:tr w:rsidR="00B77F00">
        <w:tblPrEx>
          <w:tblCellMar>
            <w:top w:w="0" w:type="dxa"/>
            <w:bottom w:w="0" w:type="dxa"/>
          </w:tblCellMar>
        </w:tblPrEx>
        <w:trPr>
          <w:jc w:val="center"/>
        </w:trPr>
        <w:tc>
          <w:tcPr>
            <w:tcW w:w="2513"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PMB 45/80-65</w:t>
            </w:r>
          </w:p>
        </w:tc>
        <w:tc>
          <w:tcPr>
            <w:tcW w:w="24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80</w:t>
            </w:r>
          </w:p>
        </w:tc>
      </w:tr>
      <w:tr w:rsidR="00B77F00">
        <w:tblPrEx>
          <w:tblCellMar>
            <w:top w:w="0" w:type="dxa"/>
            <w:bottom w:w="0" w:type="dxa"/>
          </w:tblCellMar>
        </w:tblPrEx>
        <w:trPr>
          <w:jc w:val="center"/>
        </w:trPr>
        <w:tc>
          <w:tcPr>
            <w:tcW w:w="2513"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PMB 65/105-60</w:t>
            </w:r>
          </w:p>
        </w:tc>
        <w:tc>
          <w:tcPr>
            <w:tcW w:w="24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80</w:t>
            </w:r>
          </w:p>
        </w:tc>
      </w:tr>
    </w:tbl>
    <w:p w:rsidR="00B77F00" w:rsidRDefault="00B77F00">
      <w:pPr>
        <w:pStyle w:val="Tekst-specyfikacji"/>
      </w:pPr>
    </w:p>
    <w:p w:rsidR="00B77F00" w:rsidRDefault="00865FA3">
      <w:pPr>
        <w:pStyle w:val="Tekst-specyfikacji"/>
        <w:jc w:val="both"/>
      </w:pPr>
      <w:r>
        <w:rPr>
          <w:rStyle w:val="WW-DefaultParagraphFont"/>
          <w:rFonts w:eastAsia="Times New Roman" w:cs="Arial"/>
          <w:lang w:val="pl-PL"/>
        </w:rPr>
        <w:t>6.4.1.3. Zawartość lepiszcza</w:t>
      </w:r>
    </w:p>
    <w:p w:rsidR="00B77F00" w:rsidRDefault="00865FA3">
      <w:pPr>
        <w:pStyle w:val="Tekst-specyfikacji"/>
        <w:jc w:val="both"/>
      </w:pPr>
      <w:r>
        <w:rPr>
          <w:rStyle w:val="WW-DefaultParagraphFont"/>
          <w:rFonts w:eastAsia="Times New Roman" w:cs="Arial"/>
          <w:lang w:val="pl-PL"/>
        </w:rPr>
        <w:tab/>
        <w:t xml:space="preserve">Zawartość rozpuszczalnego lepiszcza z każdej próbki pobranej z mieszanki </w:t>
      </w:r>
      <w:r>
        <w:rPr>
          <w:rStyle w:val="WW-DefaultParagraphFont"/>
          <w:rFonts w:eastAsia="Times New Roman" w:cs="Arial"/>
          <w:lang w:val="pl-PL"/>
        </w:rPr>
        <w:t>mineralno-asfaltowej lub wyjątkowo z próbki pobranej z nawierzchni nie może odbiegać od wartości projektowanej, z uwzględnieniem podanych dopuszczalnych odchyłek w zależności od liczby wyników badań z danego odcinka budowy (tablica 14). Do wyników badań ni</w:t>
      </w:r>
      <w:r>
        <w:rPr>
          <w:rStyle w:val="WW-DefaultParagraphFont"/>
          <w:rFonts w:eastAsia="Times New Roman" w:cs="Arial"/>
          <w:lang w:val="pl-PL"/>
        </w:rPr>
        <w:t>e zalicza się badań kontrolnych dodatkowych (p. 6.3.4).</w:t>
      </w:r>
    </w:p>
    <w:p w:rsidR="00B77F00" w:rsidRDefault="00B77F00">
      <w:pPr>
        <w:pStyle w:val="Tekst-specyfikacji"/>
      </w:pPr>
    </w:p>
    <w:p w:rsidR="00B77F00" w:rsidRDefault="00865FA3">
      <w:pPr>
        <w:pStyle w:val="Tekst-specyfikacji"/>
      </w:pPr>
      <w:r>
        <w:t>Tablica 14.</w:t>
      </w:r>
      <w:r>
        <w:tab/>
        <w:t>Dopuszczalne odchyłki pojedynczego wyniku badania i średniej arytmetycznej wyników badań zawartości lepiszcza rozpuszczalnego, [%(m/m)] [65]</w:t>
      </w:r>
    </w:p>
    <w:tbl>
      <w:tblPr>
        <w:tblW w:w="7521" w:type="dxa"/>
        <w:tblInd w:w="-113" w:type="dxa"/>
        <w:tblLayout w:type="fixed"/>
        <w:tblCellMar>
          <w:left w:w="10" w:type="dxa"/>
          <w:right w:w="10" w:type="dxa"/>
        </w:tblCellMar>
        <w:tblLook w:val="0000" w:firstRow="0" w:lastRow="0" w:firstColumn="0" w:lastColumn="0" w:noHBand="0" w:noVBand="0"/>
      </w:tblPr>
      <w:tblGrid>
        <w:gridCol w:w="2518"/>
        <w:gridCol w:w="851"/>
        <w:gridCol w:w="850"/>
        <w:gridCol w:w="851"/>
        <w:gridCol w:w="850"/>
        <w:gridCol w:w="851"/>
        <w:gridCol w:w="750"/>
      </w:tblGrid>
      <w:tr w:rsidR="00B77F00">
        <w:tblPrEx>
          <w:tblCellMar>
            <w:top w:w="0" w:type="dxa"/>
            <w:bottom w:w="0" w:type="dxa"/>
          </w:tblCellMar>
        </w:tblPrEx>
        <w:trPr>
          <w:cantSplit/>
        </w:trPr>
        <w:tc>
          <w:tcPr>
            <w:tcW w:w="2518" w:type="dxa"/>
            <w:vMerge w:val="restart"/>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yfikacji"/>
            </w:pPr>
            <w:r>
              <w:t>Rodzaj</w:t>
            </w:r>
          </w:p>
          <w:p w:rsidR="00B77F00" w:rsidRDefault="00865FA3">
            <w:pPr>
              <w:pStyle w:val="Tekst-specyfikacji"/>
            </w:pPr>
            <w:r>
              <w:t>mieszanki</w:t>
            </w:r>
          </w:p>
        </w:tc>
        <w:tc>
          <w:tcPr>
            <w:tcW w:w="5003" w:type="dxa"/>
            <w:gridSpan w:val="6"/>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yfikacji"/>
            </w:pPr>
            <w:r>
              <w:t>Liczba wyników badań</w:t>
            </w:r>
          </w:p>
        </w:tc>
      </w:tr>
      <w:tr w:rsidR="00B77F00">
        <w:tblPrEx>
          <w:tblCellMar>
            <w:top w:w="0" w:type="dxa"/>
            <w:bottom w:w="0" w:type="dxa"/>
          </w:tblCellMar>
        </w:tblPrEx>
        <w:trPr>
          <w:cantSplit/>
        </w:trPr>
        <w:tc>
          <w:tcPr>
            <w:tcW w:w="2518" w:type="dxa"/>
            <w:vMerge/>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000000" w:rsidRDefault="00865FA3"/>
        </w:tc>
        <w:tc>
          <w:tcPr>
            <w:tcW w:w="851"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yfikacji"/>
            </w:pPr>
            <w:r>
              <w:t>1</w:t>
            </w:r>
          </w:p>
        </w:tc>
        <w:tc>
          <w:tcPr>
            <w:tcW w:w="85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yfikacji"/>
            </w:pPr>
            <w:r>
              <w:t>2</w:t>
            </w:r>
          </w:p>
        </w:tc>
        <w:tc>
          <w:tcPr>
            <w:tcW w:w="851"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yfikacji"/>
            </w:pPr>
            <w:r>
              <w:t>od 3</w:t>
            </w:r>
          </w:p>
          <w:p w:rsidR="00B77F00" w:rsidRDefault="00865FA3">
            <w:pPr>
              <w:pStyle w:val="Tekst-specyfikacji"/>
            </w:pPr>
            <w:r>
              <w:t>do 4</w:t>
            </w:r>
          </w:p>
        </w:tc>
        <w:tc>
          <w:tcPr>
            <w:tcW w:w="85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yfikacji"/>
            </w:pPr>
            <w:r>
              <w:t>od 5</w:t>
            </w:r>
          </w:p>
          <w:p w:rsidR="00B77F00" w:rsidRDefault="00865FA3">
            <w:pPr>
              <w:pStyle w:val="Tekst-specyfikacji"/>
            </w:pPr>
            <w:r>
              <w:t>do 8a)</w:t>
            </w:r>
          </w:p>
        </w:tc>
        <w:tc>
          <w:tcPr>
            <w:tcW w:w="851"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yfikacji"/>
            </w:pPr>
            <w:r>
              <w:t>od 9</w:t>
            </w:r>
          </w:p>
          <w:p w:rsidR="00B77F00" w:rsidRDefault="00865FA3">
            <w:pPr>
              <w:pStyle w:val="Tekst-specyfikacji"/>
            </w:pPr>
            <w:r>
              <w:t>do 19a)</w:t>
            </w:r>
          </w:p>
        </w:tc>
        <w:tc>
          <w:tcPr>
            <w:tcW w:w="75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yfikacji"/>
            </w:pPr>
            <w:r>
              <w:t>≥ 20</w:t>
            </w:r>
          </w:p>
        </w:tc>
      </w:tr>
      <w:tr w:rsidR="00B77F00">
        <w:tblPrEx>
          <w:tblCellMar>
            <w:top w:w="0" w:type="dxa"/>
            <w:bottom w:w="0" w:type="dxa"/>
          </w:tblCellMar>
        </w:tblPrEx>
        <w:tc>
          <w:tcPr>
            <w:tcW w:w="2518"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yfikacji"/>
            </w:pPr>
            <w:r>
              <w:t>Mieszanki gruboziarniste</w:t>
            </w:r>
          </w:p>
        </w:tc>
        <w:tc>
          <w:tcPr>
            <w:tcW w:w="851"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yfikacji"/>
            </w:pPr>
            <w:r>
              <w:t>± 0,6</w:t>
            </w:r>
          </w:p>
        </w:tc>
        <w:tc>
          <w:tcPr>
            <w:tcW w:w="85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yfikacji"/>
            </w:pPr>
            <w:r>
              <w:t>± 0,55</w:t>
            </w:r>
          </w:p>
        </w:tc>
        <w:tc>
          <w:tcPr>
            <w:tcW w:w="851"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yfikacji"/>
            </w:pPr>
            <w:r>
              <w:t>± 0,50</w:t>
            </w:r>
          </w:p>
        </w:tc>
        <w:tc>
          <w:tcPr>
            <w:tcW w:w="85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yfikacji"/>
            </w:pPr>
            <w:r>
              <w:t>± 0,40</w:t>
            </w:r>
          </w:p>
        </w:tc>
        <w:tc>
          <w:tcPr>
            <w:tcW w:w="851"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yfikacji"/>
            </w:pPr>
            <w:r>
              <w:t>± 0,35</w:t>
            </w:r>
          </w:p>
        </w:tc>
        <w:tc>
          <w:tcPr>
            <w:tcW w:w="75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yfikacji"/>
            </w:pPr>
            <w:r>
              <w:t>± 0,30</w:t>
            </w:r>
          </w:p>
        </w:tc>
      </w:tr>
      <w:tr w:rsidR="00B77F00">
        <w:tblPrEx>
          <w:tblCellMar>
            <w:top w:w="0" w:type="dxa"/>
            <w:bottom w:w="0" w:type="dxa"/>
          </w:tblCellMar>
        </w:tblPrEx>
        <w:tc>
          <w:tcPr>
            <w:tcW w:w="2518"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yfikacji"/>
            </w:pPr>
            <w:r>
              <w:t>Mieszanki drobnoziarniste</w:t>
            </w:r>
          </w:p>
        </w:tc>
        <w:tc>
          <w:tcPr>
            <w:tcW w:w="851"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yfikacji"/>
            </w:pPr>
            <w:r>
              <w:t>± 0,5</w:t>
            </w:r>
          </w:p>
        </w:tc>
        <w:tc>
          <w:tcPr>
            <w:tcW w:w="85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yfikacji"/>
            </w:pPr>
            <w:r>
              <w:t>± 0,45</w:t>
            </w:r>
          </w:p>
        </w:tc>
        <w:tc>
          <w:tcPr>
            <w:tcW w:w="851"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yfikacji"/>
            </w:pPr>
            <w:r>
              <w:t>± 0,40</w:t>
            </w:r>
          </w:p>
        </w:tc>
        <w:tc>
          <w:tcPr>
            <w:tcW w:w="85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yfikacji"/>
            </w:pPr>
            <w:r>
              <w:t>± 0,40</w:t>
            </w:r>
          </w:p>
        </w:tc>
        <w:tc>
          <w:tcPr>
            <w:tcW w:w="851"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yfikacji"/>
            </w:pPr>
            <w:r>
              <w:t>± 0,35</w:t>
            </w:r>
          </w:p>
        </w:tc>
        <w:tc>
          <w:tcPr>
            <w:tcW w:w="75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yfikacji"/>
            </w:pPr>
            <w:r>
              <w:t>± 0,30</w:t>
            </w:r>
          </w:p>
        </w:tc>
      </w:tr>
      <w:tr w:rsidR="00B77F00">
        <w:tblPrEx>
          <w:tblCellMar>
            <w:top w:w="0" w:type="dxa"/>
            <w:bottom w:w="0" w:type="dxa"/>
          </w:tblCellMar>
        </w:tblPrEx>
        <w:tc>
          <w:tcPr>
            <w:tcW w:w="7521" w:type="dxa"/>
            <w:gridSpan w:val="7"/>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yfikacji"/>
            </w:pPr>
            <w:r>
              <w:t xml:space="preserve">a) dodatkowo dopuszcza się maksymalnie jeden wynik, spośród wyników badań </w:t>
            </w:r>
            <w:r>
              <w:t>wziętych do obliczenia średniej arytmetycznej, którego odchyłka jest większa od dopuszczalnej odchyłki dotyczącej średniej arytmetycznej, lecz nie przekracza dopuszczalnej odchyłki jak do pojedynczego wyniku badania</w:t>
            </w:r>
          </w:p>
        </w:tc>
      </w:tr>
    </w:tbl>
    <w:p w:rsidR="00B77F00" w:rsidRDefault="00B77F00">
      <w:pPr>
        <w:pStyle w:val="Tekst-specyfikacji"/>
      </w:pPr>
    </w:p>
    <w:p w:rsidR="00B77F00" w:rsidRDefault="00865FA3">
      <w:pPr>
        <w:pStyle w:val="Tekst-specyfikacji"/>
        <w:jc w:val="both"/>
      </w:pPr>
      <w:r>
        <w:rPr>
          <w:rStyle w:val="WW-DefaultParagraphFont"/>
          <w:rFonts w:eastAsia="Times New Roman" w:cs="Arial"/>
          <w:lang w:val="pl-PL"/>
        </w:rPr>
        <w:t>6.4.1.4. Uziarnienie</w:t>
      </w:r>
    </w:p>
    <w:p w:rsidR="00B77F00" w:rsidRDefault="00865FA3">
      <w:pPr>
        <w:pStyle w:val="Tekst-specyfikacji"/>
        <w:jc w:val="both"/>
      </w:pPr>
      <w:r>
        <w:rPr>
          <w:rStyle w:val="WW-DefaultParagraphFont"/>
          <w:rFonts w:eastAsia="Times New Roman" w:cs="Arial"/>
          <w:lang w:val="pl-PL"/>
        </w:rPr>
        <w:tab/>
        <w:t xml:space="preserve">Uziarnienie </w:t>
      </w:r>
      <w:r>
        <w:rPr>
          <w:rStyle w:val="WW-DefaultParagraphFont"/>
          <w:rFonts w:eastAsia="Times New Roman" w:cs="Arial"/>
          <w:lang w:val="pl-PL"/>
        </w:rPr>
        <w:t>każdej próbki pobranej z luźnej mieszanki mineralno-asfaltowej nie może odbiegać od wartości projektowanej, z uwzględnieniem dopuszczalnych odchyłek, w zależności od liczby wyników badań z danego odcinka budowy. Wyniki badań nie uwzględniają badań kontroln</w:t>
      </w:r>
      <w:r>
        <w:rPr>
          <w:rStyle w:val="WW-DefaultParagraphFont"/>
          <w:rFonts w:eastAsia="Times New Roman" w:cs="Arial"/>
          <w:lang w:val="pl-PL"/>
        </w:rPr>
        <w:t>ych dodatkowych (p. 6.3.4).</w:t>
      </w:r>
    </w:p>
    <w:p w:rsidR="00B77F00" w:rsidRDefault="00865FA3">
      <w:pPr>
        <w:pStyle w:val="Tekst-specyfikacji"/>
        <w:jc w:val="both"/>
      </w:pPr>
      <w:r>
        <w:rPr>
          <w:rStyle w:val="WW-DefaultParagraphFont"/>
          <w:rFonts w:eastAsia="Times New Roman" w:cs="Arial"/>
          <w:lang w:val="pl-PL"/>
        </w:rPr>
        <w:tab/>
        <w:t>W wypadku wymagań dotyczących uziarnienia, wyrażonych jako którekolwiek z:</w:t>
      </w:r>
    </w:p>
    <w:p w:rsidR="00B77F00" w:rsidRDefault="00865FA3">
      <w:pPr>
        <w:pStyle w:val="Tekst-specyfikacji"/>
        <w:numPr>
          <w:ilvl w:val="0"/>
          <w:numId w:val="22"/>
        </w:numPr>
        <w:jc w:val="both"/>
      </w:pPr>
      <w:r>
        <w:rPr>
          <w:rStyle w:val="WW-DefaultParagraphFont"/>
          <w:rFonts w:eastAsia="Times New Roman" w:cs="Arial"/>
          <w:lang w:val="pl-PL"/>
        </w:rPr>
        <w:t>zawartość kruszywa o wymiarze &lt; 0,063 mm,</w:t>
      </w:r>
    </w:p>
    <w:p w:rsidR="00B77F00" w:rsidRDefault="00865FA3">
      <w:pPr>
        <w:pStyle w:val="Tekst-specyfikacji"/>
        <w:numPr>
          <w:ilvl w:val="0"/>
          <w:numId w:val="22"/>
        </w:numPr>
        <w:jc w:val="both"/>
      </w:pPr>
      <w:r>
        <w:rPr>
          <w:rStyle w:val="WW-DefaultParagraphFont"/>
          <w:rFonts w:eastAsia="Times New Roman" w:cs="Arial"/>
          <w:lang w:val="pl-PL"/>
        </w:rPr>
        <w:t>zawartość kruszywa o wymiarze &lt; 0,125 mm,</w:t>
      </w:r>
    </w:p>
    <w:p w:rsidR="00B77F00" w:rsidRDefault="00865FA3">
      <w:pPr>
        <w:pStyle w:val="Tekst-specyfikacji"/>
        <w:numPr>
          <w:ilvl w:val="0"/>
          <w:numId w:val="22"/>
        </w:numPr>
        <w:jc w:val="both"/>
      </w:pPr>
      <w:r>
        <w:rPr>
          <w:rStyle w:val="WW-DefaultParagraphFont"/>
          <w:rFonts w:eastAsia="Times New Roman" w:cs="Arial"/>
          <w:lang w:val="pl-PL"/>
        </w:rPr>
        <w:t>zawartość kruszywa drobnego o wymiarze od 0,063 mm do 2 mm,</w:t>
      </w:r>
    </w:p>
    <w:p w:rsidR="00B77F00" w:rsidRDefault="00865FA3">
      <w:pPr>
        <w:pStyle w:val="Tekst-specyfikacji"/>
        <w:numPr>
          <w:ilvl w:val="0"/>
          <w:numId w:val="22"/>
        </w:numPr>
        <w:jc w:val="both"/>
      </w:pPr>
      <w:r>
        <w:rPr>
          <w:rStyle w:val="WW-DefaultParagraphFont"/>
          <w:rFonts w:eastAsia="Times New Roman" w:cs="Arial"/>
          <w:lang w:val="pl-PL"/>
        </w:rPr>
        <w:t>zawartoś</w:t>
      </w:r>
      <w:r>
        <w:rPr>
          <w:rStyle w:val="WW-DefaultParagraphFont"/>
          <w:rFonts w:eastAsia="Times New Roman" w:cs="Arial"/>
          <w:lang w:val="pl-PL"/>
        </w:rPr>
        <w:t>ć kruszywa grubego o wymiarze &gt; 2 mm,</w:t>
      </w:r>
    </w:p>
    <w:p w:rsidR="00B77F00" w:rsidRDefault="00865FA3">
      <w:pPr>
        <w:pStyle w:val="Tekst-specyfikacji"/>
        <w:numPr>
          <w:ilvl w:val="0"/>
          <w:numId w:val="22"/>
        </w:numPr>
        <w:jc w:val="both"/>
      </w:pPr>
      <w:r>
        <w:rPr>
          <w:rStyle w:val="WW-DefaultParagraphFont"/>
          <w:rFonts w:eastAsia="Times New Roman" w:cs="Arial"/>
          <w:lang w:val="pl-PL"/>
        </w:rPr>
        <w:t>zawartość kruszywa grubego o wymiarze &gt; 5,6 mm,</w:t>
      </w:r>
    </w:p>
    <w:p w:rsidR="00B77F00" w:rsidRDefault="00865FA3">
      <w:pPr>
        <w:pStyle w:val="Tekst-specyfikacji"/>
        <w:numPr>
          <w:ilvl w:val="0"/>
          <w:numId w:val="22"/>
        </w:numPr>
        <w:jc w:val="both"/>
      </w:pPr>
      <w:r>
        <w:rPr>
          <w:rStyle w:val="WW-DefaultParagraphFont"/>
          <w:rFonts w:eastAsia="Times New Roman" w:cs="Arial"/>
          <w:lang w:val="pl-PL"/>
        </w:rPr>
        <w:t>zawartość ziaren grubych,,</w:t>
      </w:r>
    </w:p>
    <w:p w:rsidR="00B77F00" w:rsidRDefault="00865FA3">
      <w:pPr>
        <w:pStyle w:val="Tekst-specyfikacji"/>
        <w:jc w:val="both"/>
      </w:pPr>
      <w:r>
        <w:rPr>
          <w:rStyle w:val="WW-DefaultParagraphFont"/>
          <w:rFonts w:eastAsia="Times New Roman" w:cs="Arial"/>
          <w:lang w:val="pl-PL"/>
        </w:rPr>
        <w:t>to żadna próbka nie może wykazywać uziarnienia odbiegającego o więcej niż wartość dopuszczalnych odchyłek podanych w tablicach 15 ÷ 19.</w:t>
      </w:r>
    </w:p>
    <w:p w:rsidR="00B77F00" w:rsidRDefault="00865FA3">
      <w:pPr>
        <w:pStyle w:val="Tekst-specyfikacji"/>
        <w:jc w:val="both"/>
      </w:pPr>
      <w:r>
        <w:rPr>
          <w:rStyle w:val="WW-DefaultParagraphFont"/>
          <w:rFonts w:eastAsia="Times New Roman" w:cs="Arial"/>
          <w:lang w:val="pl-PL"/>
        </w:rPr>
        <w:tab/>
      </w:r>
      <w:r>
        <w:rPr>
          <w:rStyle w:val="WW-DefaultParagraphFont"/>
          <w:rFonts w:eastAsia="Times New Roman" w:cs="Arial"/>
          <w:lang w:val="pl-PL"/>
        </w:rPr>
        <w:t>Wymagania dotyczące udziału kruszywa grubego, drobnego i wypełniacza powinny być spełnione jednocześnie.</w:t>
      </w:r>
    </w:p>
    <w:p w:rsidR="00B77F00" w:rsidRDefault="00865FA3">
      <w:pPr>
        <w:pStyle w:val="Tekst-specyfikacji"/>
        <w:jc w:val="both"/>
      </w:pPr>
      <w:r>
        <w:rPr>
          <w:rStyle w:val="WW-DefaultParagraphFont"/>
          <w:rFonts w:eastAsia="Times New Roman" w:cs="Arial"/>
          <w:lang w:val="pl-PL"/>
        </w:rPr>
        <w:tab/>
        <w:t>Jeżeli w składzie mieszanki mineralno-asfaltowej określono dodatki kruszywa o szczególnych właściwościach, np. kruszywo rozjaśniające lub odporne na p</w:t>
      </w:r>
      <w:r>
        <w:rPr>
          <w:rStyle w:val="WW-DefaultParagraphFont"/>
          <w:rFonts w:eastAsia="Times New Roman" w:cs="Arial"/>
          <w:lang w:val="pl-PL"/>
        </w:rPr>
        <w:t>olerowanie, to dopuszczalna odchyłka zawartości tego kruszywa wynosi:</w:t>
      </w:r>
    </w:p>
    <w:p w:rsidR="00B77F00" w:rsidRDefault="00865FA3">
      <w:pPr>
        <w:pStyle w:val="Tekst-spec-w-tabeli"/>
        <w:numPr>
          <w:ilvl w:val="0"/>
          <w:numId w:val="104"/>
        </w:numPr>
        <w:jc w:val="both"/>
      </w:pPr>
      <w:r>
        <w:rPr>
          <w:rStyle w:val="WW-DefaultParagraphFont"/>
          <w:rFonts w:eastAsia="Times New Roman" w:cs="Arial"/>
          <w:lang w:val="pl-PL"/>
        </w:rPr>
        <w:t>± 20% w wypadku kruszywa grubego,</w:t>
      </w:r>
    </w:p>
    <w:p w:rsidR="00B77F00" w:rsidRDefault="00865FA3">
      <w:pPr>
        <w:pStyle w:val="Tekst-spec-w-tabeli"/>
        <w:numPr>
          <w:ilvl w:val="0"/>
          <w:numId w:val="5"/>
        </w:numPr>
        <w:jc w:val="both"/>
      </w:pPr>
      <w:r>
        <w:rPr>
          <w:rStyle w:val="WW-DefaultParagraphFont"/>
          <w:rFonts w:eastAsia="Times New Roman" w:cs="Arial"/>
          <w:lang w:val="pl-PL"/>
        </w:rPr>
        <w:t>± 30% w wypadku kruszywa drobnego.</w:t>
      </w:r>
    </w:p>
    <w:p w:rsidR="00B77F00" w:rsidRDefault="00865FA3">
      <w:pPr>
        <w:pStyle w:val="Tekst-specyfikacji"/>
      </w:pPr>
      <w:r>
        <w:t>Tablica 15.</w:t>
      </w:r>
      <w:r>
        <w:tab/>
        <w:t>Dopuszczalne odchyłki dotyczące pojedynczego wyniku badania i średniej arytmetycznej wyników badań zawart</w:t>
      </w:r>
      <w:r>
        <w:t>ości kruszywa o wymiarze &lt; 0,063 mm [%(m/m)] [65]</w:t>
      </w:r>
    </w:p>
    <w:tbl>
      <w:tblPr>
        <w:tblW w:w="9638" w:type="dxa"/>
        <w:tblLayout w:type="fixed"/>
        <w:tblCellMar>
          <w:left w:w="10" w:type="dxa"/>
          <w:right w:w="10" w:type="dxa"/>
        </w:tblCellMar>
        <w:tblLook w:val="0000" w:firstRow="0" w:lastRow="0" w:firstColumn="0" w:lastColumn="0" w:noHBand="0" w:noVBand="0"/>
      </w:tblPr>
      <w:tblGrid>
        <w:gridCol w:w="3228"/>
        <w:gridCol w:w="1090"/>
        <w:gridCol w:w="1089"/>
        <w:gridCol w:w="1090"/>
        <w:gridCol w:w="1089"/>
        <w:gridCol w:w="1090"/>
        <w:gridCol w:w="962"/>
      </w:tblGrid>
      <w:tr w:rsidR="00B77F00">
        <w:tblPrEx>
          <w:tblCellMar>
            <w:top w:w="0" w:type="dxa"/>
            <w:bottom w:w="0" w:type="dxa"/>
          </w:tblCellMar>
        </w:tblPrEx>
        <w:trPr>
          <w:cantSplit/>
        </w:trPr>
        <w:tc>
          <w:tcPr>
            <w:tcW w:w="3227" w:type="dxa"/>
            <w:vMerge w:val="restart"/>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Rodzaj mieszanki</w:t>
            </w:r>
          </w:p>
          <w:p w:rsidR="00B77F00" w:rsidRDefault="00865FA3">
            <w:pPr>
              <w:pStyle w:val="Tekst-spec-w-tabeli"/>
            </w:pPr>
            <w:r>
              <w:lastRenderedPageBreak/>
              <w:t>mineralno-asfaltowej</w:t>
            </w:r>
          </w:p>
        </w:tc>
        <w:tc>
          <w:tcPr>
            <w:tcW w:w="6410" w:type="dxa"/>
            <w:gridSpan w:val="6"/>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lastRenderedPageBreak/>
              <w:t>Liczba wyników badań</w:t>
            </w:r>
          </w:p>
        </w:tc>
      </w:tr>
      <w:tr w:rsidR="00B77F00">
        <w:tblPrEx>
          <w:tblCellMar>
            <w:top w:w="0" w:type="dxa"/>
            <w:bottom w:w="0" w:type="dxa"/>
          </w:tblCellMar>
        </w:tblPrEx>
        <w:trPr>
          <w:cantSplit/>
        </w:trPr>
        <w:tc>
          <w:tcPr>
            <w:tcW w:w="3227" w:type="dxa"/>
            <w:vMerge/>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000000" w:rsidRDefault="00865FA3"/>
        </w:tc>
        <w:tc>
          <w:tcPr>
            <w:tcW w:w="109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1</w:t>
            </w:r>
          </w:p>
        </w:tc>
        <w:tc>
          <w:tcPr>
            <w:tcW w:w="1089"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2</w:t>
            </w:r>
          </w:p>
        </w:tc>
        <w:tc>
          <w:tcPr>
            <w:tcW w:w="109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od 3</w:t>
            </w:r>
          </w:p>
          <w:p w:rsidR="00B77F00" w:rsidRDefault="00865FA3">
            <w:pPr>
              <w:pStyle w:val="Tekst-spec-w-tabeli"/>
            </w:pPr>
            <w:r>
              <w:t>do 4</w:t>
            </w:r>
          </w:p>
        </w:tc>
        <w:tc>
          <w:tcPr>
            <w:tcW w:w="1089"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od 5</w:t>
            </w:r>
          </w:p>
          <w:p w:rsidR="00B77F00" w:rsidRDefault="00865FA3">
            <w:pPr>
              <w:pStyle w:val="Tekst-spec-w-tabeli"/>
            </w:pPr>
            <w:r>
              <w:t>do 8</w:t>
            </w:r>
          </w:p>
        </w:tc>
        <w:tc>
          <w:tcPr>
            <w:tcW w:w="109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od 9</w:t>
            </w:r>
          </w:p>
          <w:p w:rsidR="00B77F00" w:rsidRDefault="00865FA3">
            <w:pPr>
              <w:pStyle w:val="Tekst-spec-w-tabeli"/>
            </w:pPr>
            <w:r>
              <w:t>do 19</w:t>
            </w:r>
          </w:p>
        </w:tc>
        <w:tc>
          <w:tcPr>
            <w:tcW w:w="96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 20</w:t>
            </w:r>
          </w:p>
        </w:tc>
      </w:tr>
      <w:tr w:rsidR="00B77F00">
        <w:tblPrEx>
          <w:tblCellMar>
            <w:top w:w="0" w:type="dxa"/>
            <w:bottom w:w="0" w:type="dxa"/>
          </w:tblCellMar>
        </w:tblPrEx>
        <w:tc>
          <w:tcPr>
            <w:tcW w:w="3227"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Mieszanka gruboziarnista</w:t>
            </w:r>
          </w:p>
        </w:tc>
        <w:tc>
          <w:tcPr>
            <w:tcW w:w="109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 4,0</w:t>
            </w:r>
          </w:p>
        </w:tc>
        <w:tc>
          <w:tcPr>
            <w:tcW w:w="1089"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 3,6</w:t>
            </w:r>
          </w:p>
        </w:tc>
        <w:tc>
          <w:tcPr>
            <w:tcW w:w="109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 3,2</w:t>
            </w:r>
          </w:p>
        </w:tc>
        <w:tc>
          <w:tcPr>
            <w:tcW w:w="1089"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 2,9</w:t>
            </w:r>
          </w:p>
        </w:tc>
        <w:tc>
          <w:tcPr>
            <w:tcW w:w="109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 2,4</w:t>
            </w:r>
          </w:p>
        </w:tc>
        <w:tc>
          <w:tcPr>
            <w:tcW w:w="96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 2,0</w:t>
            </w:r>
          </w:p>
        </w:tc>
      </w:tr>
      <w:tr w:rsidR="00B77F00">
        <w:tblPrEx>
          <w:tblCellMar>
            <w:top w:w="0" w:type="dxa"/>
            <w:bottom w:w="0" w:type="dxa"/>
          </w:tblCellMar>
        </w:tblPrEx>
        <w:tc>
          <w:tcPr>
            <w:tcW w:w="3227"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Mieszanka drobnoziarnista</w:t>
            </w:r>
          </w:p>
        </w:tc>
        <w:tc>
          <w:tcPr>
            <w:tcW w:w="109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 3,0</w:t>
            </w:r>
          </w:p>
        </w:tc>
        <w:tc>
          <w:tcPr>
            <w:tcW w:w="1089"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 2,7</w:t>
            </w:r>
          </w:p>
        </w:tc>
        <w:tc>
          <w:tcPr>
            <w:tcW w:w="109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w:t>
            </w:r>
            <w:r>
              <w:t xml:space="preserve"> 2,4</w:t>
            </w:r>
          </w:p>
        </w:tc>
        <w:tc>
          <w:tcPr>
            <w:tcW w:w="1089"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 2,1</w:t>
            </w:r>
          </w:p>
        </w:tc>
        <w:tc>
          <w:tcPr>
            <w:tcW w:w="109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 1,8</w:t>
            </w:r>
          </w:p>
        </w:tc>
        <w:tc>
          <w:tcPr>
            <w:tcW w:w="96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 1,5</w:t>
            </w:r>
          </w:p>
        </w:tc>
      </w:tr>
    </w:tbl>
    <w:p w:rsidR="00B77F00" w:rsidRDefault="00B77F00">
      <w:pPr>
        <w:pStyle w:val="Tekst-specyfikacji"/>
      </w:pPr>
    </w:p>
    <w:p w:rsidR="00B77F00" w:rsidRDefault="00865FA3">
      <w:pPr>
        <w:pStyle w:val="Tekst-specyfikacji"/>
      </w:pPr>
      <w:r>
        <w:t>Tablica 16.</w:t>
      </w:r>
      <w:r>
        <w:tab/>
        <w:t>Dopuszczalne odchyłki dotyczące pojedynczego wyniku badania i średniej arytmetycznej wyników badań zawartości kruszywa drobnego o wymiarze od 0,063 mm do 2 mm [%(m/m)] [65]</w:t>
      </w:r>
    </w:p>
    <w:tbl>
      <w:tblPr>
        <w:tblW w:w="9638" w:type="dxa"/>
        <w:tblLayout w:type="fixed"/>
        <w:tblCellMar>
          <w:left w:w="10" w:type="dxa"/>
          <w:right w:w="10" w:type="dxa"/>
        </w:tblCellMar>
        <w:tblLook w:val="0000" w:firstRow="0" w:lastRow="0" w:firstColumn="0" w:lastColumn="0" w:noHBand="0" w:noVBand="0"/>
      </w:tblPr>
      <w:tblGrid>
        <w:gridCol w:w="3228"/>
        <w:gridCol w:w="1090"/>
        <w:gridCol w:w="1089"/>
        <w:gridCol w:w="1090"/>
        <w:gridCol w:w="1089"/>
        <w:gridCol w:w="1090"/>
        <w:gridCol w:w="962"/>
      </w:tblGrid>
      <w:tr w:rsidR="00B77F00">
        <w:tblPrEx>
          <w:tblCellMar>
            <w:top w:w="0" w:type="dxa"/>
            <w:bottom w:w="0" w:type="dxa"/>
          </w:tblCellMar>
        </w:tblPrEx>
        <w:trPr>
          <w:cantSplit/>
        </w:trPr>
        <w:tc>
          <w:tcPr>
            <w:tcW w:w="3227" w:type="dxa"/>
            <w:vMerge w:val="restart"/>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Rodzaj mieszanki</w:t>
            </w:r>
          </w:p>
          <w:p w:rsidR="00B77F00" w:rsidRDefault="00865FA3">
            <w:pPr>
              <w:pStyle w:val="Tekst-spec-w-tabeli"/>
            </w:pPr>
            <w:r>
              <w:t>mineralno-asfaltowej</w:t>
            </w:r>
          </w:p>
        </w:tc>
        <w:tc>
          <w:tcPr>
            <w:tcW w:w="6410" w:type="dxa"/>
            <w:gridSpan w:val="6"/>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Liczba w</w:t>
            </w:r>
            <w:r>
              <w:t>yników badań</w:t>
            </w:r>
          </w:p>
        </w:tc>
      </w:tr>
      <w:tr w:rsidR="00B77F00">
        <w:tblPrEx>
          <w:tblCellMar>
            <w:top w:w="0" w:type="dxa"/>
            <w:bottom w:w="0" w:type="dxa"/>
          </w:tblCellMar>
        </w:tblPrEx>
        <w:trPr>
          <w:cantSplit/>
        </w:trPr>
        <w:tc>
          <w:tcPr>
            <w:tcW w:w="3227" w:type="dxa"/>
            <w:vMerge/>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000000" w:rsidRDefault="00865FA3"/>
        </w:tc>
        <w:tc>
          <w:tcPr>
            <w:tcW w:w="109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1</w:t>
            </w:r>
          </w:p>
        </w:tc>
        <w:tc>
          <w:tcPr>
            <w:tcW w:w="1089"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2</w:t>
            </w:r>
          </w:p>
        </w:tc>
        <w:tc>
          <w:tcPr>
            <w:tcW w:w="109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od 3</w:t>
            </w:r>
          </w:p>
          <w:p w:rsidR="00B77F00" w:rsidRDefault="00865FA3">
            <w:pPr>
              <w:pStyle w:val="Tekst-spec-w-tabeli"/>
            </w:pPr>
            <w:r>
              <w:t>do 4</w:t>
            </w:r>
          </w:p>
        </w:tc>
        <w:tc>
          <w:tcPr>
            <w:tcW w:w="1089"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od 5</w:t>
            </w:r>
          </w:p>
          <w:p w:rsidR="00B77F00" w:rsidRDefault="00865FA3">
            <w:pPr>
              <w:pStyle w:val="Tekst-spec-w-tabeli"/>
            </w:pPr>
            <w:r>
              <w:t>do 8</w:t>
            </w:r>
          </w:p>
        </w:tc>
        <w:tc>
          <w:tcPr>
            <w:tcW w:w="109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od 9</w:t>
            </w:r>
          </w:p>
          <w:p w:rsidR="00B77F00" w:rsidRDefault="00865FA3">
            <w:pPr>
              <w:pStyle w:val="Tekst-spec-w-tabeli"/>
            </w:pPr>
            <w:r>
              <w:t>do 19</w:t>
            </w:r>
          </w:p>
        </w:tc>
        <w:tc>
          <w:tcPr>
            <w:tcW w:w="96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 20</w:t>
            </w:r>
          </w:p>
        </w:tc>
      </w:tr>
      <w:tr w:rsidR="00B77F00">
        <w:tblPrEx>
          <w:tblCellMar>
            <w:top w:w="0" w:type="dxa"/>
            <w:bottom w:w="0" w:type="dxa"/>
          </w:tblCellMar>
        </w:tblPrEx>
        <w:tc>
          <w:tcPr>
            <w:tcW w:w="3227"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SMA</w:t>
            </w:r>
          </w:p>
        </w:tc>
        <w:tc>
          <w:tcPr>
            <w:tcW w:w="109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 8</w:t>
            </w:r>
          </w:p>
        </w:tc>
        <w:tc>
          <w:tcPr>
            <w:tcW w:w="1089"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 6,1</w:t>
            </w:r>
          </w:p>
        </w:tc>
        <w:tc>
          <w:tcPr>
            <w:tcW w:w="109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 5,0</w:t>
            </w:r>
          </w:p>
        </w:tc>
        <w:tc>
          <w:tcPr>
            <w:tcW w:w="1089"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 4,1</w:t>
            </w:r>
          </w:p>
        </w:tc>
        <w:tc>
          <w:tcPr>
            <w:tcW w:w="109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 3,3</w:t>
            </w:r>
          </w:p>
        </w:tc>
        <w:tc>
          <w:tcPr>
            <w:tcW w:w="96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 3,0</w:t>
            </w:r>
          </w:p>
        </w:tc>
      </w:tr>
    </w:tbl>
    <w:p w:rsidR="00B77F00" w:rsidRDefault="00B77F00">
      <w:pPr>
        <w:pStyle w:val="Tekst-specyfikacji"/>
      </w:pPr>
    </w:p>
    <w:p w:rsidR="00B77F00" w:rsidRDefault="00865FA3">
      <w:pPr>
        <w:pStyle w:val="Tekst-specyfikacji"/>
      </w:pPr>
      <w:r>
        <w:t>Tablica 17.</w:t>
      </w:r>
      <w:r>
        <w:tab/>
        <w:t xml:space="preserve">Dopuszczalne odchyłki dotyczące pojedynczego wyniku badania i średniej arytmetycznej wyników badań zawartości kruszywa grubego o wymiarze        </w:t>
      </w:r>
      <w:r>
        <w:t>&lt; 2 mm [%(m/m)] [65]</w:t>
      </w:r>
    </w:p>
    <w:tbl>
      <w:tblPr>
        <w:tblW w:w="9638" w:type="dxa"/>
        <w:tblLayout w:type="fixed"/>
        <w:tblCellMar>
          <w:left w:w="10" w:type="dxa"/>
          <w:right w:w="10" w:type="dxa"/>
        </w:tblCellMar>
        <w:tblLook w:val="0000" w:firstRow="0" w:lastRow="0" w:firstColumn="0" w:lastColumn="0" w:noHBand="0" w:noVBand="0"/>
      </w:tblPr>
      <w:tblGrid>
        <w:gridCol w:w="3228"/>
        <w:gridCol w:w="1090"/>
        <w:gridCol w:w="1089"/>
        <w:gridCol w:w="1090"/>
        <w:gridCol w:w="1089"/>
        <w:gridCol w:w="1090"/>
        <w:gridCol w:w="962"/>
      </w:tblGrid>
      <w:tr w:rsidR="00B77F00">
        <w:tblPrEx>
          <w:tblCellMar>
            <w:top w:w="0" w:type="dxa"/>
            <w:bottom w:w="0" w:type="dxa"/>
          </w:tblCellMar>
        </w:tblPrEx>
        <w:trPr>
          <w:cantSplit/>
        </w:trPr>
        <w:tc>
          <w:tcPr>
            <w:tcW w:w="3227" w:type="dxa"/>
            <w:vMerge w:val="restart"/>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Rodzaj mieszanki</w:t>
            </w:r>
          </w:p>
          <w:p w:rsidR="00B77F00" w:rsidRDefault="00865FA3">
            <w:pPr>
              <w:pStyle w:val="Tekst-spec-w-tabeli"/>
            </w:pPr>
            <w:r>
              <w:t>mineralno-asfaltowej</w:t>
            </w:r>
          </w:p>
        </w:tc>
        <w:tc>
          <w:tcPr>
            <w:tcW w:w="6410" w:type="dxa"/>
            <w:gridSpan w:val="6"/>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Liczba wyników badań</w:t>
            </w:r>
          </w:p>
        </w:tc>
      </w:tr>
      <w:tr w:rsidR="00B77F00">
        <w:tblPrEx>
          <w:tblCellMar>
            <w:top w:w="0" w:type="dxa"/>
            <w:bottom w:w="0" w:type="dxa"/>
          </w:tblCellMar>
        </w:tblPrEx>
        <w:trPr>
          <w:cantSplit/>
        </w:trPr>
        <w:tc>
          <w:tcPr>
            <w:tcW w:w="3227" w:type="dxa"/>
            <w:vMerge/>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000000" w:rsidRDefault="00865FA3"/>
        </w:tc>
        <w:tc>
          <w:tcPr>
            <w:tcW w:w="109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1</w:t>
            </w:r>
          </w:p>
        </w:tc>
        <w:tc>
          <w:tcPr>
            <w:tcW w:w="1089"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2</w:t>
            </w:r>
          </w:p>
        </w:tc>
        <w:tc>
          <w:tcPr>
            <w:tcW w:w="109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od 3</w:t>
            </w:r>
          </w:p>
          <w:p w:rsidR="00B77F00" w:rsidRDefault="00865FA3">
            <w:pPr>
              <w:pStyle w:val="Tekst-spec-w-tabeli"/>
            </w:pPr>
            <w:r>
              <w:t>do 4</w:t>
            </w:r>
          </w:p>
        </w:tc>
        <w:tc>
          <w:tcPr>
            <w:tcW w:w="1089"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od 5</w:t>
            </w:r>
          </w:p>
          <w:p w:rsidR="00B77F00" w:rsidRDefault="00865FA3">
            <w:pPr>
              <w:pStyle w:val="Tekst-spec-w-tabeli"/>
            </w:pPr>
            <w:r>
              <w:t>do 8</w:t>
            </w:r>
          </w:p>
        </w:tc>
        <w:tc>
          <w:tcPr>
            <w:tcW w:w="109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od 9</w:t>
            </w:r>
          </w:p>
          <w:p w:rsidR="00B77F00" w:rsidRDefault="00865FA3">
            <w:pPr>
              <w:pStyle w:val="Tekst-spec-w-tabeli"/>
            </w:pPr>
            <w:r>
              <w:t>do 19</w:t>
            </w:r>
          </w:p>
        </w:tc>
        <w:tc>
          <w:tcPr>
            <w:tcW w:w="96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 20</w:t>
            </w:r>
          </w:p>
        </w:tc>
      </w:tr>
      <w:tr w:rsidR="00B77F00">
        <w:tblPrEx>
          <w:tblCellMar>
            <w:top w:w="0" w:type="dxa"/>
            <w:bottom w:w="0" w:type="dxa"/>
          </w:tblCellMar>
        </w:tblPrEx>
        <w:tc>
          <w:tcPr>
            <w:tcW w:w="3227"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SMA5, SMA8</w:t>
            </w:r>
          </w:p>
        </w:tc>
        <w:tc>
          <w:tcPr>
            <w:tcW w:w="109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 8</w:t>
            </w:r>
          </w:p>
        </w:tc>
        <w:tc>
          <w:tcPr>
            <w:tcW w:w="1089"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 6,1</w:t>
            </w:r>
          </w:p>
        </w:tc>
        <w:tc>
          <w:tcPr>
            <w:tcW w:w="109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 5,0</w:t>
            </w:r>
          </w:p>
        </w:tc>
        <w:tc>
          <w:tcPr>
            <w:tcW w:w="1089"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 4,1</w:t>
            </w:r>
          </w:p>
        </w:tc>
        <w:tc>
          <w:tcPr>
            <w:tcW w:w="109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 3,3</w:t>
            </w:r>
          </w:p>
        </w:tc>
        <w:tc>
          <w:tcPr>
            <w:tcW w:w="96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 3,0</w:t>
            </w:r>
          </w:p>
        </w:tc>
      </w:tr>
    </w:tbl>
    <w:p w:rsidR="00B77F00" w:rsidRDefault="00B77F00">
      <w:pPr>
        <w:pStyle w:val="Tekst-specyfikacji"/>
      </w:pPr>
    </w:p>
    <w:p w:rsidR="00B77F00" w:rsidRDefault="00865FA3">
      <w:pPr>
        <w:pStyle w:val="Tekst-specyfikacji"/>
      </w:pPr>
      <w:r>
        <w:t>Tablica 18.</w:t>
      </w:r>
      <w:r>
        <w:tab/>
        <w:t xml:space="preserve">Dopuszczalne odchyłki dotyczące pojedynczego wyniku badania i średniej </w:t>
      </w:r>
      <w:r>
        <w:t>arytmetycznej wyników badań zawartości kruszywa grubego o wymiarze        &gt; 5,6 mm [%(m/m)] [65]</w:t>
      </w:r>
    </w:p>
    <w:tbl>
      <w:tblPr>
        <w:tblW w:w="9638" w:type="dxa"/>
        <w:tblLayout w:type="fixed"/>
        <w:tblCellMar>
          <w:left w:w="10" w:type="dxa"/>
          <w:right w:w="10" w:type="dxa"/>
        </w:tblCellMar>
        <w:tblLook w:val="0000" w:firstRow="0" w:lastRow="0" w:firstColumn="0" w:lastColumn="0" w:noHBand="0" w:noVBand="0"/>
      </w:tblPr>
      <w:tblGrid>
        <w:gridCol w:w="3228"/>
        <w:gridCol w:w="1090"/>
        <w:gridCol w:w="1089"/>
        <w:gridCol w:w="1090"/>
        <w:gridCol w:w="1089"/>
        <w:gridCol w:w="1090"/>
        <w:gridCol w:w="962"/>
      </w:tblGrid>
      <w:tr w:rsidR="00B77F00">
        <w:tblPrEx>
          <w:tblCellMar>
            <w:top w:w="0" w:type="dxa"/>
            <w:bottom w:w="0" w:type="dxa"/>
          </w:tblCellMar>
        </w:tblPrEx>
        <w:trPr>
          <w:cantSplit/>
        </w:trPr>
        <w:tc>
          <w:tcPr>
            <w:tcW w:w="3227" w:type="dxa"/>
            <w:vMerge w:val="restart"/>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Rodzaj mieszanki</w:t>
            </w:r>
          </w:p>
          <w:p w:rsidR="00B77F00" w:rsidRDefault="00865FA3">
            <w:pPr>
              <w:pStyle w:val="Tekst-spec-w-tabeli"/>
            </w:pPr>
            <w:r>
              <w:t>mineralno-asfaltowej</w:t>
            </w:r>
          </w:p>
        </w:tc>
        <w:tc>
          <w:tcPr>
            <w:tcW w:w="6410" w:type="dxa"/>
            <w:gridSpan w:val="6"/>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Liczba wyników badań</w:t>
            </w:r>
          </w:p>
        </w:tc>
      </w:tr>
      <w:tr w:rsidR="00B77F00">
        <w:tblPrEx>
          <w:tblCellMar>
            <w:top w:w="0" w:type="dxa"/>
            <w:bottom w:w="0" w:type="dxa"/>
          </w:tblCellMar>
        </w:tblPrEx>
        <w:trPr>
          <w:cantSplit/>
        </w:trPr>
        <w:tc>
          <w:tcPr>
            <w:tcW w:w="3227" w:type="dxa"/>
            <w:vMerge/>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000000" w:rsidRDefault="00865FA3"/>
        </w:tc>
        <w:tc>
          <w:tcPr>
            <w:tcW w:w="109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1</w:t>
            </w:r>
          </w:p>
        </w:tc>
        <w:tc>
          <w:tcPr>
            <w:tcW w:w="1089"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2</w:t>
            </w:r>
          </w:p>
        </w:tc>
        <w:tc>
          <w:tcPr>
            <w:tcW w:w="109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od 3</w:t>
            </w:r>
          </w:p>
          <w:p w:rsidR="00B77F00" w:rsidRDefault="00865FA3">
            <w:pPr>
              <w:pStyle w:val="Tekst-spec-w-tabeli"/>
            </w:pPr>
            <w:r>
              <w:t>do 4</w:t>
            </w:r>
          </w:p>
        </w:tc>
        <w:tc>
          <w:tcPr>
            <w:tcW w:w="1089"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od 5</w:t>
            </w:r>
          </w:p>
          <w:p w:rsidR="00B77F00" w:rsidRDefault="00865FA3">
            <w:pPr>
              <w:pStyle w:val="Tekst-spec-w-tabeli"/>
            </w:pPr>
            <w:r>
              <w:t>do 8</w:t>
            </w:r>
          </w:p>
        </w:tc>
        <w:tc>
          <w:tcPr>
            <w:tcW w:w="109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od 9</w:t>
            </w:r>
          </w:p>
          <w:p w:rsidR="00B77F00" w:rsidRDefault="00865FA3">
            <w:pPr>
              <w:pStyle w:val="Tekst-spec-w-tabeli"/>
            </w:pPr>
            <w:r>
              <w:t>do 19</w:t>
            </w:r>
          </w:p>
        </w:tc>
        <w:tc>
          <w:tcPr>
            <w:tcW w:w="96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 20</w:t>
            </w:r>
          </w:p>
        </w:tc>
      </w:tr>
      <w:tr w:rsidR="00B77F00">
        <w:tblPrEx>
          <w:tblCellMar>
            <w:top w:w="0" w:type="dxa"/>
            <w:bottom w:w="0" w:type="dxa"/>
          </w:tblCellMar>
        </w:tblPrEx>
        <w:tc>
          <w:tcPr>
            <w:tcW w:w="3227"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SMA11</w:t>
            </w:r>
          </w:p>
        </w:tc>
        <w:tc>
          <w:tcPr>
            <w:tcW w:w="109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 7</w:t>
            </w:r>
          </w:p>
        </w:tc>
        <w:tc>
          <w:tcPr>
            <w:tcW w:w="1089"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 6,1</w:t>
            </w:r>
          </w:p>
        </w:tc>
        <w:tc>
          <w:tcPr>
            <w:tcW w:w="109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 5,4</w:t>
            </w:r>
          </w:p>
        </w:tc>
        <w:tc>
          <w:tcPr>
            <w:tcW w:w="1089"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 4,9</w:t>
            </w:r>
          </w:p>
        </w:tc>
        <w:tc>
          <w:tcPr>
            <w:tcW w:w="109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 4,4</w:t>
            </w:r>
          </w:p>
        </w:tc>
        <w:tc>
          <w:tcPr>
            <w:tcW w:w="96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 4,0</w:t>
            </w:r>
          </w:p>
        </w:tc>
      </w:tr>
    </w:tbl>
    <w:p w:rsidR="00B77F00" w:rsidRDefault="00B77F00">
      <w:pPr>
        <w:pStyle w:val="Tekst-specyfikacji"/>
      </w:pPr>
    </w:p>
    <w:p w:rsidR="00B77F00" w:rsidRDefault="00B77F00">
      <w:pPr>
        <w:pStyle w:val="Tekst-specyfikacji"/>
      </w:pPr>
    </w:p>
    <w:p w:rsidR="00B77F00" w:rsidRDefault="00865FA3">
      <w:pPr>
        <w:pStyle w:val="Tekst-specyfikacji"/>
      </w:pPr>
      <w:r>
        <w:t>Tablica 19.</w:t>
      </w:r>
      <w:r>
        <w:tab/>
        <w:t>Dopuszczalne odchyłki dotyczące pojedynczego wyniku badania i średniej arytmetycznej wyników badań zawartości ziaren grubych [%(m/m)] [65]</w:t>
      </w:r>
    </w:p>
    <w:tbl>
      <w:tblPr>
        <w:tblW w:w="9638" w:type="dxa"/>
        <w:tblLayout w:type="fixed"/>
        <w:tblCellMar>
          <w:left w:w="10" w:type="dxa"/>
          <w:right w:w="10" w:type="dxa"/>
        </w:tblCellMar>
        <w:tblLook w:val="0000" w:firstRow="0" w:lastRow="0" w:firstColumn="0" w:lastColumn="0" w:noHBand="0" w:noVBand="0"/>
      </w:tblPr>
      <w:tblGrid>
        <w:gridCol w:w="3228"/>
        <w:gridCol w:w="1090"/>
        <w:gridCol w:w="1089"/>
        <w:gridCol w:w="1090"/>
        <w:gridCol w:w="1089"/>
        <w:gridCol w:w="1090"/>
        <w:gridCol w:w="962"/>
      </w:tblGrid>
      <w:tr w:rsidR="00B77F00">
        <w:tblPrEx>
          <w:tblCellMar>
            <w:top w:w="0" w:type="dxa"/>
            <w:bottom w:w="0" w:type="dxa"/>
          </w:tblCellMar>
        </w:tblPrEx>
        <w:trPr>
          <w:cantSplit/>
        </w:trPr>
        <w:tc>
          <w:tcPr>
            <w:tcW w:w="3227" w:type="dxa"/>
            <w:vMerge w:val="restart"/>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Rodzaj mieszanki</w:t>
            </w:r>
          </w:p>
          <w:p w:rsidR="00B77F00" w:rsidRDefault="00865FA3">
            <w:pPr>
              <w:pStyle w:val="Tekst-spec-w-tabeli"/>
            </w:pPr>
            <w:r>
              <w:t>mineralno-asfaltowej</w:t>
            </w:r>
          </w:p>
        </w:tc>
        <w:tc>
          <w:tcPr>
            <w:tcW w:w="6410" w:type="dxa"/>
            <w:gridSpan w:val="6"/>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Liczba wyników badań</w:t>
            </w:r>
          </w:p>
        </w:tc>
      </w:tr>
      <w:tr w:rsidR="00B77F00">
        <w:tblPrEx>
          <w:tblCellMar>
            <w:top w:w="0" w:type="dxa"/>
            <w:bottom w:w="0" w:type="dxa"/>
          </w:tblCellMar>
        </w:tblPrEx>
        <w:trPr>
          <w:cantSplit/>
        </w:trPr>
        <w:tc>
          <w:tcPr>
            <w:tcW w:w="3227" w:type="dxa"/>
            <w:vMerge/>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000000" w:rsidRDefault="00865FA3"/>
        </w:tc>
        <w:tc>
          <w:tcPr>
            <w:tcW w:w="109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1</w:t>
            </w:r>
          </w:p>
        </w:tc>
        <w:tc>
          <w:tcPr>
            <w:tcW w:w="1089"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2</w:t>
            </w:r>
          </w:p>
        </w:tc>
        <w:tc>
          <w:tcPr>
            <w:tcW w:w="109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od 3</w:t>
            </w:r>
          </w:p>
          <w:p w:rsidR="00B77F00" w:rsidRDefault="00865FA3">
            <w:pPr>
              <w:pStyle w:val="Tekst-spec-w-tabeli"/>
            </w:pPr>
            <w:r>
              <w:t>do 4</w:t>
            </w:r>
          </w:p>
        </w:tc>
        <w:tc>
          <w:tcPr>
            <w:tcW w:w="1089"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od 5</w:t>
            </w:r>
          </w:p>
          <w:p w:rsidR="00B77F00" w:rsidRDefault="00865FA3">
            <w:pPr>
              <w:pStyle w:val="Tekst-spec-w-tabeli"/>
            </w:pPr>
            <w:r>
              <w:t>do 8</w:t>
            </w:r>
          </w:p>
        </w:tc>
        <w:tc>
          <w:tcPr>
            <w:tcW w:w="109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od 9</w:t>
            </w:r>
          </w:p>
          <w:p w:rsidR="00B77F00" w:rsidRDefault="00865FA3">
            <w:pPr>
              <w:pStyle w:val="Tekst-spec-w-tabeli"/>
            </w:pPr>
            <w:r>
              <w:t>do 19</w:t>
            </w:r>
          </w:p>
        </w:tc>
        <w:tc>
          <w:tcPr>
            <w:tcW w:w="96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 20</w:t>
            </w:r>
          </w:p>
        </w:tc>
      </w:tr>
      <w:tr w:rsidR="00B77F00">
        <w:tblPrEx>
          <w:tblCellMar>
            <w:top w:w="0" w:type="dxa"/>
            <w:bottom w:w="0" w:type="dxa"/>
          </w:tblCellMar>
        </w:tblPrEx>
        <w:tc>
          <w:tcPr>
            <w:tcW w:w="3227"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 xml:space="preserve">Mieszanka </w:t>
            </w:r>
            <w:r>
              <w:t>gruboziarnista</w:t>
            </w:r>
          </w:p>
        </w:tc>
        <w:tc>
          <w:tcPr>
            <w:tcW w:w="109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-9, +5</w:t>
            </w:r>
          </w:p>
        </w:tc>
        <w:tc>
          <w:tcPr>
            <w:tcW w:w="1089"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-7,6, +5,0</w:t>
            </w:r>
          </w:p>
        </w:tc>
        <w:tc>
          <w:tcPr>
            <w:tcW w:w="109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-6,8, +5,0</w:t>
            </w:r>
          </w:p>
        </w:tc>
        <w:tc>
          <w:tcPr>
            <w:tcW w:w="1089"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-6,1, +5,0</w:t>
            </w:r>
          </w:p>
        </w:tc>
        <w:tc>
          <w:tcPr>
            <w:tcW w:w="109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-5,5 +5,0</w:t>
            </w:r>
          </w:p>
        </w:tc>
        <w:tc>
          <w:tcPr>
            <w:tcW w:w="96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 5,0</w:t>
            </w:r>
          </w:p>
        </w:tc>
      </w:tr>
      <w:tr w:rsidR="00B77F00">
        <w:tblPrEx>
          <w:tblCellMar>
            <w:top w:w="0" w:type="dxa"/>
            <w:bottom w:w="0" w:type="dxa"/>
          </w:tblCellMar>
        </w:tblPrEx>
        <w:tc>
          <w:tcPr>
            <w:tcW w:w="3227"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Mieszanka drobnoziarnista</w:t>
            </w:r>
          </w:p>
        </w:tc>
        <w:tc>
          <w:tcPr>
            <w:tcW w:w="109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-8, +5</w:t>
            </w:r>
          </w:p>
        </w:tc>
        <w:tc>
          <w:tcPr>
            <w:tcW w:w="1089"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-6,7, +4,7</w:t>
            </w:r>
          </w:p>
        </w:tc>
        <w:tc>
          <w:tcPr>
            <w:tcW w:w="109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-5,8, +4,5</w:t>
            </w:r>
          </w:p>
        </w:tc>
        <w:tc>
          <w:tcPr>
            <w:tcW w:w="1089"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-5,1, +4,3</w:t>
            </w:r>
          </w:p>
        </w:tc>
        <w:tc>
          <w:tcPr>
            <w:tcW w:w="109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-4,4, +4,1</w:t>
            </w:r>
          </w:p>
        </w:tc>
        <w:tc>
          <w:tcPr>
            <w:tcW w:w="96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 4,0</w:t>
            </w:r>
          </w:p>
        </w:tc>
      </w:tr>
    </w:tbl>
    <w:p w:rsidR="00B77F00" w:rsidRDefault="00B77F00">
      <w:pPr>
        <w:pStyle w:val="Tekst-specyfikacji"/>
      </w:pPr>
    </w:p>
    <w:p w:rsidR="00B77F00" w:rsidRDefault="00865FA3">
      <w:pPr>
        <w:pStyle w:val="Tekst-specyfikacji"/>
        <w:jc w:val="both"/>
      </w:pPr>
      <w:r>
        <w:rPr>
          <w:rStyle w:val="WW-DefaultParagraphFont"/>
          <w:rFonts w:eastAsia="Times New Roman" w:cs="Arial"/>
          <w:lang w:val="pl-PL"/>
        </w:rPr>
        <w:t>6.4.1.5. Zawartość wolnych przestrzeni</w:t>
      </w:r>
    </w:p>
    <w:p w:rsidR="00B77F00" w:rsidRDefault="00865FA3">
      <w:pPr>
        <w:pStyle w:val="Tekst-specyfikacji"/>
        <w:jc w:val="both"/>
      </w:pPr>
      <w:r>
        <w:rPr>
          <w:rStyle w:val="WW-DefaultParagraphFont"/>
          <w:rFonts w:eastAsia="Times New Roman" w:cs="Arial"/>
          <w:lang w:val="pl-PL"/>
        </w:rPr>
        <w:tab/>
        <w:t>Zawartość wolnych przestrzeni w próbce Marshalla pobranej z</w:t>
      </w:r>
      <w:r>
        <w:rPr>
          <w:rStyle w:val="WW-DefaultParagraphFont"/>
          <w:rFonts w:eastAsia="Times New Roman" w:cs="Arial"/>
          <w:lang w:val="pl-PL"/>
        </w:rPr>
        <w:t xml:space="preserve"> mieszanki mineralno-asfaltowej lub wyjątkowo powtórnie rozgrzanej próbki pobranej z nawierzchni, nie może wykroczyć poza wartości dopuszczalne podane w p. 5.2 o więcej niż 1,5% (v/v).</w:t>
      </w:r>
    </w:p>
    <w:p w:rsidR="00B77F00" w:rsidRDefault="00B77F00">
      <w:pPr>
        <w:pStyle w:val="Tekst-specyfikacji"/>
        <w:jc w:val="both"/>
      </w:pPr>
    </w:p>
    <w:p w:rsidR="00B77F00" w:rsidRDefault="00865FA3">
      <w:pPr>
        <w:pStyle w:val="Tekst-specyfikacji"/>
        <w:jc w:val="both"/>
      </w:pPr>
      <w:r>
        <w:rPr>
          <w:rStyle w:val="WW-DefaultParagraphFont"/>
          <w:rFonts w:eastAsia="Times New Roman" w:cs="Arial"/>
          <w:lang w:val="pl-PL"/>
        </w:rPr>
        <w:t>6.4.2. Warstwa asfaltowa</w:t>
      </w:r>
    </w:p>
    <w:p w:rsidR="00B77F00" w:rsidRDefault="00865FA3">
      <w:pPr>
        <w:pStyle w:val="Tekst-specyfikacji"/>
        <w:jc w:val="both"/>
      </w:pPr>
      <w:r>
        <w:rPr>
          <w:rStyle w:val="WW-DefaultParagraphFont"/>
          <w:rFonts w:eastAsia="Times New Roman" w:cs="Arial"/>
          <w:lang w:val="pl-PL"/>
        </w:rPr>
        <w:t>6.4.2.1. Grubość warstwy oraz ilość materiału</w:t>
      </w:r>
    </w:p>
    <w:p w:rsidR="00B77F00" w:rsidRDefault="00865FA3">
      <w:pPr>
        <w:pStyle w:val="Tekst-specyfikacji"/>
        <w:jc w:val="both"/>
      </w:pPr>
      <w:r>
        <w:rPr>
          <w:rStyle w:val="WW-DefaultParagraphFont"/>
          <w:rFonts w:eastAsia="Times New Roman" w:cs="Arial"/>
          <w:lang w:val="pl-PL"/>
        </w:rPr>
        <w:tab/>
        <w:t>Grubość wykonanej warstwy oznaczana według PN-EN 12697-36 [40] oraz ilość wbudowanego materiału na określoną powierzchnię (dotyczy przede wszystkim cienkich warstw) mogą odbiegać od projektu o wartości podane w tablicy 20.</w:t>
      </w:r>
    </w:p>
    <w:p w:rsidR="00B77F00" w:rsidRDefault="00865FA3">
      <w:pPr>
        <w:pStyle w:val="Tekst-specyfikacji"/>
        <w:jc w:val="both"/>
      </w:pPr>
      <w:r>
        <w:rPr>
          <w:rStyle w:val="WW-DefaultParagraphFont"/>
          <w:rFonts w:eastAsia="Times New Roman" w:cs="Arial"/>
          <w:lang w:val="pl-PL"/>
        </w:rPr>
        <w:tab/>
        <w:t>W wypadku określania ilości ma</w:t>
      </w:r>
      <w:r>
        <w:rPr>
          <w:rStyle w:val="WW-DefaultParagraphFont"/>
          <w:rFonts w:eastAsia="Times New Roman" w:cs="Arial"/>
          <w:lang w:val="pl-PL"/>
        </w:rPr>
        <w:t>teriału na powierzchnię i średniej wartości grubości warstwy z reguły należy przyjąć za podstawę cały odcinek budowy. Inżynier ma prawo sprawdzać odcinki częściowe. Odcinek częściowy powinien zawierać co najmniej jedną dzienną działkę roboczą. Do odcinka c</w:t>
      </w:r>
      <w:r>
        <w:rPr>
          <w:rStyle w:val="WW-DefaultParagraphFont"/>
          <w:rFonts w:eastAsia="Times New Roman" w:cs="Arial"/>
          <w:lang w:val="pl-PL"/>
        </w:rPr>
        <w:t>zęściowego obowiązują te same wymagania jak do odcinka budowy.</w:t>
      </w:r>
    </w:p>
    <w:p w:rsidR="00B77F00" w:rsidRDefault="00865FA3">
      <w:pPr>
        <w:pStyle w:val="Tekst-specyfikacji"/>
        <w:jc w:val="both"/>
      </w:pPr>
      <w:r>
        <w:rPr>
          <w:rStyle w:val="WW-DefaultParagraphFont"/>
          <w:rFonts w:eastAsia="Times New Roman" w:cs="Arial"/>
          <w:lang w:val="pl-PL"/>
        </w:rPr>
        <w:tab/>
        <w:t>Za grubość warstwy lub warstw przyjmuje się średnią arytmetyczną wszystkich pojedynczych oznaczeń grubości warstwy na całym odcinku budowy lub odcinku częściowym.</w:t>
      </w:r>
    </w:p>
    <w:p w:rsidR="00B77F00" w:rsidRDefault="00B77F00">
      <w:pPr>
        <w:pStyle w:val="Tekst-specyfikacji"/>
      </w:pPr>
    </w:p>
    <w:p w:rsidR="00B77F00" w:rsidRDefault="00B77F00">
      <w:pPr>
        <w:pStyle w:val="Tekst-specyfikacji"/>
      </w:pPr>
    </w:p>
    <w:p w:rsidR="00B77F00" w:rsidRDefault="00865FA3">
      <w:pPr>
        <w:pStyle w:val="Tekst-specyfikacji"/>
      </w:pPr>
      <w:r>
        <w:t>Tablica 20.</w:t>
      </w:r>
      <w:r>
        <w:tab/>
        <w:t>Dopuszczalne od</w:t>
      </w:r>
      <w:r>
        <w:t>chyłki grubości warstwy oraz ilości materiału na określonej powierzchni, [%] [65]</w:t>
      </w:r>
    </w:p>
    <w:tbl>
      <w:tblPr>
        <w:tblW w:w="9638" w:type="dxa"/>
        <w:tblLayout w:type="fixed"/>
        <w:tblCellMar>
          <w:left w:w="10" w:type="dxa"/>
          <w:right w:w="10" w:type="dxa"/>
        </w:tblCellMar>
        <w:tblLook w:val="0000" w:firstRow="0" w:lastRow="0" w:firstColumn="0" w:lastColumn="0" w:noHBand="0" w:noVBand="0"/>
      </w:tblPr>
      <w:tblGrid>
        <w:gridCol w:w="6133"/>
        <w:gridCol w:w="3505"/>
      </w:tblGrid>
      <w:tr w:rsidR="00B77F00">
        <w:tblPrEx>
          <w:tblCellMar>
            <w:top w:w="0" w:type="dxa"/>
            <w:bottom w:w="0" w:type="dxa"/>
          </w:tblCellMar>
        </w:tblPrEx>
        <w:tc>
          <w:tcPr>
            <w:tcW w:w="6133"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Warunki oceny</w:t>
            </w:r>
          </w:p>
        </w:tc>
        <w:tc>
          <w:tcPr>
            <w:tcW w:w="35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Warstwa asfaltowa SMAa)</w:t>
            </w:r>
          </w:p>
        </w:tc>
      </w:tr>
      <w:tr w:rsidR="00B77F00">
        <w:tblPrEx>
          <w:tblCellMar>
            <w:top w:w="0" w:type="dxa"/>
            <w:bottom w:w="0" w:type="dxa"/>
          </w:tblCellMar>
        </w:tblPrEx>
        <w:trPr>
          <w:trHeight w:val="1329"/>
        </w:trPr>
        <w:tc>
          <w:tcPr>
            <w:tcW w:w="6133" w:type="dxa"/>
            <w:tcBorders>
              <w:top w:val="single" w:sz="4" w:space="0" w:color="000000"/>
              <w:left w:val="single" w:sz="4" w:space="0" w:color="000000"/>
            </w:tcBorders>
            <w:tcMar>
              <w:top w:w="0" w:type="dxa"/>
              <w:left w:w="108" w:type="dxa"/>
              <w:bottom w:w="0" w:type="dxa"/>
              <w:right w:w="108" w:type="dxa"/>
            </w:tcMar>
          </w:tcPr>
          <w:p w:rsidR="00B77F00" w:rsidRDefault="00865FA3">
            <w:pPr>
              <w:pStyle w:val="Tekst-spec-w-tabeli"/>
            </w:pPr>
            <w:r>
              <w:t>A – Średnia z wielu oznaczeń grubości oraz ilości</w:t>
            </w:r>
          </w:p>
          <w:p w:rsidR="00B77F00" w:rsidRDefault="00865FA3">
            <w:pPr>
              <w:pStyle w:val="Tekst-spec-w-tabeli"/>
            </w:pPr>
            <w:r>
              <w:t>1. – duży odcinek budowy, powierzchnia większa niż 6000 m2 lub</w:t>
            </w:r>
          </w:p>
          <w:p w:rsidR="00B77F00" w:rsidRDefault="00865FA3">
            <w:pPr>
              <w:pStyle w:val="Tekst-spec-w-tabeli"/>
            </w:pPr>
            <w:r>
              <w:t xml:space="preserve">     – droga ograniczo</w:t>
            </w:r>
            <w:r>
              <w:t>na krawężnikami, powierzchnia większa niż 1000 m2 lub</w:t>
            </w:r>
          </w:p>
          <w:p w:rsidR="00B77F00" w:rsidRDefault="00865FA3">
            <w:pPr>
              <w:pStyle w:val="Tekst-spec-w-tabeli"/>
            </w:pPr>
            <w:r>
              <w:t xml:space="preserve">     –  warstwa ścieralna, ilość większa niż 50 kg/m2</w:t>
            </w:r>
          </w:p>
        </w:tc>
        <w:tc>
          <w:tcPr>
            <w:tcW w:w="3505" w:type="dxa"/>
            <w:tcBorders>
              <w:top w:val="single" w:sz="4" w:space="0" w:color="000000"/>
              <w:left w:val="single" w:sz="4" w:space="0" w:color="000000"/>
              <w:right w:val="single" w:sz="4" w:space="0" w:color="000000"/>
            </w:tcBorders>
            <w:tcMar>
              <w:top w:w="0" w:type="dxa"/>
              <w:left w:w="108" w:type="dxa"/>
              <w:bottom w:w="0" w:type="dxa"/>
              <w:right w:w="108" w:type="dxa"/>
            </w:tcMar>
            <w:vAlign w:val="center"/>
          </w:tcPr>
          <w:p w:rsidR="00B77F00" w:rsidRDefault="00865FA3">
            <w:pPr>
              <w:pStyle w:val="Tekst-spec-w-tabeli"/>
            </w:pPr>
            <w:r>
              <w:t>≤ 10</w:t>
            </w:r>
          </w:p>
        </w:tc>
      </w:tr>
      <w:tr w:rsidR="00B77F00">
        <w:tblPrEx>
          <w:tblCellMar>
            <w:top w:w="0" w:type="dxa"/>
            <w:bottom w:w="0" w:type="dxa"/>
          </w:tblCellMar>
        </w:tblPrEx>
        <w:trPr>
          <w:trHeight w:val="517"/>
        </w:trPr>
        <w:tc>
          <w:tcPr>
            <w:tcW w:w="6133" w:type="dxa"/>
            <w:tcBorders>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2.  –  mały odcinek budowy lub</w:t>
            </w:r>
          </w:p>
          <w:p w:rsidR="00B77F00" w:rsidRDefault="00865FA3">
            <w:pPr>
              <w:pStyle w:val="Tekst-spec-w-tabeli"/>
            </w:pPr>
            <w:r>
              <w:t xml:space="preserve">     –  warstwa ścieralna, ilość większa niż 50 kg/m2</w:t>
            </w:r>
          </w:p>
        </w:tc>
        <w:tc>
          <w:tcPr>
            <w:tcW w:w="3505" w:type="dxa"/>
            <w:tcBorders>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 15</w:t>
            </w:r>
          </w:p>
        </w:tc>
      </w:tr>
      <w:tr w:rsidR="00B77F00">
        <w:tblPrEx>
          <w:tblCellMar>
            <w:top w:w="0" w:type="dxa"/>
            <w:bottom w:w="0" w:type="dxa"/>
          </w:tblCellMar>
        </w:tblPrEx>
        <w:tc>
          <w:tcPr>
            <w:tcW w:w="6133"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B – Pojedyncze oznaczenie grubości</w:t>
            </w:r>
          </w:p>
        </w:tc>
        <w:tc>
          <w:tcPr>
            <w:tcW w:w="350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 25</w:t>
            </w:r>
          </w:p>
        </w:tc>
      </w:tr>
      <w:tr w:rsidR="00B77F00">
        <w:tblPrEx>
          <w:tblCellMar>
            <w:top w:w="0" w:type="dxa"/>
            <w:bottom w:w="0" w:type="dxa"/>
          </w:tblCellMar>
        </w:tblPrEx>
        <w:tc>
          <w:tcPr>
            <w:tcW w:w="963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 xml:space="preserve">a) w </w:t>
            </w:r>
            <w:r>
              <w:t xml:space="preserve">wypadku budowy dwuetapowej, tzn. gdy warstwa ścieralna jest układana z opóźnieniem, wartość z wiersza B odpowiednio </w:t>
            </w:r>
            <w:r>
              <w:lastRenderedPageBreak/>
              <w:t>obowiązuje; w pierwszym etapie budowy do górnej warstwy nawierzchni obowiązuje wartość 25%, a do łącznej grubości warstw etapu 1 ÷ 15%</w:t>
            </w:r>
          </w:p>
        </w:tc>
      </w:tr>
    </w:tbl>
    <w:p w:rsidR="00B77F00" w:rsidRDefault="00B77F00">
      <w:pPr>
        <w:pStyle w:val="Tekst-specyfikacji"/>
      </w:pPr>
    </w:p>
    <w:p w:rsidR="00B77F00" w:rsidRDefault="00865FA3">
      <w:pPr>
        <w:pStyle w:val="Tekst-specyfikacji"/>
        <w:jc w:val="both"/>
      </w:pPr>
      <w:r>
        <w:rPr>
          <w:rStyle w:val="WW-DefaultParagraphFont"/>
          <w:rFonts w:eastAsia="Times New Roman" w:cs="Arial"/>
          <w:lang w:val="pl-PL"/>
        </w:rPr>
        <w:t>6.4</w:t>
      </w:r>
      <w:r>
        <w:rPr>
          <w:rStyle w:val="WW-DefaultParagraphFont"/>
          <w:rFonts w:eastAsia="Times New Roman" w:cs="Arial"/>
          <w:lang w:val="pl-PL"/>
        </w:rPr>
        <w:t>.2.2. Wskaźnik zagęszczenia warstwy</w:t>
      </w:r>
    </w:p>
    <w:p w:rsidR="00B77F00" w:rsidRDefault="00865FA3">
      <w:pPr>
        <w:pStyle w:val="Tekst-specyfikacji"/>
        <w:jc w:val="both"/>
      </w:pPr>
      <w:r>
        <w:rPr>
          <w:rStyle w:val="WW-DefaultParagraphFont"/>
          <w:rFonts w:eastAsia="Times New Roman" w:cs="Arial"/>
          <w:lang w:val="pl-PL"/>
        </w:rPr>
        <w:tab/>
        <w:t>Zagęszczenie wykonanej warstwy, wyrażone wskaźnikiem zagęszczenia oraz zawartością wolnych przestrzeni, nie może przekroczyć wartości dopuszczalnych podanych w tablicy 13. Dotyczy to każdego pojedynczego oznaczenia dane</w:t>
      </w:r>
      <w:r>
        <w:rPr>
          <w:rStyle w:val="WW-DefaultParagraphFont"/>
          <w:rFonts w:eastAsia="Times New Roman" w:cs="Arial"/>
          <w:lang w:val="pl-PL"/>
        </w:rPr>
        <w:t>j właściwości.</w:t>
      </w:r>
    </w:p>
    <w:p w:rsidR="00B77F00" w:rsidRDefault="00865FA3">
      <w:pPr>
        <w:pStyle w:val="Tekst-specyfikacji"/>
        <w:jc w:val="both"/>
      </w:pPr>
      <w:r>
        <w:rPr>
          <w:rStyle w:val="WW-DefaultParagraphFont"/>
          <w:rFonts w:eastAsia="Times New Roman" w:cs="Arial"/>
          <w:lang w:val="pl-PL"/>
        </w:rPr>
        <w:tab/>
        <w:t>Określenie gęstości objętościowej należy wykonywać według PN-EN 12697-6 [32].</w:t>
      </w:r>
    </w:p>
    <w:p w:rsidR="00B77F00" w:rsidRDefault="00B77F00">
      <w:pPr>
        <w:pStyle w:val="Tekst-specyfikacji"/>
        <w:jc w:val="both"/>
      </w:pPr>
    </w:p>
    <w:p w:rsidR="00B77F00" w:rsidRDefault="00865FA3">
      <w:pPr>
        <w:pStyle w:val="Tekst-specyfikacji"/>
        <w:jc w:val="both"/>
      </w:pPr>
      <w:r>
        <w:rPr>
          <w:rStyle w:val="WW-DefaultParagraphFont"/>
          <w:rFonts w:eastAsia="Times New Roman" w:cs="Arial"/>
          <w:lang w:val="pl-PL"/>
        </w:rPr>
        <w:t>6.4.2.3. Zawartość wolnych przestrzeni w nawierzchni</w:t>
      </w:r>
    </w:p>
    <w:p w:rsidR="00B77F00" w:rsidRDefault="00865FA3">
      <w:pPr>
        <w:pStyle w:val="Tekst-specyfikacji"/>
        <w:jc w:val="both"/>
      </w:pPr>
      <w:r>
        <w:rPr>
          <w:rStyle w:val="WW-DefaultParagraphFont"/>
          <w:rFonts w:eastAsia="Times New Roman" w:cs="Arial"/>
          <w:lang w:val="pl-PL"/>
        </w:rPr>
        <w:tab/>
        <w:t>Zawartość wolnych przestrzeni w próbce pobranej z nawierzchni, określona w tablicy 13, powinna odpowiadać w</w:t>
      </w:r>
      <w:r>
        <w:rPr>
          <w:rStyle w:val="WW-DefaultParagraphFont"/>
          <w:rFonts w:eastAsia="Times New Roman" w:cs="Arial"/>
          <w:lang w:val="pl-PL"/>
        </w:rPr>
        <w:t>ymaganiom podanym w punkcie 6.4.1.5.</w:t>
      </w:r>
    </w:p>
    <w:p w:rsidR="00B77F00" w:rsidRDefault="00B77F00">
      <w:pPr>
        <w:pStyle w:val="Tekst-specyfikacji"/>
        <w:jc w:val="both"/>
      </w:pPr>
    </w:p>
    <w:p w:rsidR="00B77F00" w:rsidRDefault="00865FA3">
      <w:pPr>
        <w:pStyle w:val="Tekst-specyfikacji"/>
        <w:jc w:val="both"/>
      </w:pPr>
      <w:r>
        <w:rPr>
          <w:rStyle w:val="WW-DefaultParagraphFont"/>
          <w:rFonts w:eastAsia="Times New Roman" w:cs="Arial"/>
          <w:lang w:val="pl-PL"/>
        </w:rPr>
        <w:t>6.4.2.4. Spadki poprzeczne</w:t>
      </w:r>
    </w:p>
    <w:p w:rsidR="00B77F00" w:rsidRDefault="00865FA3">
      <w:pPr>
        <w:pStyle w:val="Tekst-specyfikacji"/>
        <w:jc w:val="both"/>
      </w:pPr>
      <w:r>
        <w:rPr>
          <w:rStyle w:val="WW-DefaultParagraphFont"/>
          <w:rFonts w:eastAsia="Times New Roman" w:cs="Arial"/>
          <w:lang w:val="pl-PL"/>
        </w:rPr>
        <w:tab/>
        <w:t>Spadki poprzeczne nawierzchni należy badać nie rzadziej niż co 20 m oraz w punktach głównych łuków poziomych.</w:t>
      </w:r>
    </w:p>
    <w:p w:rsidR="00B77F00" w:rsidRDefault="00865FA3">
      <w:pPr>
        <w:pStyle w:val="Tekst-specyfikacji"/>
        <w:jc w:val="both"/>
      </w:pPr>
      <w:r>
        <w:rPr>
          <w:rStyle w:val="WW-DefaultParagraphFont"/>
          <w:rFonts w:eastAsia="Times New Roman" w:cs="Arial"/>
          <w:lang w:val="pl-PL"/>
        </w:rPr>
        <w:tab/>
        <w:t xml:space="preserve">Spadki poprzeczne powinny być zgodne z dokumentacją projektową, z tolerancją ± </w:t>
      </w:r>
      <w:r>
        <w:rPr>
          <w:rStyle w:val="WW-DefaultParagraphFont"/>
          <w:rFonts w:eastAsia="Times New Roman" w:cs="Arial"/>
          <w:lang w:val="pl-PL"/>
        </w:rPr>
        <w:t>0,5%.</w:t>
      </w:r>
    </w:p>
    <w:p w:rsidR="00B77F00" w:rsidRDefault="00B77F00">
      <w:pPr>
        <w:pStyle w:val="Tekst-specyfikacji"/>
        <w:jc w:val="both"/>
      </w:pPr>
    </w:p>
    <w:p w:rsidR="00B77F00" w:rsidRDefault="00865FA3">
      <w:pPr>
        <w:pStyle w:val="Tekst-specyfikacji"/>
        <w:jc w:val="both"/>
      </w:pPr>
      <w:r>
        <w:rPr>
          <w:rStyle w:val="WW-DefaultParagraphFont"/>
          <w:rFonts w:eastAsia="Times New Roman" w:cs="Arial"/>
          <w:lang w:val="pl-PL"/>
        </w:rPr>
        <w:t>6.4.2.5. Równość podłużna i poprzeczna</w:t>
      </w:r>
    </w:p>
    <w:p w:rsidR="00B77F00" w:rsidRDefault="00865FA3">
      <w:pPr>
        <w:pStyle w:val="Tekst-specyfikacji"/>
        <w:jc w:val="both"/>
      </w:pPr>
      <w:r>
        <w:rPr>
          <w:rStyle w:val="WW-DefaultParagraphFont"/>
          <w:rFonts w:eastAsia="Times New Roman" w:cs="Arial"/>
          <w:lang w:val="pl-PL"/>
        </w:rPr>
        <w:tab/>
        <w:t>Pomiary równości podłużnej należy wykonywać w środku każdego ocenianego pasa ruchu.</w:t>
      </w:r>
    </w:p>
    <w:p w:rsidR="00B77F00" w:rsidRDefault="00865FA3">
      <w:pPr>
        <w:pStyle w:val="Tekst-specyfikacji"/>
        <w:jc w:val="both"/>
      </w:pPr>
      <w:r>
        <w:rPr>
          <w:rStyle w:val="WW-DefaultParagraphFont"/>
          <w:rFonts w:eastAsia="Times New Roman" w:cs="Arial"/>
          <w:lang w:val="pl-PL"/>
        </w:rPr>
        <w:tab/>
        <w:t>Do oceny równości podłużnej warstwy ścieralnej nawierzchni drogi klasy G i dróg wyższych klas należy stosować metodę pomiaru</w:t>
      </w:r>
      <w:r>
        <w:rPr>
          <w:rStyle w:val="WW-DefaultParagraphFont"/>
          <w:rFonts w:eastAsia="Times New Roman" w:cs="Arial"/>
          <w:lang w:val="pl-PL"/>
        </w:rPr>
        <w:t xml:space="preserve"> umożliwiającą obliczanie wskaźnika równości IRI. Wartość IRI oblicza się dla odcinków o długości 50 m. Dopuszczalne wartości wskaźnika IRI wymagane przy odbiorze nawierzchni określono w rozporządzeniu dotyczącym warunków technicznych, jakim powinny odpowi</w:t>
      </w:r>
      <w:r>
        <w:rPr>
          <w:rStyle w:val="WW-DefaultParagraphFont"/>
          <w:rFonts w:eastAsia="Times New Roman" w:cs="Arial"/>
          <w:lang w:val="pl-PL"/>
        </w:rPr>
        <w:t>adać drogi publiczne [67].</w:t>
      </w:r>
    </w:p>
    <w:p w:rsidR="00B77F00" w:rsidRDefault="00865FA3">
      <w:pPr>
        <w:pStyle w:val="Tekst-specyfikacji"/>
        <w:jc w:val="both"/>
      </w:pPr>
      <w:r>
        <w:rPr>
          <w:rStyle w:val="WW-DefaultParagraphFont"/>
          <w:rFonts w:eastAsia="Times New Roman" w:cs="Arial"/>
          <w:lang w:val="pl-PL"/>
        </w:rPr>
        <w:tab/>
        <w:t>Do oceny równości podłużnej warstwy ścieralnej nawierzchni drogi klasy Z, L i D oraz placów i parkingów należy stosować metodę z wykorzystaniem łaty 4-metrowej i klina lub metody równoważnej użyciu łaty i klina, mierząc wysokość</w:t>
      </w:r>
      <w:r>
        <w:rPr>
          <w:rStyle w:val="WW-DefaultParagraphFont"/>
          <w:rFonts w:eastAsia="Times New Roman" w:cs="Arial"/>
          <w:lang w:val="pl-PL"/>
        </w:rPr>
        <w:t xml:space="preserve"> prześwitu w połowie długości łaty. Pomiar wykonuje się nie rzadziej niż co 10 m. Wymagana równość podłużna jest określona przez wartość odchylenia równości (prześwitu), które nie mogą przekroczyć 6 mm. Przez odchylenie równości rozumie się największą odle</w:t>
      </w:r>
      <w:r>
        <w:rPr>
          <w:rStyle w:val="WW-DefaultParagraphFont"/>
          <w:rFonts w:eastAsia="Times New Roman" w:cs="Arial"/>
          <w:lang w:val="pl-PL"/>
        </w:rPr>
        <w:t>głość między łatą a mierzoną powierzchnią.</w:t>
      </w:r>
    </w:p>
    <w:p w:rsidR="00B77F00" w:rsidRDefault="00865FA3">
      <w:pPr>
        <w:pStyle w:val="Tekst-specyfikacji"/>
        <w:jc w:val="both"/>
      </w:pPr>
      <w:r>
        <w:rPr>
          <w:rStyle w:val="WW-DefaultParagraphFont"/>
          <w:rFonts w:eastAsia="Times New Roman" w:cs="Arial"/>
          <w:lang w:val="pl-PL"/>
        </w:rPr>
        <w:tab/>
        <w:t>Przed upływem okresu gwarancyjnego wartości wskaźnika równości IRI warstwy ścieralnej nawierzchni drogi klasy G i dróg wyższych klas nie powinny być większe niż podane w tablicy 21. Badanie wykonuje się według pr</w:t>
      </w:r>
      <w:r>
        <w:rPr>
          <w:rStyle w:val="WW-DefaultParagraphFont"/>
          <w:rFonts w:eastAsia="Times New Roman" w:cs="Arial"/>
          <w:lang w:val="pl-PL"/>
        </w:rPr>
        <w:t>ocedury jak podczas odbioru nawierzchni, w prawym śladzie koła.</w:t>
      </w:r>
    </w:p>
    <w:p w:rsidR="00B77F00" w:rsidRDefault="00B77F00">
      <w:pPr>
        <w:pStyle w:val="Tekst-specyfikacji"/>
      </w:pPr>
    </w:p>
    <w:p w:rsidR="00B77F00" w:rsidRDefault="00865FA3">
      <w:pPr>
        <w:pStyle w:val="Tekst-specyfikacji"/>
      </w:pPr>
      <w:r>
        <w:t>Tablica 21.</w:t>
      </w:r>
      <w:r>
        <w:tab/>
        <w:t>Dopuszczalne wartości wskaźnika równości podłużnej IRI warstwy ścieralnej wymagane przed upływem okresu gwarancyjnego [65]</w:t>
      </w:r>
    </w:p>
    <w:tbl>
      <w:tblPr>
        <w:tblW w:w="9638" w:type="dxa"/>
        <w:tblLayout w:type="fixed"/>
        <w:tblCellMar>
          <w:left w:w="10" w:type="dxa"/>
          <w:right w:w="10" w:type="dxa"/>
        </w:tblCellMar>
        <w:tblLook w:val="0000" w:firstRow="0" w:lastRow="0" w:firstColumn="0" w:lastColumn="0" w:noHBand="0" w:noVBand="0"/>
      </w:tblPr>
      <w:tblGrid>
        <w:gridCol w:w="2028"/>
        <w:gridCol w:w="4791"/>
        <w:gridCol w:w="2819"/>
      </w:tblGrid>
      <w:tr w:rsidR="00B77F00">
        <w:tblPrEx>
          <w:tblCellMar>
            <w:top w:w="0" w:type="dxa"/>
            <w:bottom w:w="0" w:type="dxa"/>
          </w:tblCellMar>
        </w:tblPrEx>
        <w:tc>
          <w:tcPr>
            <w:tcW w:w="2028"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Klasa drogi</w:t>
            </w:r>
          </w:p>
        </w:tc>
        <w:tc>
          <w:tcPr>
            <w:tcW w:w="4791"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Tekst-spec-w-tabeli"/>
            </w:pPr>
            <w:r>
              <w:t>Element nawierzchni</w:t>
            </w:r>
          </w:p>
        </w:tc>
        <w:tc>
          <w:tcPr>
            <w:tcW w:w="28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77F00" w:rsidRDefault="00865FA3">
            <w:pPr>
              <w:pStyle w:val="Tekst-spec-w-tabeli"/>
            </w:pPr>
            <w:r>
              <w:t>Wartości wskaźnika IRI [</w:t>
            </w:r>
            <w:r>
              <w:t>mm/m]</w:t>
            </w:r>
          </w:p>
        </w:tc>
      </w:tr>
      <w:tr w:rsidR="00B77F00">
        <w:tblPrEx>
          <w:tblCellMar>
            <w:top w:w="0" w:type="dxa"/>
            <w:bottom w:w="0" w:type="dxa"/>
          </w:tblCellMar>
        </w:tblPrEx>
        <w:trPr>
          <w:cantSplit/>
        </w:trPr>
        <w:tc>
          <w:tcPr>
            <w:tcW w:w="2028" w:type="dxa"/>
            <w:vMerge w:val="restart"/>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A, S</w:t>
            </w:r>
          </w:p>
          <w:p w:rsidR="00B77F00" w:rsidRDefault="00865FA3">
            <w:pPr>
              <w:pStyle w:val="Tekst-spec-w-tabeli"/>
            </w:pPr>
            <w:r>
              <w:t>GP</w:t>
            </w:r>
          </w:p>
        </w:tc>
        <w:tc>
          <w:tcPr>
            <w:tcW w:w="4791"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Pasy: ruchu, awaryjne, dodatkowe, włączania i wyłączania</w:t>
            </w:r>
          </w:p>
        </w:tc>
        <w:tc>
          <w:tcPr>
            <w:tcW w:w="28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77F00" w:rsidRDefault="00865FA3">
            <w:pPr>
              <w:pStyle w:val="Tekst-spec-w-tabeli"/>
            </w:pPr>
            <w:r>
              <w:t>≤ 2,9</w:t>
            </w:r>
          </w:p>
        </w:tc>
      </w:tr>
      <w:tr w:rsidR="00B77F00">
        <w:tblPrEx>
          <w:tblCellMar>
            <w:top w:w="0" w:type="dxa"/>
            <w:bottom w:w="0" w:type="dxa"/>
          </w:tblCellMar>
        </w:tblPrEx>
        <w:trPr>
          <w:cantSplit/>
        </w:trPr>
        <w:tc>
          <w:tcPr>
            <w:tcW w:w="2028" w:type="dxa"/>
            <w:vMerge/>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000000" w:rsidRDefault="00865FA3"/>
        </w:tc>
        <w:tc>
          <w:tcPr>
            <w:tcW w:w="4791"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Jezdnie łącznic, jezdnie MOP, utwardzone pobocza</w:t>
            </w:r>
          </w:p>
        </w:tc>
        <w:tc>
          <w:tcPr>
            <w:tcW w:w="28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77F00" w:rsidRDefault="00865FA3">
            <w:pPr>
              <w:pStyle w:val="Tekst-spec-w-tabeli"/>
            </w:pPr>
            <w:r>
              <w:t>≤ 3,7</w:t>
            </w:r>
          </w:p>
        </w:tc>
      </w:tr>
      <w:tr w:rsidR="00B77F00">
        <w:tblPrEx>
          <w:tblCellMar>
            <w:top w:w="0" w:type="dxa"/>
            <w:bottom w:w="0" w:type="dxa"/>
          </w:tblCellMar>
        </w:tblPrEx>
        <w:tc>
          <w:tcPr>
            <w:tcW w:w="2028"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G</w:t>
            </w:r>
          </w:p>
        </w:tc>
        <w:tc>
          <w:tcPr>
            <w:tcW w:w="4791"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Pasy: ruchu, dodatkowe, włączania i wyłączania, postojowe, jezdnie łącznic, utwardzone pobocza</w:t>
            </w:r>
          </w:p>
        </w:tc>
        <w:tc>
          <w:tcPr>
            <w:tcW w:w="28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77F00" w:rsidRDefault="00865FA3">
            <w:pPr>
              <w:pStyle w:val="Tekst-spec-w-tabeli"/>
            </w:pPr>
            <w:r>
              <w:t>≤ 4,6</w:t>
            </w:r>
          </w:p>
        </w:tc>
      </w:tr>
    </w:tbl>
    <w:p w:rsidR="00B77F00" w:rsidRDefault="00B77F00">
      <w:pPr>
        <w:pStyle w:val="Tekst-specyfikacji"/>
      </w:pPr>
    </w:p>
    <w:p w:rsidR="00B77F00" w:rsidRDefault="00865FA3">
      <w:pPr>
        <w:pStyle w:val="Tekst-specyfikacji"/>
        <w:jc w:val="both"/>
      </w:pPr>
      <w:r>
        <w:tab/>
      </w:r>
      <w:r>
        <w:rPr>
          <w:rStyle w:val="WW-DefaultParagraphFont"/>
          <w:rFonts w:eastAsia="Times New Roman" w:cs="Arial"/>
          <w:lang w:val="pl-PL"/>
        </w:rPr>
        <w:t xml:space="preserve">Przed upływem </w:t>
      </w:r>
      <w:r>
        <w:rPr>
          <w:rStyle w:val="WW-DefaultParagraphFont"/>
          <w:rFonts w:eastAsia="Times New Roman" w:cs="Arial"/>
          <w:lang w:val="pl-PL"/>
        </w:rPr>
        <w:t>okresu gwarancyjnego wartość odchylenia równości podłużnej warstwy ścieralnej nawierzchni dróg klasy Z i L nie powinna być większa niż 8 mm. Badanie wykonuje się według procedury jak podczas odbioru nawierzchni.</w:t>
      </w:r>
    </w:p>
    <w:p w:rsidR="00B77F00" w:rsidRDefault="00865FA3">
      <w:pPr>
        <w:pStyle w:val="Tekst-specyfikacji"/>
        <w:jc w:val="both"/>
      </w:pPr>
      <w:r>
        <w:rPr>
          <w:rStyle w:val="WW-DefaultParagraphFont"/>
          <w:rFonts w:eastAsia="Times New Roman" w:cs="Arial"/>
          <w:lang w:val="pl-PL"/>
        </w:rPr>
        <w:tab/>
        <w:t>Do oceny równości poprzecznej warstw nawier</w:t>
      </w:r>
      <w:r>
        <w:rPr>
          <w:rStyle w:val="WW-DefaultParagraphFont"/>
          <w:rFonts w:eastAsia="Times New Roman" w:cs="Arial"/>
          <w:lang w:val="pl-PL"/>
        </w:rPr>
        <w:t>zchni dróg wszystkich klas technicznych należy stosować metodę z wykorzystaniem łaty 4-metrowej i klina lub metody równoważnej użyciu łaty i klina. Pomiar należy wykonywać w kierunku prostopadłym do osi jezdni, na każdym ocenianym pasie ruchu, nie rzadziej</w:t>
      </w:r>
      <w:r>
        <w:rPr>
          <w:rStyle w:val="WW-DefaultParagraphFont"/>
          <w:rFonts w:eastAsia="Times New Roman" w:cs="Arial"/>
          <w:lang w:val="pl-PL"/>
        </w:rPr>
        <w:t xml:space="preserve"> niż co 10 m. Wymagana równość poprzeczna jest określona w rozporządzeniu dotyczącym warunków technicznych, jakim powinny odpowiadać drogi publiczne [67].</w:t>
      </w:r>
    </w:p>
    <w:p w:rsidR="00B77F00" w:rsidRDefault="00865FA3">
      <w:pPr>
        <w:pStyle w:val="Tekst-specyfikacji"/>
        <w:jc w:val="both"/>
      </w:pPr>
      <w:r>
        <w:rPr>
          <w:rStyle w:val="WW-DefaultParagraphFont"/>
          <w:rFonts w:eastAsia="Times New Roman" w:cs="Arial"/>
          <w:lang w:val="pl-PL"/>
        </w:rPr>
        <w:tab/>
        <w:t>Przed upływem okresu gwarancyjnego wartość odchylenia równości poprzecznej warstwy ścieralnej nawier</w:t>
      </w:r>
      <w:r>
        <w:rPr>
          <w:rStyle w:val="WW-DefaultParagraphFont"/>
          <w:rFonts w:eastAsia="Times New Roman" w:cs="Arial"/>
          <w:lang w:val="pl-PL"/>
        </w:rPr>
        <w:t>zchni dróg wszystkich klas technicznych nie powinna być większa niż podana w tablicy 22 Badanie wykonuje się według procedury jak podczas odbioru nawierzchni.</w:t>
      </w:r>
    </w:p>
    <w:p w:rsidR="00B77F00" w:rsidRDefault="00B77F00">
      <w:pPr>
        <w:pStyle w:val="Tekst-specyfikacji"/>
      </w:pPr>
    </w:p>
    <w:p w:rsidR="00B77F00" w:rsidRDefault="00865FA3">
      <w:pPr>
        <w:pStyle w:val="Tekst-specyfikacji"/>
      </w:pPr>
      <w:r>
        <w:t>Tablica 22.</w:t>
      </w:r>
      <w:r>
        <w:tab/>
        <w:t>Dopuszczalne wartości odchyleń równości poprzecznej warstwy ścieralnej wymagane prze</w:t>
      </w:r>
      <w:r>
        <w:t>d upływem okresu gwarancyjnego [65]</w:t>
      </w:r>
    </w:p>
    <w:tbl>
      <w:tblPr>
        <w:tblW w:w="9638" w:type="dxa"/>
        <w:tblLayout w:type="fixed"/>
        <w:tblCellMar>
          <w:left w:w="10" w:type="dxa"/>
          <w:right w:w="10" w:type="dxa"/>
        </w:tblCellMar>
        <w:tblLook w:val="0000" w:firstRow="0" w:lastRow="0" w:firstColumn="0" w:lastColumn="0" w:noHBand="0" w:noVBand="0"/>
      </w:tblPr>
      <w:tblGrid>
        <w:gridCol w:w="2028"/>
        <w:gridCol w:w="4791"/>
        <w:gridCol w:w="2819"/>
      </w:tblGrid>
      <w:tr w:rsidR="00B77F00">
        <w:tblPrEx>
          <w:tblCellMar>
            <w:top w:w="0" w:type="dxa"/>
            <w:bottom w:w="0" w:type="dxa"/>
          </w:tblCellMar>
        </w:tblPrEx>
        <w:tc>
          <w:tcPr>
            <w:tcW w:w="2028"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Klasa drogi</w:t>
            </w:r>
          </w:p>
        </w:tc>
        <w:tc>
          <w:tcPr>
            <w:tcW w:w="4791"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Element nawierzchni</w:t>
            </w:r>
          </w:p>
        </w:tc>
        <w:tc>
          <w:tcPr>
            <w:tcW w:w="28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77F00" w:rsidRDefault="00865FA3">
            <w:pPr>
              <w:pStyle w:val="Tekst-spec-w-tabeli"/>
            </w:pPr>
            <w:r>
              <w:t>Wartości odchyleń równości poprzecznej [mm]</w:t>
            </w:r>
          </w:p>
        </w:tc>
      </w:tr>
      <w:tr w:rsidR="00B77F00">
        <w:tblPrEx>
          <w:tblCellMar>
            <w:top w:w="0" w:type="dxa"/>
            <w:bottom w:w="0" w:type="dxa"/>
          </w:tblCellMar>
        </w:tblPrEx>
        <w:trPr>
          <w:cantSplit/>
        </w:trPr>
        <w:tc>
          <w:tcPr>
            <w:tcW w:w="2028" w:type="dxa"/>
            <w:vMerge w:val="restart"/>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A, S</w:t>
            </w:r>
          </w:p>
          <w:p w:rsidR="00B77F00" w:rsidRDefault="00865FA3">
            <w:pPr>
              <w:pStyle w:val="Tekst-spec-w-tabeli"/>
            </w:pPr>
            <w:r>
              <w:t>GP</w:t>
            </w:r>
          </w:p>
        </w:tc>
        <w:tc>
          <w:tcPr>
            <w:tcW w:w="4791"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Pasy: ruchu, awaryjne, dodatkowe, włączania i wyłączania</w:t>
            </w:r>
          </w:p>
        </w:tc>
        <w:tc>
          <w:tcPr>
            <w:tcW w:w="28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77F00" w:rsidRDefault="00865FA3">
            <w:pPr>
              <w:pStyle w:val="Tekst-spec-w-tabeli"/>
            </w:pPr>
            <w:r>
              <w:t>≤ 6</w:t>
            </w:r>
          </w:p>
        </w:tc>
      </w:tr>
      <w:tr w:rsidR="00B77F00">
        <w:tblPrEx>
          <w:tblCellMar>
            <w:top w:w="0" w:type="dxa"/>
            <w:bottom w:w="0" w:type="dxa"/>
          </w:tblCellMar>
        </w:tblPrEx>
        <w:trPr>
          <w:cantSplit/>
        </w:trPr>
        <w:tc>
          <w:tcPr>
            <w:tcW w:w="2028" w:type="dxa"/>
            <w:vMerge/>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000000" w:rsidRDefault="00865FA3"/>
        </w:tc>
        <w:tc>
          <w:tcPr>
            <w:tcW w:w="4791"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Jezdnie łącznic, jezdnie MOP, utwardzone pobocza</w:t>
            </w:r>
          </w:p>
        </w:tc>
        <w:tc>
          <w:tcPr>
            <w:tcW w:w="28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77F00" w:rsidRDefault="00865FA3">
            <w:pPr>
              <w:pStyle w:val="Tekst-spec-w-tabeli"/>
            </w:pPr>
            <w:r>
              <w:t>≤ 8</w:t>
            </w:r>
          </w:p>
        </w:tc>
      </w:tr>
      <w:tr w:rsidR="00B77F00">
        <w:tblPrEx>
          <w:tblCellMar>
            <w:top w:w="0" w:type="dxa"/>
            <w:bottom w:w="0" w:type="dxa"/>
          </w:tblCellMar>
        </w:tblPrEx>
        <w:tc>
          <w:tcPr>
            <w:tcW w:w="2028"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G</w:t>
            </w:r>
          </w:p>
        </w:tc>
        <w:tc>
          <w:tcPr>
            <w:tcW w:w="4791"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 xml:space="preserve">Pasy: ruchu, </w:t>
            </w:r>
            <w:r>
              <w:t xml:space="preserve">dodatkowe, włączania i wyłączania, postojowe, </w:t>
            </w:r>
            <w:r>
              <w:lastRenderedPageBreak/>
              <w:t>jezdnie łącznic, utwardzone pobocza</w:t>
            </w:r>
          </w:p>
        </w:tc>
        <w:tc>
          <w:tcPr>
            <w:tcW w:w="28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77F00" w:rsidRDefault="00865FA3">
            <w:pPr>
              <w:pStyle w:val="Tekst-spec-w-tabeli"/>
            </w:pPr>
            <w:r>
              <w:lastRenderedPageBreak/>
              <w:t>≤ 8</w:t>
            </w:r>
          </w:p>
        </w:tc>
      </w:tr>
      <w:tr w:rsidR="00B77F00">
        <w:tblPrEx>
          <w:tblCellMar>
            <w:top w:w="0" w:type="dxa"/>
            <w:bottom w:w="0" w:type="dxa"/>
          </w:tblCellMar>
        </w:tblPrEx>
        <w:tc>
          <w:tcPr>
            <w:tcW w:w="2028"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Z, L, D</w:t>
            </w:r>
          </w:p>
        </w:tc>
        <w:tc>
          <w:tcPr>
            <w:tcW w:w="4791"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Pasy ruchu</w:t>
            </w:r>
          </w:p>
        </w:tc>
        <w:tc>
          <w:tcPr>
            <w:tcW w:w="28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77F00" w:rsidRDefault="00865FA3">
            <w:pPr>
              <w:pStyle w:val="Tekst-spec-w-tabeli"/>
            </w:pPr>
            <w:r>
              <w:t>≤ 9</w:t>
            </w:r>
          </w:p>
        </w:tc>
      </w:tr>
    </w:tbl>
    <w:p w:rsidR="00B77F00" w:rsidRDefault="00B77F00">
      <w:pPr>
        <w:pStyle w:val="Tekst-specyfikacji"/>
      </w:pPr>
    </w:p>
    <w:p w:rsidR="00B77F00" w:rsidRDefault="00865FA3">
      <w:pPr>
        <w:pStyle w:val="Tekst-specyfikacji"/>
        <w:jc w:val="both"/>
      </w:pPr>
      <w:r>
        <w:rPr>
          <w:rStyle w:val="WW-DefaultParagraphFont"/>
          <w:rFonts w:eastAsia="Times New Roman" w:cs="Arial"/>
          <w:lang w:val="pl-PL"/>
        </w:rPr>
        <w:t>6.4.2.6. Właściwości przeciwpoślizgowe</w:t>
      </w:r>
    </w:p>
    <w:p w:rsidR="00B77F00" w:rsidRDefault="00865FA3">
      <w:pPr>
        <w:pStyle w:val="Tekst-specyfikacji"/>
        <w:jc w:val="both"/>
      </w:pPr>
      <w:r>
        <w:rPr>
          <w:rStyle w:val="WW-DefaultParagraphFont"/>
          <w:rFonts w:eastAsia="Times New Roman" w:cs="Arial"/>
          <w:lang w:val="pl-PL"/>
        </w:rPr>
        <w:tab/>
        <w:t xml:space="preserve">Przy ocenie właściwości przeciwpoślizgowych nawierzchni drogi klasy Z i dróg wyższych klas powinien być </w:t>
      </w:r>
      <w:r>
        <w:rPr>
          <w:rStyle w:val="WW-DefaultParagraphFont"/>
          <w:rFonts w:eastAsia="Times New Roman" w:cs="Arial"/>
          <w:lang w:val="pl-PL"/>
        </w:rPr>
        <w:t>określony współczynnik tarcia na mokrej nawierzchni przy całkowitym poślizgu opony testowej.</w:t>
      </w:r>
    </w:p>
    <w:p w:rsidR="00B77F00" w:rsidRDefault="00865FA3">
      <w:pPr>
        <w:pStyle w:val="Tekst-specyfikacji"/>
        <w:jc w:val="both"/>
      </w:pPr>
      <w:r>
        <w:rPr>
          <w:rStyle w:val="WW-DefaultParagraphFont"/>
          <w:rFonts w:eastAsia="Times New Roman" w:cs="Arial"/>
          <w:lang w:val="pl-PL"/>
        </w:rPr>
        <w:tab/>
        <w:t>Pomiar wykonuje się przy temperaturze otoczenia od 5 do 30oC, nie rzadziej niż co 50 m na nawierzchni zwilżanej wodą w ilości 0,5 l/m2, a wynik pomiaru powinien b</w:t>
      </w:r>
      <w:r>
        <w:rPr>
          <w:rStyle w:val="WW-DefaultParagraphFont"/>
          <w:rFonts w:eastAsia="Times New Roman" w:cs="Arial"/>
          <w:lang w:val="pl-PL"/>
        </w:rPr>
        <w:t>yć przeliczany na wartość przy 100% poślizgu opony testowej o rozmiarze 185/70 R14. Miarą właściwości przeciwpoślizgowych jest miarodajny współczynnik tarcia. Za miarodajny współczynnik tarcia przyjmuje się różnicę wartości średniej E(μ) i odchylenia stand</w:t>
      </w:r>
      <w:r>
        <w:rPr>
          <w:rStyle w:val="WW-DefaultParagraphFont"/>
          <w:rFonts w:eastAsia="Times New Roman" w:cs="Arial"/>
          <w:lang w:val="pl-PL"/>
        </w:rPr>
        <w:t>ardowego D: E(μ) – D. Długość odcinka podlegającego odbiorowi nie powinna być większa niż 1000 m. Liczba pomiarów na ocenianym odcinku nie powinna być mniejsza niż 10. W wypadku odbioru krótkich odcinków nawierzchni, na których nie można wykonać pomiarów z</w:t>
      </w:r>
      <w:r>
        <w:rPr>
          <w:rStyle w:val="WW-DefaultParagraphFont"/>
          <w:rFonts w:eastAsia="Times New Roman" w:cs="Arial"/>
          <w:lang w:val="pl-PL"/>
        </w:rPr>
        <w:t xml:space="preserve"> prędkością 60 lub 90 km/h (np. rondo, dojazd do skrzyżowania, niektóre łącznice), poszczególne wyniki pomiarów współczynnika tarcia nie powinny być niższe niż 0,47, przy prędkości pomiarowej 30 km/h.</w:t>
      </w:r>
    </w:p>
    <w:p w:rsidR="00B77F00" w:rsidRDefault="00865FA3">
      <w:pPr>
        <w:pStyle w:val="Tekst-specyfikacji"/>
        <w:jc w:val="both"/>
      </w:pPr>
      <w:r>
        <w:rPr>
          <w:rStyle w:val="WW-DefaultParagraphFont"/>
          <w:rFonts w:eastAsia="Times New Roman" w:cs="Arial"/>
          <w:lang w:val="pl-PL"/>
        </w:rPr>
        <w:tab/>
        <w:t>Dopuszczalne wartości miarodajnego współczynnika tarci</w:t>
      </w:r>
      <w:r>
        <w:rPr>
          <w:rStyle w:val="WW-DefaultParagraphFont"/>
          <w:rFonts w:eastAsia="Times New Roman" w:cs="Arial"/>
          <w:lang w:val="pl-PL"/>
        </w:rPr>
        <w:t>a nawierzchni wymagane w okresie od 4 do 8 tygodni po oddaniu warstwy do eksploatacji są określone w rozporządzeniu dotyczącym warunków technicznych, jakim powinny odpowiadać drogi publiczne [67].</w:t>
      </w:r>
    </w:p>
    <w:p w:rsidR="00B77F00" w:rsidRDefault="00865FA3">
      <w:pPr>
        <w:pStyle w:val="Tekst-specyfikacji"/>
        <w:jc w:val="both"/>
      </w:pPr>
      <w:r>
        <w:rPr>
          <w:rStyle w:val="WW-DefaultParagraphFont"/>
          <w:rFonts w:eastAsia="Times New Roman" w:cs="Arial"/>
          <w:lang w:val="pl-PL"/>
        </w:rPr>
        <w:tab/>
        <w:t>Jeżeli warunki atmosferyczne uniemożliwiają wykonanie pomi</w:t>
      </w:r>
      <w:r>
        <w:rPr>
          <w:rStyle w:val="WW-DefaultParagraphFont"/>
          <w:rFonts w:eastAsia="Times New Roman" w:cs="Arial"/>
          <w:lang w:val="pl-PL"/>
        </w:rPr>
        <w:t>aru w wymienionym terminie, powinien być on zrealizowany z najmniejszym możliwym opóźnieniem.</w:t>
      </w:r>
    </w:p>
    <w:p w:rsidR="00B77F00" w:rsidRDefault="00865FA3">
      <w:pPr>
        <w:pStyle w:val="Tekst-specyfikacji"/>
        <w:jc w:val="both"/>
      </w:pPr>
      <w:r>
        <w:rPr>
          <w:rStyle w:val="WW-DefaultParagraphFont"/>
          <w:rFonts w:eastAsia="Times New Roman" w:cs="Arial"/>
          <w:lang w:val="pl-PL"/>
        </w:rPr>
        <w:tab/>
        <w:t>Przed upływem okresu gwarancyjnego wartości miarodajnego współczynnika tarcia nie powinny być mniejsze niż podane w tablicy 23. W wypadku badań na krótkich odcin</w:t>
      </w:r>
      <w:r>
        <w:rPr>
          <w:rStyle w:val="WW-DefaultParagraphFont"/>
          <w:rFonts w:eastAsia="Times New Roman" w:cs="Arial"/>
          <w:lang w:val="pl-PL"/>
        </w:rPr>
        <w:t>kach nawierzchni, rondach lub na dojazdach do skrzyżowań poszczególne wyniki pomiarów współczynnika tarcia nie powinny być niższe niż 0,44, przy prędkości pomiarowej 30 km/h.</w:t>
      </w:r>
    </w:p>
    <w:p w:rsidR="00B77F00" w:rsidRDefault="00865FA3">
      <w:pPr>
        <w:pStyle w:val="Tekst-specyfikacji"/>
      </w:pPr>
      <w:r>
        <w:t>Tablica 23.</w:t>
      </w:r>
      <w:r>
        <w:tab/>
        <w:t>Dopuszczalne wartości miarodajnego współczynnika tarcia wymagane prze</w:t>
      </w:r>
      <w:r>
        <w:t>d upływem okresu gwarancyjnego [65]</w:t>
      </w:r>
    </w:p>
    <w:tbl>
      <w:tblPr>
        <w:tblW w:w="9638" w:type="dxa"/>
        <w:tblLayout w:type="fixed"/>
        <w:tblCellMar>
          <w:left w:w="10" w:type="dxa"/>
          <w:right w:w="10" w:type="dxa"/>
        </w:tblCellMar>
        <w:tblLook w:val="0000" w:firstRow="0" w:lastRow="0" w:firstColumn="0" w:lastColumn="0" w:noHBand="0" w:noVBand="0"/>
      </w:tblPr>
      <w:tblGrid>
        <w:gridCol w:w="2029"/>
        <w:gridCol w:w="4238"/>
        <w:gridCol w:w="1955"/>
        <w:gridCol w:w="1416"/>
      </w:tblGrid>
      <w:tr w:rsidR="00B77F00">
        <w:tblPrEx>
          <w:tblCellMar>
            <w:top w:w="0" w:type="dxa"/>
            <w:bottom w:w="0" w:type="dxa"/>
          </w:tblCellMar>
        </w:tblPrEx>
        <w:trPr>
          <w:cantSplit/>
        </w:trPr>
        <w:tc>
          <w:tcPr>
            <w:tcW w:w="2028" w:type="dxa"/>
            <w:vMerge w:val="restart"/>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Klasa drogi</w:t>
            </w:r>
          </w:p>
        </w:tc>
        <w:tc>
          <w:tcPr>
            <w:tcW w:w="4238" w:type="dxa"/>
            <w:vMerge w:val="restart"/>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Element nawierzchni</w:t>
            </w:r>
          </w:p>
        </w:tc>
        <w:tc>
          <w:tcPr>
            <w:tcW w:w="3371"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77F00" w:rsidRDefault="00865FA3">
            <w:pPr>
              <w:pStyle w:val="Tekst-spec-w-tabeli"/>
            </w:pPr>
            <w:r>
              <w:t>Miarodajny współczynnik tarcia przy prędkości zablokowanej opony względem nawierzchni</w:t>
            </w:r>
          </w:p>
        </w:tc>
      </w:tr>
      <w:tr w:rsidR="00B77F00">
        <w:tblPrEx>
          <w:tblCellMar>
            <w:top w:w="0" w:type="dxa"/>
            <w:bottom w:w="0" w:type="dxa"/>
          </w:tblCellMar>
        </w:tblPrEx>
        <w:trPr>
          <w:cantSplit/>
        </w:trPr>
        <w:tc>
          <w:tcPr>
            <w:tcW w:w="2028" w:type="dxa"/>
            <w:vMerge/>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000000" w:rsidRDefault="00865FA3"/>
        </w:tc>
        <w:tc>
          <w:tcPr>
            <w:tcW w:w="4238" w:type="dxa"/>
            <w:vMerge/>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000000" w:rsidRDefault="00865FA3"/>
        </w:tc>
        <w:tc>
          <w:tcPr>
            <w:tcW w:w="1955"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 xml:space="preserve"> 60 km/h</w:t>
            </w:r>
          </w:p>
        </w:tc>
        <w:tc>
          <w:tcPr>
            <w:tcW w:w="141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77F00" w:rsidRDefault="00865FA3">
            <w:pPr>
              <w:pStyle w:val="Tekst-spec-w-tabeli"/>
            </w:pPr>
            <w:r>
              <w:t>90 km/h</w:t>
            </w:r>
          </w:p>
        </w:tc>
      </w:tr>
      <w:tr w:rsidR="00B77F00">
        <w:tblPrEx>
          <w:tblCellMar>
            <w:top w:w="0" w:type="dxa"/>
            <w:bottom w:w="0" w:type="dxa"/>
          </w:tblCellMar>
        </w:tblPrEx>
        <w:trPr>
          <w:cantSplit/>
        </w:trPr>
        <w:tc>
          <w:tcPr>
            <w:tcW w:w="2028" w:type="dxa"/>
            <w:vMerge w:val="restart"/>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A, S</w:t>
            </w:r>
          </w:p>
        </w:tc>
        <w:tc>
          <w:tcPr>
            <w:tcW w:w="4238"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Pasy ruchu</w:t>
            </w:r>
          </w:p>
        </w:tc>
        <w:tc>
          <w:tcPr>
            <w:tcW w:w="1955"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 xml:space="preserve">-  </w:t>
            </w:r>
          </w:p>
        </w:tc>
        <w:tc>
          <w:tcPr>
            <w:tcW w:w="141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77F00" w:rsidRDefault="00865FA3">
            <w:pPr>
              <w:pStyle w:val="Tekst-spec-w-tabeli"/>
            </w:pPr>
            <w:r>
              <w:t>≥ 0,37</w:t>
            </w:r>
          </w:p>
        </w:tc>
      </w:tr>
      <w:tr w:rsidR="00B77F00">
        <w:tblPrEx>
          <w:tblCellMar>
            <w:top w:w="0" w:type="dxa"/>
            <w:bottom w:w="0" w:type="dxa"/>
          </w:tblCellMar>
        </w:tblPrEx>
        <w:trPr>
          <w:cantSplit/>
        </w:trPr>
        <w:tc>
          <w:tcPr>
            <w:tcW w:w="2028" w:type="dxa"/>
            <w:vMerge/>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000000" w:rsidRDefault="00865FA3"/>
        </w:tc>
        <w:tc>
          <w:tcPr>
            <w:tcW w:w="4238"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Pasy: włączania i wyłączania, jezdnie łącznic</w:t>
            </w:r>
          </w:p>
        </w:tc>
        <w:tc>
          <w:tcPr>
            <w:tcW w:w="1955"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 xml:space="preserve">≥ </w:t>
            </w:r>
            <w:r>
              <w:t>0,44</w:t>
            </w:r>
          </w:p>
        </w:tc>
        <w:tc>
          <w:tcPr>
            <w:tcW w:w="141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77F00" w:rsidRDefault="00865FA3">
            <w:pPr>
              <w:pStyle w:val="Tekst-spec-w-tabeli"/>
            </w:pPr>
            <w:r>
              <w:t>-</w:t>
            </w:r>
          </w:p>
        </w:tc>
      </w:tr>
      <w:tr w:rsidR="00B77F00">
        <w:tblPrEx>
          <w:tblCellMar>
            <w:top w:w="0" w:type="dxa"/>
            <w:bottom w:w="0" w:type="dxa"/>
          </w:tblCellMar>
        </w:tblPrEx>
        <w:tc>
          <w:tcPr>
            <w:tcW w:w="2028"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GP, G, Z</w:t>
            </w:r>
          </w:p>
        </w:tc>
        <w:tc>
          <w:tcPr>
            <w:tcW w:w="4238"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Pasy: ruchu, dodatkowe, utwardzone pobocza</w:t>
            </w:r>
          </w:p>
        </w:tc>
        <w:tc>
          <w:tcPr>
            <w:tcW w:w="1955"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Tekst-spec-w-tabeli"/>
            </w:pPr>
            <w:r>
              <w:t>≥ 0,36</w:t>
            </w:r>
          </w:p>
        </w:tc>
        <w:tc>
          <w:tcPr>
            <w:tcW w:w="141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77F00" w:rsidRDefault="00865FA3">
            <w:pPr>
              <w:pStyle w:val="Tekst-spec-w-tabeli"/>
            </w:pPr>
            <w:r>
              <w:t>-</w:t>
            </w:r>
          </w:p>
        </w:tc>
      </w:tr>
    </w:tbl>
    <w:p w:rsidR="00B77F00" w:rsidRDefault="00B77F00">
      <w:pPr>
        <w:pStyle w:val="Tekst-specyfikacji"/>
      </w:pPr>
    </w:p>
    <w:p w:rsidR="00B77F00" w:rsidRDefault="00865FA3">
      <w:pPr>
        <w:pStyle w:val="Tekst-specyfikacji"/>
        <w:jc w:val="both"/>
      </w:pPr>
      <w:r>
        <w:rPr>
          <w:rStyle w:val="WW-DefaultParagraphFont"/>
          <w:rFonts w:eastAsia="Times New Roman" w:cs="Arial"/>
          <w:lang w:val="pl-PL"/>
        </w:rPr>
        <w:t>6.4.2.7. Pozostałe właściwości warstwy asfaltowej</w:t>
      </w:r>
    </w:p>
    <w:p w:rsidR="00B77F00" w:rsidRDefault="00865FA3">
      <w:pPr>
        <w:pStyle w:val="Tekst-specyfikacji"/>
        <w:jc w:val="both"/>
      </w:pPr>
      <w:r>
        <w:rPr>
          <w:rStyle w:val="WW-DefaultParagraphFont"/>
          <w:rFonts w:eastAsia="Times New Roman" w:cs="Arial"/>
          <w:lang w:val="pl-PL"/>
        </w:rPr>
        <w:tab/>
        <w:t>Szerokość warstwy, mierzona 10 razy na 1 km każdej jezdni, nie może się różnić od szerokości projektowanej o więcej niż ± 5 cm.</w:t>
      </w:r>
    </w:p>
    <w:p w:rsidR="00B77F00" w:rsidRDefault="00865FA3">
      <w:pPr>
        <w:pStyle w:val="Tekst-specyfikacji"/>
        <w:jc w:val="both"/>
      </w:pPr>
      <w:r>
        <w:rPr>
          <w:rStyle w:val="WW-DefaultParagraphFont"/>
          <w:rFonts w:eastAsia="Times New Roman" w:cs="Arial"/>
          <w:lang w:val="pl-PL"/>
        </w:rPr>
        <w:tab/>
      </w:r>
      <w:r>
        <w:rPr>
          <w:rStyle w:val="WW-DefaultParagraphFont"/>
          <w:rFonts w:eastAsia="Times New Roman" w:cs="Arial"/>
          <w:lang w:val="pl-PL"/>
        </w:rPr>
        <w:t>Rzędne wysokościowe, mierzone co 10 m na prostych i co 10 m na osi podłużnej i krawędziach, powinny być zgodne z dokumentacją projektową z dopuszczalną tolerancją      ± 1 cm, przy czym co najmniej 95% wykonanych pomiarów nie może przekraczać przedziału do</w:t>
      </w:r>
      <w:r>
        <w:rPr>
          <w:rStyle w:val="WW-DefaultParagraphFont"/>
          <w:rFonts w:eastAsia="Times New Roman" w:cs="Arial"/>
          <w:lang w:val="pl-PL"/>
        </w:rPr>
        <w:t>puszczalnych odchyleń.</w:t>
      </w:r>
    </w:p>
    <w:p w:rsidR="00B77F00" w:rsidRDefault="00865FA3">
      <w:pPr>
        <w:pStyle w:val="Tekst-specyfikacji"/>
        <w:jc w:val="both"/>
      </w:pPr>
      <w:r>
        <w:rPr>
          <w:rStyle w:val="WW-DefaultParagraphFont"/>
          <w:rFonts w:eastAsia="Times New Roman" w:cs="Arial"/>
          <w:lang w:val="pl-PL"/>
        </w:rPr>
        <w:tab/>
        <w:t>Ukształtowanie osi w planie, mierzone co 100 m, nie powinno różnić się od dokumentacji projektowej o ± 5 cm.</w:t>
      </w:r>
    </w:p>
    <w:p w:rsidR="00B77F00" w:rsidRDefault="00865FA3">
      <w:pPr>
        <w:pStyle w:val="Tekst-specyfikacji"/>
        <w:jc w:val="both"/>
      </w:pPr>
      <w:r>
        <w:rPr>
          <w:rStyle w:val="WW-DefaultParagraphFont"/>
          <w:rFonts w:eastAsia="Times New Roman" w:cs="Arial"/>
          <w:lang w:val="pl-PL"/>
        </w:rPr>
        <w:tab/>
        <w:t>Złącza podłużne i poprzeczne, sprawdzone wizualnie, powinny być równe i związane, wykonane w linii prostej, równolegle lub</w:t>
      </w:r>
      <w:r>
        <w:rPr>
          <w:rStyle w:val="WW-DefaultParagraphFont"/>
          <w:rFonts w:eastAsia="Times New Roman" w:cs="Arial"/>
          <w:lang w:val="pl-PL"/>
        </w:rPr>
        <w:t xml:space="preserve"> prostopadle do osi drogi. Przylegające warstwy powinny być w jednym poziomie.</w:t>
      </w:r>
    </w:p>
    <w:p w:rsidR="00B77F00" w:rsidRDefault="00865FA3">
      <w:pPr>
        <w:pStyle w:val="Tekst-specyfikacji"/>
        <w:jc w:val="both"/>
      </w:pPr>
      <w:r>
        <w:rPr>
          <w:rStyle w:val="WW-DefaultParagraphFont"/>
          <w:rFonts w:eastAsia="Times New Roman" w:cs="Arial"/>
          <w:lang w:val="pl-PL"/>
        </w:rPr>
        <w:tab/>
        <w:t>Wygląd zewnętrzny warstwy, sprawdzony wizualnie, powinien być jednorodny, bez spękań, deformacji, plam i wykruszeń.</w:t>
      </w:r>
    </w:p>
    <w:p w:rsidR="00B77F00" w:rsidRDefault="00865FA3">
      <w:pPr>
        <w:pStyle w:val="Spec-num1"/>
        <w:jc w:val="both"/>
        <w:rPr>
          <w:b w:val="0"/>
          <w:sz w:val="20"/>
          <w:szCs w:val="20"/>
        </w:rPr>
      </w:pPr>
      <w:r>
        <w:rPr>
          <w:rStyle w:val="WW-DefaultParagraphFont"/>
          <w:rFonts w:eastAsia="Times New Roman" w:cs="Arial"/>
          <w:bCs/>
          <w:lang w:val="pl-PL"/>
        </w:rPr>
        <w:t>7. OBMIAR ROBÓT</w:t>
      </w:r>
    </w:p>
    <w:p w:rsidR="00B77F00" w:rsidRDefault="00865FA3">
      <w:pPr>
        <w:pStyle w:val="Spec-num2"/>
        <w:jc w:val="both"/>
      </w:pPr>
      <w:r>
        <w:rPr>
          <w:rStyle w:val="WW-DefaultParagraphFont"/>
          <w:rFonts w:eastAsia="Times New Roman" w:cs="Arial"/>
          <w:lang w:val="pl-PL"/>
        </w:rPr>
        <w:t>7.1. Ogólne zasady obmiaru robót</w:t>
      </w:r>
    </w:p>
    <w:p w:rsidR="00B77F00" w:rsidRDefault="00865FA3">
      <w:pPr>
        <w:pStyle w:val="Tekst-specyfikacji"/>
        <w:jc w:val="both"/>
      </w:pPr>
      <w:r>
        <w:rPr>
          <w:rStyle w:val="WW-DefaultParagraphFont"/>
          <w:rFonts w:eastAsia="Times New Roman" w:cs="Arial"/>
          <w:lang w:val="pl-PL"/>
        </w:rPr>
        <w:tab/>
        <w:t xml:space="preserve">Ogólne </w:t>
      </w:r>
      <w:r>
        <w:rPr>
          <w:rStyle w:val="WW-DefaultParagraphFont"/>
          <w:rFonts w:eastAsia="Times New Roman" w:cs="Arial"/>
          <w:lang w:val="pl-PL"/>
        </w:rPr>
        <w:t>zasady obmiaru robót podano w ST  DMU 00.00.00 „Wymagania ogólne” [1] pkt 7.</w:t>
      </w:r>
    </w:p>
    <w:p w:rsidR="00B77F00" w:rsidRDefault="00865FA3">
      <w:pPr>
        <w:pStyle w:val="Spec-num2"/>
        <w:jc w:val="both"/>
      </w:pPr>
      <w:r>
        <w:rPr>
          <w:rStyle w:val="WW-DefaultParagraphFont"/>
          <w:rFonts w:eastAsia="Times New Roman" w:cs="Arial"/>
          <w:lang w:val="pl-PL"/>
        </w:rPr>
        <w:t>7.2. Jednostka obmiarowa</w:t>
      </w:r>
    </w:p>
    <w:p w:rsidR="00B77F00" w:rsidRDefault="00865FA3">
      <w:pPr>
        <w:pStyle w:val="Tekst-specyfikacji"/>
        <w:jc w:val="both"/>
      </w:pPr>
      <w:r>
        <w:rPr>
          <w:rStyle w:val="WW-DefaultParagraphFont"/>
          <w:rFonts w:eastAsia="Times New Roman" w:cs="Arial"/>
          <w:lang w:val="pl-PL"/>
        </w:rPr>
        <w:tab/>
        <w:t>Jednostką obmiarową jest m2 (metr kwadratowy) wykonanej warstwy ścieralnej z mieszanki SMA.</w:t>
      </w:r>
    </w:p>
    <w:p w:rsidR="00B77F00" w:rsidRDefault="00865FA3">
      <w:pPr>
        <w:pStyle w:val="Spec-num1"/>
        <w:jc w:val="both"/>
        <w:rPr>
          <w:b w:val="0"/>
          <w:sz w:val="20"/>
          <w:szCs w:val="20"/>
        </w:rPr>
      </w:pPr>
      <w:r>
        <w:rPr>
          <w:rStyle w:val="WW-DefaultParagraphFont"/>
          <w:rFonts w:eastAsia="Times New Roman" w:cs="Arial"/>
          <w:bCs/>
          <w:lang w:val="pl-PL"/>
        </w:rPr>
        <w:t>8. ODBIÓR ROBÓT</w:t>
      </w:r>
    </w:p>
    <w:p w:rsidR="00B77F00" w:rsidRDefault="00865FA3">
      <w:pPr>
        <w:pStyle w:val="Tekst-specyfikacji"/>
        <w:jc w:val="both"/>
      </w:pPr>
      <w:r>
        <w:rPr>
          <w:rStyle w:val="WW-DefaultParagraphFont"/>
          <w:rFonts w:eastAsia="Times New Roman" w:cs="Arial"/>
          <w:lang w:val="pl-PL"/>
        </w:rPr>
        <w:tab/>
        <w:t>Ogólne zasady odbioru robót podano w ST  DMU</w:t>
      </w:r>
      <w:r>
        <w:rPr>
          <w:rStyle w:val="WW-DefaultParagraphFont"/>
          <w:rFonts w:eastAsia="Times New Roman" w:cs="Arial"/>
          <w:lang w:val="pl-PL"/>
        </w:rPr>
        <w:t xml:space="preserve"> 00.00.00 „Wymagania ogólne” [1] pkt 8.</w:t>
      </w:r>
    </w:p>
    <w:p w:rsidR="00B77F00" w:rsidRDefault="00865FA3">
      <w:pPr>
        <w:pStyle w:val="Tekst-specyfikacji"/>
        <w:jc w:val="both"/>
      </w:pPr>
      <w:r>
        <w:rPr>
          <w:rStyle w:val="WW-DefaultParagraphFont"/>
          <w:rFonts w:eastAsia="Times New Roman" w:cs="Arial"/>
          <w:lang w:val="pl-PL"/>
        </w:rPr>
        <w:tab/>
        <w:t>Roboty uznaje się za wykonane zgodnie z dokumentacją projektową, ST i wymaganiami Inżyniera, jeżeli wszystkie pomiary i badania z zachowaniem tolerancji według pktu 6 dały wyniki pozytywne.</w:t>
      </w:r>
    </w:p>
    <w:p w:rsidR="00B77F00" w:rsidRDefault="00865FA3">
      <w:pPr>
        <w:pStyle w:val="Tekst-specyfikacji"/>
        <w:jc w:val="both"/>
      </w:pPr>
      <w:r>
        <w:rPr>
          <w:rStyle w:val="WW-DefaultParagraphFont"/>
          <w:rFonts w:eastAsia="Times New Roman" w:cs="Arial"/>
          <w:lang w:val="pl-PL"/>
        </w:rPr>
        <w:tab/>
        <w:t xml:space="preserve">Jeśli warunki umowy </w:t>
      </w:r>
      <w:r>
        <w:rPr>
          <w:rStyle w:val="WW-DefaultParagraphFont"/>
          <w:rFonts w:eastAsia="Times New Roman" w:cs="Arial"/>
          <w:lang w:val="pl-PL"/>
        </w:rPr>
        <w:t>przewidują dokonywanie potrąceń, to Zamawiający może w razie niedotrzymania wartości dopuszczalnych dokonać potrąceń według zasad określonych w WT-2 [65].</w:t>
      </w:r>
    </w:p>
    <w:p w:rsidR="00B77F00" w:rsidRDefault="00865FA3">
      <w:pPr>
        <w:pStyle w:val="Spec-num1"/>
        <w:jc w:val="both"/>
        <w:rPr>
          <w:b w:val="0"/>
          <w:sz w:val="20"/>
          <w:szCs w:val="20"/>
        </w:rPr>
      </w:pPr>
      <w:r>
        <w:rPr>
          <w:rStyle w:val="WW-DefaultParagraphFont"/>
          <w:rFonts w:eastAsia="Times New Roman" w:cs="Arial"/>
          <w:bCs/>
          <w:lang w:val="pl-PL"/>
        </w:rPr>
        <w:lastRenderedPageBreak/>
        <w:t>9. PODSTAWA PŁATNOŚCI</w:t>
      </w:r>
    </w:p>
    <w:p w:rsidR="00B77F00" w:rsidRDefault="00865FA3">
      <w:pPr>
        <w:pStyle w:val="Spec-num2"/>
        <w:jc w:val="both"/>
      </w:pPr>
      <w:r>
        <w:rPr>
          <w:rStyle w:val="WW-DefaultParagraphFont"/>
          <w:rFonts w:eastAsia="Times New Roman" w:cs="Arial"/>
          <w:lang w:val="pl-PL"/>
        </w:rPr>
        <w:t>9.1. Ogólne ustalenia dotyczące podstawy płatności</w:t>
      </w:r>
    </w:p>
    <w:p w:rsidR="00B77F00" w:rsidRDefault="00865FA3">
      <w:pPr>
        <w:pStyle w:val="Tekst-specyfikacji"/>
        <w:jc w:val="both"/>
      </w:pPr>
      <w:r>
        <w:rPr>
          <w:rStyle w:val="WW-DefaultParagraphFont"/>
          <w:rFonts w:eastAsia="Times New Roman" w:cs="Arial"/>
          <w:lang w:val="pl-PL"/>
        </w:rPr>
        <w:tab/>
        <w:t xml:space="preserve">Ogólne ustalenia dotyczące </w:t>
      </w:r>
      <w:r>
        <w:rPr>
          <w:rStyle w:val="WW-DefaultParagraphFont"/>
          <w:rFonts w:eastAsia="Times New Roman" w:cs="Arial"/>
          <w:lang w:val="pl-PL"/>
        </w:rPr>
        <w:t>podstawy płatności podano w ST DMU 00.00.00 „Wymagania ogólne” [1] pkt 9.</w:t>
      </w:r>
    </w:p>
    <w:p w:rsidR="00B77F00" w:rsidRDefault="00865FA3">
      <w:pPr>
        <w:pStyle w:val="Spec-num2"/>
        <w:jc w:val="both"/>
      </w:pPr>
      <w:r>
        <w:rPr>
          <w:rStyle w:val="WW-DefaultParagraphFont"/>
          <w:rFonts w:eastAsia="Times New Roman" w:cs="Arial"/>
          <w:lang w:val="pl-PL"/>
        </w:rPr>
        <w:t>9.2. Cena jednostki obmiarowej</w:t>
      </w:r>
    </w:p>
    <w:p w:rsidR="00B77F00" w:rsidRDefault="00865FA3">
      <w:pPr>
        <w:pStyle w:val="Tekst-specyfikacji"/>
        <w:jc w:val="both"/>
      </w:pPr>
      <w:r>
        <w:rPr>
          <w:rStyle w:val="WW-DefaultParagraphFont"/>
          <w:rFonts w:eastAsia="Times New Roman" w:cs="Arial"/>
          <w:lang w:val="pl-PL"/>
        </w:rPr>
        <w:tab/>
      </w:r>
    </w:p>
    <w:p w:rsidR="00B77F00" w:rsidRDefault="00865FA3">
      <w:pPr>
        <w:pStyle w:val="Tekst-specyfikacji"/>
        <w:jc w:val="both"/>
      </w:pPr>
      <w:r>
        <w:rPr>
          <w:rStyle w:val="WW-DefaultParagraphFont"/>
          <w:rFonts w:eastAsia="Times New Roman" w:cs="Arial"/>
          <w:lang w:val="pl-PL"/>
        </w:rPr>
        <w:t>Cena wykonania 1 m2 warstwy ścieralnej z mieszanki SMA obejmuje:</w:t>
      </w:r>
    </w:p>
    <w:p w:rsidR="00B77F00" w:rsidRDefault="00865FA3">
      <w:pPr>
        <w:pStyle w:val="Tekst-specyfikacji"/>
        <w:numPr>
          <w:ilvl w:val="0"/>
          <w:numId w:val="80"/>
        </w:numPr>
        <w:jc w:val="both"/>
      </w:pPr>
      <w:r>
        <w:rPr>
          <w:rStyle w:val="WW-DefaultParagraphFont"/>
          <w:rFonts w:eastAsia="Times New Roman" w:cs="Arial"/>
          <w:lang w:val="pl-PL"/>
        </w:rPr>
        <w:t>prace pomiarowe i roboty przygotowawcze,</w:t>
      </w:r>
    </w:p>
    <w:p w:rsidR="00B77F00" w:rsidRDefault="00865FA3">
      <w:pPr>
        <w:pStyle w:val="Tekst-specyfikacji"/>
        <w:numPr>
          <w:ilvl w:val="0"/>
          <w:numId w:val="80"/>
        </w:numPr>
        <w:jc w:val="both"/>
      </w:pPr>
      <w:r>
        <w:rPr>
          <w:rStyle w:val="WW-DefaultParagraphFont"/>
          <w:rFonts w:eastAsia="Times New Roman" w:cs="Arial"/>
          <w:lang w:val="pl-PL"/>
        </w:rPr>
        <w:t>oznakowanie robót,</w:t>
      </w:r>
    </w:p>
    <w:p w:rsidR="00B77F00" w:rsidRDefault="00865FA3">
      <w:pPr>
        <w:pStyle w:val="Tekst-specyfikacji"/>
        <w:numPr>
          <w:ilvl w:val="0"/>
          <w:numId w:val="80"/>
        </w:numPr>
        <w:jc w:val="both"/>
      </w:pPr>
      <w:r>
        <w:rPr>
          <w:rStyle w:val="WW-DefaultParagraphFont"/>
          <w:rFonts w:eastAsia="Times New Roman" w:cs="Arial"/>
          <w:lang w:val="pl-PL"/>
        </w:rPr>
        <w:t>oczyszczenie i skropieni</w:t>
      </w:r>
      <w:r>
        <w:rPr>
          <w:rStyle w:val="WW-DefaultParagraphFont"/>
          <w:rFonts w:eastAsia="Times New Roman" w:cs="Arial"/>
          <w:lang w:val="pl-PL"/>
        </w:rPr>
        <w:t>e podłoża,</w:t>
      </w:r>
    </w:p>
    <w:p w:rsidR="00B77F00" w:rsidRDefault="00865FA3">
      <w:pPr>
        <w:pStyle w:val="Tekst-specyfikacji"/>
        <w:numPr>
          <w:ilvl w:val="0"/>
          <w:numId w:val="80"/>
        </w:numPr>
        <w:jc w:val="both"/>
      </w:pPr>
      <w:r>
        <w:rPr>
          <w:rStyle w:val="WW-DefaultParagraphFont"/>
          <w:rFonts w:eastAsia="Times New Roman" w:cs="Arial"/>
          <w:lang w:val="pl-PL"/>
        </w:rPr>
        <w:t>dostarczenie materiałów i sprzętu,</w:t>
      </w:r>
    </w:p>
    <w:p w:rsidR="00B77F00" w:rsidRDefault="00865FA3">
      <w:pPr>
        <w:pStyle w:val="Tekst-specyfikacji"/>
        <w:numPr>
          <w:ilvl w:val="0"/>
          <w:numId w:val="80"/>
        </w:numPr>
        <w:jc w:val="both"/>
      </w:pPr>
      <w:r>
        <w:rPr>
          <w:rStyle w:val="WW-DefaultParagraphFont"/>
          <w:rFonts w:eastAsia="Times New Roman" w:cs="Arial"/>
          <w:lang w:val="pl-PL"/>
        </w:rPr>
        <w:t>opracowanie recepty laboratoryjnej,</w:t>
      </w:r>
    </w:p>
    <w:p w:rsidR="00B77F00" w:rsidRDefault="00865FA3">
      <w:pPr>
        <w:pStyle w:val="Tekst-specyfikacji"/>
        <w:numPr>
          <w:ilvl w:val="0"/>
          <w:numId w:val="80"/>
        </w:numPr>
        <w:jc w:val="both"/>
      </w:pPr>
      <w:r>
        <w:rPr>
          <w:rStyle w:val="WW-DefaultParagraphFont"/>
          <w:rFonts w:eastAsia="Times New Roman" w:cs="Arial"/>
          <w:lang w:val="pl-PL"/>
        </w:rPr>
        <w:t>wykonanie próby technologicznej i odcinka próbnego,</w:t>
      </w:r>
    </w:p>
    <w:p w:rsidR="00B77F00" w:rsidRDefault="00865FA3">
      <w:pPr>
        <w:pStyle w:val="Tekst-specyfikacji"/>
        <w:numPr>
          <w:ilvl w:val="0"/>
          <w:numId w:val="80"/>
        </w:numPr>
        <w:jc w:val="both"/>
      </w:pPr>
      <w:r>
        <w:rPr>
          <w:rStyle w:val="WW-DefaultParagraphFont"/>
          <w:rFonts w:eastAsia="Times New Roman" w:cs="Arial"/>
          <w:lang w:val="pl-PL"/>
        </w:rPr>
        <w:t>wyprodukowanie mieszanki SMA i jej transport na miejsce wbudowania,</w:t>
      </w:r>
    </w:p>
    <w:p w:rsidR="00B77F00" w:rsidRDefault="00865FA3">
      <w:pPr>
        <w:pStyle w:val="Tekst-specyfikacji"/>
        <w:numPr>
          <w:ilvl w:val="0"/>
          <w:numId w:val="80"/>
        </w:numPr>
        <w:jc w:val="both"/>
      </w:pPr>
      <w:r>
        <w:rPr>
          <w:rStyle w:val="WW-DefaultParagraphFont"/>
          <w:rFonts w:eastAsia="Times New Roman" w:cs="Arial"/>
          <w:lang w:val="pl-PL"/>
        </w:rPr>
        <w:t>posmarowanie lepiszczem lub pokrycie taśmą asfaltową k</w:t>
      </w:r>
      <w:r>
        <w:rPr>
          <w:rStyle w:val="WW-DefaultParagraphFont"/>
          <w:rFonts w:eastAsia="Times New Roman" w:cs="Arial"/>
          <w:lang w:val="pl-PL"/>
        </w:rPr>
        <w:t>rawędzi urządzeń obcych i krawężników,</w:t>
      </w:r>
    </w:p>
    <w:p w:rsidR="00B77F00" w:rsidRDefault="00865FA3">
      <w:pPr>
        <w:pStyle w:val="Tekst-specyfikacji"/>
        <w:numPr>
          <w:ilvl w:val="0"/>
          <w:numId w:val="80"/>
        </w:numPr>
        <w:jc w:val="both"/>
      </w:pPr>
      <w:r>
        <w:rPr>
          <w:rStyle w:val="WW-DefaultParagraphFont"/>
          <w:rFonts w:eastAsia="Times New Roman" w:cs="Arial"/>
          <w:lang w:val="pl-PL"/>
        </w:rPr>
        <w:t>rozłożenie i zagęszczenie mieszanki SMA,</w:t>
      </w:r>
    </w:p>
    <w:p w:rsidR="00B77F00" w:rsidRDefault="00865FA3">
      <w:pPr>
        <w:pStyle w:val="Tekst-specyfikacji"/>
        <w:numPr>
          <w:ilvl w:val="0"/>
          <w:numId w:val="80"/>
        </w:numPr>
        <w:jc w:val="both"/>
      </w:pPr>
      <w:r>
        <w:rPr>
          <w:rStyle w:val="WW-DefaultParagraphFont"/>
          <w:rFonts w:eastAsia="Times New Roman" w:cs="Arial"/>
          <w:lang w:val="pl-PL"/>
        </w:rPr>
        <w:t>obcięcie krawędzi i posmarowanie lepiszczem,</w:t>
      </w:r>
    </w:p>
    <w:p w:rsidR="00B77F00" w:rsidRDefault="00865FA3">
      <w:pPr>
        <w:pStyle w:val="Tekst-specyfikacji"/>
        <w:numPr>
          <w:ilvl w:val="0"/>
          <w:numId w:val="80"/>
        </w:numPr>
        <w:jc w:val="both"/>
      </w:pPr>
      <w:r>
        <w:rPr>
          <w:rStyle w:val="WW-DefaultParagraphFont"/>
          <w:rFonts w:eastAsia="Times New Roman" w:cs="Arial"/>
          <w:lang w:val="pl-PL"/>
        </w:rPr>
        <w:t>przeprowadzenie pomiarów i badań  wymaganych w specyfikacji technicznej,</w:t>
      </w:r>
    </w:p>
    <w:p w:rsidR="00B77F00" w:rsidRDefault="00865FA3">
      <w:pPr>
        <w:pStyle w:val="Tekst-specyfikacji"/>
        <w:numPr>
          <w:ilvl w:val="0"/>
          <w:numId w:val="80"/>
        </w:numPr>
        <w:jc w:val="both"/>
      </w:pPr>
      <w:r>
        <w:rPr>
          <w:rStyle w:val="WW-DefaultParagraphFont"/>
          <w:rFonts w:eastAsia="Times New Roman" w:cs="Arial"/>
          <w:lang w:val="pl-PL"/>
        </w:rPr>
        <w:t>odwiezienie sprzętu,</w:t>
      </w:r>
    </w:p>
    <w:p w:rsidR="00B77F00" w:rsidRDefault="00865FA3">
      <w:pPr>
        <w:pStyle w:val="Tekst-specyfikacji"/>
        <w:numPr>
          <w:ilvl w:val="0"/>
          <w:numId w:val="80"/>
        </w:numPr>
        <w:jc w:val="both"/>
      </w:pPr>
      <w:r>
        <w:rPr>
          <w:rStyle w:val="WW-DefaultParagraphFont"/>
          <w:rFonts w:eastAsia="Times New Roman" w:cs="Arial"/>
          <w:lang w:val="pl-PL"/>
        </w:rPr>
        <w:t>inne roboty składające się na komplet</w:t>
      </w:r>
      <w:r>
        <w:rPr>
          <w:rStyle w:val="WW-DefaultParagraphFont"/>
          <w:rFonts w:eastAsia="Times New Roman" w:cs="Arial"/>
          <w:lang w:val="pl-PL"/>
        </w:rPr>
        <w:t>ne wykonanie zakresu robót przewidzianego w Specyfikacji Technicznej.</w:t>
      </w:r>
    </w:p>
    <w:p w:rsidR="00B77F00" w:rsidRDefault="00865FA3">
      <w:pPr>
        <w:pStyle w:val="Spec-num2"/>
        <w:jc w:val="both"/>
      </w:pPr>
      <w:r>
        <w:rPr>
          <w:rStyle w:val="WW-DefaultParagraphFont"/>
          <w:rFonts w:eastAsia="Times New Roman" w:cs="Arial"/>
          <w:lang w:val="pl-PL"/>
        </w:rPr>
        <w:t>9.3. Sposób rozliczenia robót tymczasowych i prac towarzyszących</w:t>
      </w:r>
    </w:p>
    <w:p w:rsidR="00B77F00" w:rsidRDefault="00865FA3">
      <w:pPr>
        <w:pStyle w:val="Tekst-specyfikacji"/>
        <w:jc w:val="both"/>
      </w:pPr>
      <w:r>
        <w:rPr>
          <w:rStyle w:val="WW-DefaultParagraphFont"/>
          <w:rFonts w:eastAsia="Times New Roman" w:cs="Arial"/>
          <w:lang w:val="pl-PL"/>
        </w:rPr>
        <w:tab/>
        <w:t>Cena wykonania robót określonych niniejszą ST obejmuje:</w:t>
      </w:r>
    </w:p>
    <w:p w:rsidR="00B77F00" w:rsidRDefault="00865FA3">
      <w:pPr>
        <w:pStyle w:val="Tekst-specyfikacji"/>
        <w:numPr>
          <w:ilvl w:val="0"/>
          <w:numId w:val="103"/>
        </w:numPr>
        <w:jc w:val="both"/>
      </w:pPr>
      <w:r>
        <w:rPr>
          <w:rStyle w:val="WW-DefaultParagraphFont"/>
          <w:rFonts w:eastAsia="Times New Roman" w:cs="Arial"/>
          <w:lang w:val="pl-PL"/>
        </w:rPr>
        <w:t>roboty tymczasowe, które są potrzebne do wykonania robót podstaw</w:t>
      </w:r>
      <w:r>
        <w:rPr>
          <w:rStyle w:val="WW-DefaultParagraphFont"/>
          <w:rFonts w:eastAsia="Times New Roman" w:cs="Arial"/>
          <w:lang w:val="pl-PL"/>
        </w:rPr>
        <w:t>owych, ale nie są przekazywane Zamawiającemu i są usuwane po wykonaniu robót podstawowych,</w:t>
      </w:r>
    </w:p>
    <w:p w:rsidR="00B77F00" w:rsidRDefault="00865FA3">
      <w:pPr>
        <w:pStyle w:val="Tekst-specyfikacji"/>
        <w:numPr>
          <w:ilvl w:val="0"/>
          <w:numId w:val="103"/>
        </w:numPr>
        <w:jc w:val="both"/>
      </w:pPr>
      <w:r>
        <w:rPr>
          <w:rStyle w:val="WW-DefaultParagraphFont"/>
          <w:rFonts w:eastAsia="Times New Roman" w:cs="Arial"/>
          <w:lang w:val="pl-PL"/>
        </w:rPr>
        <w:t>prace towarzyszące, które są niezbędne do wykonania robót podstawowych, niezaliczane do robót tymczasowych, jak geodezyjne wytyczenie robót itd.</w:t>
      </w:r>
    </w:p>
    <w:p w:rsidR="00B77F00" w:rsidRDefault="00B77F00">
      <w:pPr>
        <w:pStyle w:val="Standard"/>
        <w:numPr>
          <w:ilvl w:val="0"/>
          <w:numId w:val="103"/>
        </w:numPr>
        <w:jc w:val="both"/>
      </w:pPr>
    </w:p>
    <w:p w:rsidR="00B77F00" w:rsidRDefault="00865FA3">
      <w:pPr>
        <w:pStyle w:val="Spec-num1"/>
        <w:jc w:val="both"/>
        <w:rPr>
          <w:b w:val="0"/>
          <w:sz w:val="20"/>
          <w:szCs w:val="20"/>
        </w:rPr>
      </w:pPr>
      <w:r>
        <w:rPr>
          <w:rStyle w:val="WW-DefaultParagraphFont"/>
          <w:rFonts w:eastAsia="Times New Roman" w:cs="Arial"/>
          <w:bCs/>
          <w:lang w:val="pl-PL"/>
        </w:rPr>
        <w:t xml:space="preserve">10. PRZEPISY </w:t>
      </w:r>
      <w:r>
        <w:rPr>
          <w:rStyle w:val="WW-DefaultParagraphFont"/>
          <w:rFonts w:eastAsia="Times New Roman" w:cs="Arial"/>
          <w:bCs/>
          <w:lang w:val="pl-PL"/>
        </w:rPr>
        <w:t>ZWIĄZANE</w:t>
      </w:r>
    </w:p>
    <w:p w:rsidR="00B77F00" w:rsidRDefault="00865FA3">
      <w:pPr>
        <w:pStyle w:val="Spec-num2"/>
        <w:jc w:val="both"/>
      </w:pPr>
      <w:r>
        <w:rPr>
          <w:rStyle w:val="WW-DefaultParagraphFont"/>
          <w:rFonts w:eastAsia="Times New Roman" w:cs="Arial"/>
          <w:lang w:val="pl-PL"/>
        </w:rPr>
        <w:t>10.1. Ogólne specyfikacje techniczne (ST)</w:t>
      </w:r>
    </w:p>
    <w:tbl>
      <w:tblPr>
        <w:tblW w:w="7510" w:type="dxa"/>
        <w:tblInd w:w="-70" w:type="dxa"/>
        <w:tblLayout w:type="fixed"/>
        <w:tblCellMar>
          <w:left w:w="10" w:type="dxa"/>
          <w:right w:w="10" w:type="dxa"/>
        </w:tblCellMar>
        <w:tblLook w:val="0000" w:firstRow="0" w:lastRow="0" w:firstColumn="0" w:lastColumn="0" w:noHBand="0" w:noVBand="0"/>
      </w:tblPr>
      <w:tblGrid>
        <w:gridCol w:w="496"/>
        <w:gridCol w:w="1842"/>
        <w:gridCol w:w="5172"/>
      </w:tblGrid>
      <w:tr w:rsidR="00B77F00">
        <w:tblPrEx>
          <w:tblCellMar>
            <w:top w:w="0" w:type="dxa"/>
            <w:bottom w:w="0" w:type="dxa"/>
          </w:tblCellMar>
        </w:tblPrEx>
        <w:tc>
          <w:tcPr>
            <w:tcW w:w="496" w:type="dxa"/>
            <w:tcMar>
              <w:top w:w="0" w:type="dxa"/>
              <w:left w:w="70" w:type="dxa"/>
              <w:bottom w:w="0" w:type="dxa"/>
              <w:right w:w="70" w:type="dxa"/>
            </w:tcMar>
          </w:tcPr>
          <w:p w:rsidR="00B77F00" w:rsidRDefault="00865FA3">
            <w:pPr>
              <w:pStyle w:val="Tekst-specyfikacji"/>
              <w:jc w:val="both"/>
            </w:pPr>
            <w:r>
              <w:rPr>
                <w:rStyle w:val="WW-DefaultParagraphFont"/>
                <w:rFonts w:eastAsia="Times New Roman" w:cs="Arial"/>
                <w:lang w:val="pl-PL"/>
              </w:rPr>
              <w:t>1.</w:t>
            </w:r>
          </w:p>
        </w:tc>
        <w:tc>
          <w:tcPr>
            <w:tcW w:w="1842" w:type="dxa"/>
            <w:tcMar>
              <w:top w:w="0" w:type="dxa"/>
              <w:left w:w="70" w:type="dxa"/>
              <w:bottom w:w="0" w:type="dxa"/>
              <w:right w:w="70" w:type="dxa"/>
            </w:tcMar>
          </w:tcPr>
          <w:p w:rsidR="00B77F00" w:rsidRDefault="00865FA3">
            <w:pPr>
              <w:pStyle w:val="Tekst-specyfikacji"/>
              <w:jc w:val="both"/>
            </w:pPr>
            <w:r>
              <w:rPr>
                <w:rStyle w:val="WW-DefaultParagraphFont"/>
                <w:rFonts w:eastAsia="Times New Roman" w:cs="Arial"/>
                <w:lang w:val="pl-PL"/>
              </w:rPr>
              <w:t>DMU 00.00.00</w:t>
            </w:r>
          </w:p>
        </w:tc>
        <w:tc>
          <w:tcPr>
            <w:tcW w:w="5172" w:type="dxa"/>
            <w:tcMar>
              <w:top w:w="0" w:type="dxa"/>
              <w:left w:w="70" w:type="dxa"/>
              <w:bottom w:w="0" w:type="dxa"/>
              <w:right w:w="70" w:type="dxa"/>
            </w:tcMar>
          </w:tcPr>
          <w:p w:rsidR="00B77F00" w:rsidRDefault="00865FA3">
            <w:pPr>
              <w:pStyle w:val="Tekst-specyfikacji"/>
              <w:jc w:val="both"/>
            </w:pPr>
            <w:r>
              <w:rPr>
                <w:rStyle w:val="WW-DefaultParagraphFont"/>
                <w:rFonts w:eastAsia="Times New Roman" w:cs="Arial"/>
                <w:lang w:val="pl-PL"/>
              </w:rPr>
              <w:t xml:space="preserve"> Wymagania ogólne</w:t>
            </w:r>
          </w:p>
        </w:tc>
      </w:tr>
    </w:tbl>
    <w:p w:rsidR="00B77F00" w:rsidRDefault="00865FA3">
      <w:pPr>
        <w:pStyle w:val="Spec-num2"/>
        <w:jc w:val="both"/>
      </w:pPr>
      <w:r>
        <w:rPr>
          <w:rStyle w:val="WW-DefaultParagraphFont"/>
          <w:rFonts w:eastAsia="Times New Roman" w:cs="Arial"/>
          <w:lang w:val="pl-PL"/>
        </w:rPr>
        <w:t>10.2. Normy</w:t>
      </w:r>
    </w:p>
    <w:p w:rsidR="00B77F00" w:rsidRDefault="00865FA3">
      <w:pPr>
        <w:pStyle w:val="Tekst-specyfikacji"/>
        <w:jc w:val="both"/>
      </w:pPr>
      <w:r>
        <w:rPr>
          <w:rStyle w:val="WW-DefaultParagraphFont"/>
          <w:rFonts w:eastAsia="Times New Roman" w:cs="Arial"/>
          <w:lang w:val="pl-PL"/>
        </w:rPr>
        <w:t>(Zestawienie zawiera dodatkowo normy PN-EN związane z badaniami materiałów występujących w niniejszej ST)</w:t>
      </w:r>
    </w:p>
    <w:tbl>
      <w:tblPr>
        <w:tblW w:w="9645" w:type="dxa"/>
        <w:tblLayout w:type="fixed"/>
        <w:tblCellMar>
          <w:left w:w="10" w:type="dxa"/>
          <w:right w:w="10" w:type="dxa"/>
        </w:tblCellMar>
        <w:tblLook w:val="0000" w:firstRow="0" w:lastRow="0" w:firstColumn="0" w:lastColumn="0" w:noHBand="0" w:noVBand="0"/>
      </w:tblPr>
      <w:tblGrid>
        <w:gridCol w:w="450"/>
        <w:gridCol w:w="1425"/>
        <w:gridCol w:w="7770"/>
      </w:tblGrid>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2.</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196-21</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 xml:space="preserve">Metody badania cementu – Oznaczanie </w:t>
            </w:r>
            <w:r>
              <w:rPr>
                <w:rStyle w:val="WW-DefaultParagraphFont"/>
                <w:rFonts w:eastAsia="Times New Roman" w:cs="Arial"/>
                <w:sz w:val="16"/>
                <w:szCs w:val="16"/>
                <w:lang w:val="pl-PL"/>
              </w:rPr>
              <w:t>zawartości chlorków, dwutlenku węgla i alkaliów w cemencie</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3.</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459-2</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Wapno budowlane – Część 2: Metody badań</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4.</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932-3</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Badania podstawowych właściwości kruszyw – Procedura i terminologia uproszczonego opisu petrograficznego</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5.</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933-1</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Badania geometrycznych właściwości kruszyw – Oznaczanie składu ziarnowego – Metoda przesiewania</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6.</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933-3</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Badania geometrycznych właściwości kruszyw – Oznaczanie kształtu ziaren za pomocą wskaźnika płaskości</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7.</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933-4</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Badania geometrycznych wła</w:t>
            </w:r>
            <w:r>
              <w:rPr>
                <w:rStyle w:val="WW-DefaultParagraphFont"/>
                <w:rFonts w:eastAsia="Times New Roman" w:cs="Arial"/>
                <w:sz w:val="16"/>
                <w:szCs w:val="16"/>
                <w:lang w:val="pl-PL"/>
              </w:rPr>
              <w:t>ściwości kruszyw – Część 4: Oznaczanie kształtu ziaren – Wskaźnik kształtu</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8.</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933-5</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Badania geometrycznych właściwości kruszyw – Oznaczanie procentowej zawartości ziaren o powierzchniach powstałych w wyniku przekruszenia lub łamania kruszyw grubych</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9.</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933-6</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 xml:space="preserve">Badania geometrycznych właściwości kruszyw – Część 6: Ocena właściwości powierzchni – Wskaźnik </w:t>
            </w:r>
            <w:r>
              <w:rPr>
                <w:rStyle w:val="WW-DefaultParagraphFont"/>
                <w:rFonts w:eastAsia="Times New Roman" w:cs="Arial"/>
                <w:sz w:val="16"/>
                <w:szCs w:val="16"/>
                <w:lang w:val="pl-PL"/>
              </w:rPr>
              <w:lastRenderedPageBreak/>
              <w:t>przepływu kruszywa</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lastRenderedPageBreak/>
              <w:t>10.</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933-9</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Badania geometrycznych właściwości kruszyw – Ocena zawartości drobnych cząstek – Badania błękitem metylenowym</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11.</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933-10</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Badania geometrycznych właściwości kruszyw – Część 10: Ocena zawartości drobnych cząstek – Uziarnienie wypełniaczy (przesiewanie w strumieniu powietrza)</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12.</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1097-2</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Badania mechanicznych i fizycznych właściwości kruszyw – Metody oz</w:t>
            </w:r>
            <w:r>
              <w:rPr>
                <w:rStyle w:val="WW-DefaultParagraphFont"/>
                <w:rFonts w:eastAsia="Times New Roman" w:cs="Arial"/>
                <w:sz w:val="16"/>
                <w:szCs w:val="16"/>
                <w:lang w:val="pl-PL"/>
              </w:rPr>
              <w:t>naczania odporności na rozdrabnianie</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13.</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1097-3</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Badania mechanicznych i fizycznych właściwości kruszyw – Oznaczanie gęstości nasypowej i jamistości</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14.</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1097-4</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 xml:space="preserve">Badania mechanicznych i fizycznych właściwości kruszyw – Część 4: Oznaczanie </w:t>
            </w:r>
            <w:r>
              <w:rPr>
                <w:rStyle w:val="WW-DefaultParagraphFont"/>
                <w:rFonts w:eastAsia="Times New Roman" w:cs="Arial"/>
                <w:sz w:val="16"/>
                <w:szCs w:val="16"/>
                <w:lang w:val="pl-PL"/>
              </w:rPr>
              <w:t>pustych przestrzeni suchego, zagęszczonego wypełniacza</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15.</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1097-5</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Badania mechanicznych i fizycznych właściwości kruszyw – Część 5: Oznaczanie zawartości wody przez suszenie w suszarce z wentylacją</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16.</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1097-6</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Badania mechanicznych i fizycznyc</w:t>
            </w:r>
            <w:r>
              <w:rPr>
                <w:rStyle w:val="WW-DefaultParagraphFont"/>
                <w:rFonts w:eastAsia="Times New Roman" w:cs="Arial"/>
                <w:sz w:val="16"/>
                <w:szCs w:val="16"/>
                <w:lang w:val="pl-PL"/>
              </w:rPr>
              <w:t>h właściwości kruszyw –Część 6: Oznaczanie gęstości ziaren i nasiąkliwości</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17.</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1097-7</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Badania mechanicznych i fizycznych właściwości kruszyw – Część 7: Oznaczanie gęstości wypełniacza – Metoda piknometryczna</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18.</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1097-8</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Badania mechanicznych i</w:t>
            </w:r>
            <w:r>
              <w:rPr>
                <w:rStyle w:val="WW-DefaultParagraphFont"/>
                <w:rFonts w:eastAsia="Times New Roman" w:cs="Arial"/>
                <w:sz w:val="16"/>
                <w:szCs w:val="16"/>
                <w:lang w:val="pl-PL"/>
              </w:rPr>
              <w:t xml:space="preserve"> fizycznych właściwości kruszyw – Część 8: Oznaczanie polerowalności kamienia</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19.</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1367-1</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Badania właściwości cieplnych i odporności kruszyw na działanie czynników atmosferycznych – Część 1: Oznaczanie mrozoodporności</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20.</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1367-3</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Badania właści</w:t>
            </w:r>
            <w:r>
              <w:rPr>
                <w:rStyle w:val="WW-DefaultParagraphFont"/>
                <w:rFonts w:eastAsia="Times New Roman" w:cs="Arial"/>
                <w:sz w:val="16"/>
                <w:szCs w:val="16"/>
                <w:lang w:val="pl-PL"/>
              </w:rPr>
              <w:t>wości cieplnych i odporności kruszyw na działanie czynników atmosferycznych – Część 3: Badanie bazaltowej zgorzeli słonecznej metodą gotowania</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21.</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1426</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Asfalty i produkty asfaltowe – Oznaczanie penetracji igłą</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22.</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1427</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Asfalty i produkty asf</w:t>
            </w:r>
            <w:r>
              <w:rPr>
                <w:rStyle w:val="WW-DefaultParagraphFont"/>
                <w:rFonts w:eastAsia="Times New Roman" w:cs="Arial"/>
                <w:sz w:val="16"/>
                <w:szCs w:val="16"/>
                <w:lang w:val="pl-PL"/>
              </w:rPr>
              <w:t>altowe – Oznaczanie temperatury mięknienia – Metoda Pierścień i Kula</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23.</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1428</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Asfalty i lepiszcza asfaltowe – Oznaczanie zawartości wody w emulsjach asfaltowych – Metoda destylacji azeotropowej</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24.</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1429</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 xml:space="preserve">Asfalty i lepiszcza asfaltowe – </w:t>
            </w:r>
            <w:r>
              <w:rPr>
                <w:rStyle w:val="WW-DefaultParagraphFont"/>
                <w:rFonts w:eastAsia="Times New Roman" w:cs="Arial"/>
                <w:sz w:val="16"/>
                <w:szCs w:val="16"/>
                <w:lang w:val="pl-PL"/>
              </w:rPr>
              <w:t>Oznaczanie pozostałości na sicie emulsji asfaltowych oraz trwałości podczas magazynowania metodą pozostałości na sicie</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25.</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1744-1</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Badania chemicznych właściwości kruszyw – Analiza chemiczna</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26.</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1744-4</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Badania chemicznych właściwości kruszyw –</w:t>
            </w:r>
            <w:r>
              <w:rPr>
                <w:rStyle w:val="WW-DefaultParagraphFont"/>
                <w:rFonts w:eastAsia="Times New Roman" w:cs="Arial"/>
                <w:sz w:val="16"/>
                <w:szCs w:val="16"/>
                <w:lang w:val="pl-PL"/>
              </w:rPr>
              <w:t xml:space="preserve"> Część 4: Oznaczanie podatności wypełniaczy do mieszanek mineralno-asfaltowych na działanie wody</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27.</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12591</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Asfalty i produkty asfaltowe – Wymagania dla asfaltów drogowych</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28.</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12592</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Asfalty i produkty asfaltowe – Oznaczanie rozpuszczalności</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29.</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12593</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Asfalty i produkty asfaltowe – Oznaczanie temperatury łamliwości Fraassa</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30.</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12606-1</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Asfalty i produkty asfaltowe – Oznaczanie zawartości parafiny – Część 1: Metoda destylacyjna</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lastRenderedPageBreak/>
              <w:t>31.</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12607-1</w:t>
            </w:r>
          </w:p>
          <w:p w:rsidR="00B77F00" w:rsidRDefault="00865FA3">
            <w:pPr>
              <w:pStyle w:val="Tekst-specyfikacji"/>
              <w:spacing w:before="114" w:after="114"/>
              <w:jc w:val="both"/>
            </w:pPr>
            <w:r>
              <w:rPr>
                <w:rStyle w:val="WW-DefaultParagraphFont"/>
                <w:rFonts w:eastAsia="Times New Roman" w:cs="Arial"/>
                <w:sz w:val="16"/>
                <w:szCs w:val="16"/>
                <w:lang w:val="pl-PL"/>
              </w:rPr>
              <w:t>i</w:t>
            </w:r>
          </w:p>
          <w:p w:rsidR="00B77F00" w:rsidRDefault="00865FA3">
            <w:pPr>
              <w:pStyle w:val="Tekst-specyfikacji"/>
              <w:spacing w:before="114" w:after="114"/>
              <w:jc w:val="both"/>
            </w:pPr>
            <w:r>
              <w:rPr>
                <w:rStyle w:val="WW-DefaultParagraphFont"/>
                <w:rFonts w:eastAsia="Times New Roman" w:cs="Arial"/>
                <w:sz w:val="16"/>
                <w:szCs w:val="16"/>
                <w:lang w:val="pl-PL"/>
              </w:rPr>
              <w:t>PN-EN 12607-3</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Asfalty i produkty a</w:t>
            </w:r>
            <w:r>
              <w:rPr>
                <w:rStyle w:val="WW-DefaultParagraphFont"/>
                <w:rFonts w:eastAsia="Times New Roman" w:cs="Arial"/>
                <w:sz w:val="16"/>
                <w:szCs w:val="16"/>
                <w:lang w:val="pl-PL"/>
              </w:rPr>
              <w:t>sfaltowe – Oznaczanie odporności na twardnienie pod wpływem ciepła i powietrza – Część 1: Metoda RTFOT</w:t>
            </w:r>
          </w:p>
          <w:p w:rsidR="00B77F00" w:rsidRDefault="00865FA3">
            <w:pPr>
              <w:pStyle w:val="Tekst-specyfikacji"/>
              <w:spacing w:before="114" w:after="114"/>
              <w:jc w:val="both"/>
            </w:pPr>
            <w:r>
              <w:rPr>
                <w:rStyle w:val="WW-DefaultParagraphFont"/>
                <w:rFonts w:eastAsia="Times New Roman" w:cs="Arial"/>
                <w:sz w:val="16"/>
                <w:szCs w:val="16"/>
                <w:lang w:val="pl-PL"/>
              </w:rPr>
              <w:t>Jw. Część 3: Metoda RFT</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32.</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12697-6</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 xml:space="preserve">Mieszanki mineralno-asfaltowe – Metody badań mieszanek mineralno-asfaltowych na gorąco – Część 6: Oznaczanie </w:t>
            </w:r>
            <w:r>
              <w:rPr>
                <w:rStyle w:val="WW-DefaultParagraphFont"/>
                <w:rFonts w:eastAsia="Times New Roman" w:cs="Arial"/>
                <w:sz w:val="16"/>
                <w:szCs w:val="16"/>
                <w:lang w:val="pl-PL"/>
              </w:rPr>
              <w:t>gęstości objętościowej metodą hydrostatyczną</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33.</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12697-8</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Mieszanki mineralno-asfaltowe – Metody badań mieszanek mineralno-asfaltowych na gorąco – Część 8: Oznaczanie zawartości wolnej przestrzeni</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34.</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12697-11</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Mieszanki mineralno-asfaltowe – M</w:t>
            </w:r>
            <w:r>
              <w:rPr>
                <w:rStyle w:val="WW-DefaultParagraphFont"/>
                <w:rFonts w:eastAsia="Times New Roman" w:cs="Arial"/>
                <w:sz w:val="16"/>
                <w:szCs w:val="16"/>
                <w:lang w:val="pl-PL"/>
              </w:rPr>
              <w:t>etody badań mieszanek mineralno-asfaltowych na gorąco – Część 11: Określenie powiązania pomiędzy kruszywem i asfaltem</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35.</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12697-12</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Mieszanki mineralno-asfaltowe – Metody badań mieszanek mineralno-asfaltowych na gorąco – Część 12: Określanie wrażliwo</w:t>
            </w:r>
            <w:r>
              <w:rPr>
                <w:rStyle w:val="WW-DefaultParagraphFont"/>
                <w:rFonts w:eastAsia="Times New Roman" w:cs="Arial"/>
                <w:sz w:val="16"/>
                <w:szCs w:val="16"/>
                <w:lang w:val="pl-PL"/>
              </w:rPr>
              <w:t>ści na wodę</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36.</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12697-13</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Mieszanki mineralno-asfaltowe – Metody badań mieszanek mineralno-asfaltowych na gorąco – Część 13: Pomiar temperatury</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37.</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12697-18</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Mieszanki mineralno-asfaltowe – Metody badań mieszanek mineralno-asfaltowych na gorąco</w:t>
            </w:r>
            <w:r>
              <w:rPr>
                <w:rStyle w:val="WW-DefaultParagraphFont"/>
                <w:rFonts w:eastAsia="Times New Roman" w:cs="Arial"/>
                <w:sz w:val="16"/>
                <w:szCs w:val="16"/>
                <w:lang w:val="pl-PL"/>
              </w:rPr>
              <w:t xml:space="preserve"> – Część 18: Spływanie lepiszcza</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38.</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12697-22</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Mieszanki mineralno-asfaltowe – Metody badań mieszanek mineralno-asfaltowych na gorąco – Część 22: Koleinowanie</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39.</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12697-27</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Mieszanki mineralno-asfaltowe – Metody badań mieszanek mineralno-asfalt</w:t>
            </w:r>
            <w:r>
              <w:rPr>
                <w:rStyle w:val="WW-DefaultParagraphFont"/>
                <w:rFonts w:eastAsia="Times New Roman" w:cs="Arial"/>
                <w:sz w:val="16"/>
                <w:szCs w:val="16"/>
                <w:lang w:val="pl-PL"/>
              </w:rPr>
              <w:t>owych na gorąco – Część 27: Pobieranie próbek</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40.</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12697-36</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Mieszanki mineralno-asfaltowe – Metody badań mieszanek mineralno-asfaltowych na gorąco – Część 36: Oznaczanie grubości nawierzchni asfaltowych</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41.</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12846</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 xml:space="preserve">Asfalty i lepiszcza asfaltowe </w:t>
            </w:r>
            <w:r>
              <w:rPr>
                <w:rStyle w:val="WW-DefaultParagraphFont"/>
                <w:rFonts w:eastAsia="Times New Roman" w:cs="Arial"/>
                <w:sz w:val="16"/>
                <w:szCs w:val="16"/>
                <w:lang w:val="pl-PL"/>
              </w:rPr>
              <w:t>– Oznaczanie czasu wypływu emulsji asfaltowych lepkościomierzem wypływowym</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42.</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12847</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Asfalty i lepiszcza asfaltowe – Oznaczanie sedymentacji emulsji asfaltowych</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43.</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12850</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 xml:space="preserve">Asfalty i lepiszcza asfaltowe – Oznaczanie wartości pH emulsji </w:t>
            </w:r>
            <w:r>
              <w:rPr>
                <w:rStyle w:val="WW-DefaultParagraphFont"/>
                <w:rFonts w:eastAsia="Times New Roman" w:cs="Arial"/>
                <w:sz w:val="16"/>
                <w:szCs w:val="16"/>
                <w:lang w:val="pl-PL"/>
              </w:rPr>
              <w:t>asfaltowych</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44.</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13043</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Kruszywa do mieszanek bitumicznych i powierzchniowych utrwaleń stosowanych na drogach, lotniskach i innych powierzchniach przeznaczonych do ruchu</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45.</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13074</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Asfalty i lepiszcza asfaltowe – Oznaczanie lepiszczy z emulsji a</w:t>
            </w:r>
            <w:r>
              <w:rPr>
                <w:rStyle w:val="WW-DefaultParagraphFont"/>
                <w:rFonts w:eastAsia="Times New Roman" w:cs="Arial"/>
                <w:sz w:val="16"/>
                <w:szCs w:val="16"/>
                <w:lang w:val="pl-PL"/>
              </w:rPr>
              <w:t>sfaltowych przez odparowanie</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46.</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13075-1</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Asfalty i lepiszcza asfaltowe – Badanie rozpadu – Część 1: Oznaczanie indeksu rozpadu kationowych emulsji asfaltowych, metoda z wypełniaczem mineralnym</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47.</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13108-5</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 xml:space="preserve">Mieszanki mineralno-asfaltowe – </w:t>
            </w:r>
            <w:r>
              <w:rPr>
                <w:rStyle w:val="WW-DefaultParagraphFont"/>
                <w:rFonts w:eastAsia="Times New Roman" w:cs="Arial"/>
                <w:sz w:val="16"/>
                <w:szCs w:val="16"/>
                <w:lang w:val="pl-PL"/>
              </w:rPr>
              <w:t>Wymagania – Część 5: Mieszanka SMA</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48.</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13108-20</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Mieszanki mineralno-asfaltowe – Wymagania – Część 20: Badanie typu</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49.</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13179-1</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Badania kruszyw wypełniających stosowanych do mieszanek bitumicznych – Część 1: Badanie metodą Pierścienia i Kuli</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50.</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13179-2</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Badania kruszyw wypełniających stosowanych do mieszanek bitumicznych – Część 2: Liczba bitumiczna</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lastRenderedPageBreak/>
              <w:t>51.</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13398</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Asfalty i lepiszcza asfaltowe – Oznaczanie nawrotu sprężystego asfaltów modyfikowanych</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52.</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13399</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Asfalty i lepiszcza</w:t>
            </w:r>
            <w:r>
              <w:rPr>
                <w:rStyle w:val="WW-DefaultParagraphFont"/>
                <w:rFonts w:eastAsia="Times New Roman" w:cs="Arial"/>
                <w:sz w:val="16"/>
                <w:szCs w:val="16"/>
                <w:lang w:val="pl-PL"/>
              </w:rPr>
              <w:t xml:space="preserve"> asfaltowe – Oznaczanie odporności na magazynowanie modyfikowanych asfaltów</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53.</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13587</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Asfalty i lepiszcza asfaltowe – Oznaczanie ciągliwości lepiszczy asfaltowych metodą pomiaru ciągliwości</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54.</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13588</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Asfalty i lepiszcza asfaltowe – Oznaczanie</w:t>
            </w:r>
            <w:r>
              <w:rPr>
                <w:rStyle w:val="WW-DefaultParagraphFont"/>
                <w:rFonts w:eastAsia="Times New Roman" w:cs="Arial"/>
                <w:sz w:val="16"/>
                <w:szCs w:val="16"/>
                <w:lang w:val="pl-PL"/>
              </w:rPr>
              <w:t xml:space="preserve"> kohezji lepiszczy asfaltowych metodą testu wahadłowego</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55.</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13589</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Asfalty i lepiszcza asfaltowe – Oznaczanie ciągliwości modyfikowanych asfaltów – Metoda z duktylometrem</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56.</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13614</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 xml:space="preserve">Asfalty i lepiszcza asfaltowe – Oznaczanie przyczepności </w:t>
            </w:r>
            <w:r>
              <w:rPr>
                <w:rStyle w:val="WW-DefaultParagraphFont"/>
                <w:rFonts w:eastAsia="Times New Roman" w:cs="Arial"/>
                <w:sz w:val="16"/>
                <w:szCs w:val="16"/>
                <w:lang w:val="pl-PL"/>
              </w:rPr>
              <w:t>emulsji bitumicznych przez zanurzenie w wodzie – Metoda z kruszywem</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57.</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13703</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Asfalty i lepiszcza asfaltowe – Oznaczanie energii deformacji</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58.</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13808</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Asfalty i lepiszcza asfaltowe – Zasady specyfikacji kationowych emulsji asfaltowych</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59.</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14023</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Asfalty i lepiszcza asfaltowe – Zasady specyfikacji asfaltów modyfikowanych polimerami</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60.</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14188-1</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Wypełniacze złączy i zalewy – Część 1: Specyfikacja zalew na gorąco</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61.</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14188-2</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Wypełniacze złączy i zalewy – Część 2: Specyfikacja</w:t>
            </w:r>
            <w:r>
              <w:rPr>
                <w:rStyle w:val="WW-DefaultParagraphFont"/>
                <w:rFonts w:eastAsia="Times New Roman" w:cs="Arial"/>
                <w:sz w:val="16"/>
                <w:szCs w:val="16"/>
                <w:lang w:val="pl-PL"/>
              </w:rPr>
              <w:t xml:space="preserve"> zalew na zimno</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62.</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22592</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Przetwory naftowe – Oznaczanie temperatury zapłonu i palenia – Pomiar metodą otwartego tygla Clevelanda</w:t>
            </w:r>
          </w:p>
        </w:tc>
      </w:tr>
      <w:tr w:rsidR="00B77F00">
        <w:tblPrEx>
          <w:tblCellMar>
            <w:top w:w="0" w:type="dxa"/>
            <w:bottom w:w="0" w:type="dxa"/>
          </w:tblCellMar>
        </w:tblPrEx>
        <w:tc>
          <w:tcPr>
            <w:tcW w:w="45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63.</w:t>
            </w:r>
          </w:p>
        </w:tc>
        <w:tc>
          <w:tcPr>
            <w:tcW w:w="1425"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PN-EN ISO 2592</w:t>
            </w:r>
          </w:p>
        </w:tc>
        <w:tc>
          <w:tcPr>
            <w:tcW w:w="7770" w:type="dxa"/>
            <w:tcMar>
              <w:top w:w="55" w:type="dxa"/>
              <w:left w:w="55" w:type="dxa"/>
              <w:bottom w:w="55" w:type="dxa"/>
              <w:right w:w="55" w:type="dxa"/>
            </w:tcMar>
          </w:tcPr>
          <w:p w:rsidR="00B77F00" w:rsidRDefault="00865FA3">
            <w:pPr>
              <w:pStyle w:val="Tekst-specyfikacji"/>
              <w:spacing w:before="114" w:after="114"/>
              <w:jc w:val="both"/>
            </w:pPr>
            <w:r>
              <w:rPr>
                <w:rStyle w:val="WW-DefaultParagraphFont"/>
                <w:rFonts w:eastAsia="Times New Roman" w:cs="Arial"/>
                <w:sz w:val="16"/>
                <w:szCs w:val="16"/>
                <w:lang w:val="pl-PL"/>
              </w:rPr>
              <w:t>Oznaczanie temperatury zapłonu i palenia – Metoda otwartego tygla Clevelanda</w:t>
            </w:r>
          </w:p>
        </w:tc>
      </w:tr>
    </w:tbl>
    <w:p w:rsidR="00B77F00" w:rsidRDefault="00B77F00">
      <w:pPr>
        <w:pStyle w:val="Tekst-specyfikacji"/>
        <w:jc w:val="both"/>
      </w:pPr>
    </w:p>
    <w:p w:rsidR="00B77F00" w:rsidRDefault="00865FA3">
      <w:pPr>
        <w:pStyle w:val="Spec-num2"/>
        <w:jc w:val="both"/>
      </w:pPr>
      <w:r>
        <w:rPr>
          <w:rStyle w:val="WW-DefaultParagraphFont"/>
          <w:rFonts w:eastAsia="Times New Roman" w:cs="Arial"/>
          <w:lang w:val="pl-PL"/>
        </w:rPr>
        <w:t xml:space="preserve">10.3. Wymagania </w:t>
      </w:r>
      <w:r>
        <w:rPr>
          <w:rStyle w:val="WW-DefaultParagraphFont"/>
          <w:rFonts w:eastAsia="Times New Roman" w:cs="Arial"/>
          <w:lang w:val="pl-PL"/>
        </w:rPr>
        <w:t>techniczne (rekomendowane przez Ministra Infrastruktury)</w:t>
      </w:r>
    </w:p>
    <w:p w:rsidR="00B77F00" w:rsidRDefault="00865FA3">
      <w:pPr>
        <w:pStyle w:val="Tekst-specyfikacji"/>
        <w:numPr>
          <w:ilvl w:val="0"/>
          <w:numId w:val="15"/>
        </w:numPr>
        <w:jc w:val="both"/>
      </w:pPr>
      <w:r>
        <w:rPr>
          <w:rStyle w:val="WW-DefaultParagraphFont"/>
          <w:rFonts w:eastAsia="Times New Roman" w:cs="Arial"/>
          <w:lang w:val="pl-PL"/>
        </w:rPr>
        <w:t>WT-1 Kruszywa 2014. Kruszywa do mieszanek mineralno-asfaltowych i powierzchniowych utrwaleń na drogach publicznych,</w:t>
      </w:r>
    </w:p>
    <w:p w:rsidR="00B77F00" w:rsidRDefault="00865FA3">
      <w:pPr>
        <w:pStyle w:val="Tekst-specyfikacji"/>
        <w:numPr>
          <w:ilvl w:val="0"/>
          <w:numId w:val="15"/>
        </w:numPr>
        <w:jc w:val="both"/>
      </w:pPr>
      <w:r>
        <w:rPr>
          <w:rStyle w:val="WW-DefaultParagraphFont"/>
          <w:rFonts w:eastAsia="Times New Roman" w:cs="Arial"/>
          <w:lang w:val="pl-PL"/>
        </w:rPr>
        <w:t>WT-2 Nawierzchnie asfaltowe 2014 i 2016. Nawierzchnie asfaltowe na drogach publiczn</w:t>
      </w:r>
      <w:r>
        <w:rPr>
          <w:rStyle w:val="WW-DefaultParagraphFont"/>
          <w:rFonts w:eastAsia="Times New Roman" w:cs="Arial"/>
          <w:lang w:val="pl-PL"/>
        </w:rPr>
        <w:t>ych</w:t>
      </w:r>
    </w:p>
    <w:p w:rsidR="00B77F00" w:rsidRDefault="00865FA3">
      <w:pPr>
        <w:pStyle w:val="Tekst-specyfikacji"/>
        <w:numPr>
          <w:ilvl w:val="0"/>
          <w:numId w:val="15"/>
        </w:numPr>
        <w:jc w:val="both"/>
      </w:pPr>
      <w:r>
        <w:rPr>
          <w:rStyle w:val="WW-DefaultParagraphFont"/>
          <w:rFonts w:eastAsia="Times New Roman" w:cs="Arial"/>
          <w:lang w:val="pl-PL"/>
        </w:rPr>
        <w:t>WT-3 Emulsje asfaltowe 2009. Kationowe emulsje asfaltowe na drogach publicznych</w:t>
      </w:r>
    </w:p>
    <w:p w:rsidR="00B77F00" w:rsidRDefault="00865FA3">
      <w:pPr>
        <w:pStyle w:val="Spec-num2"/>
        <w:jc w:val="both"/>
      </w:pPr>
      <w:r>
        <w:rPr>
          <w:rStyle w:val="WW-DefaultParagraphFont"/>
          <w:rFonts w:eastAsia="Times New Roman" w:cs="Arial"/>
          <w:lang w:val="pl-PL"/>
        </w:rPr>
        <w:t>10.4. Inne dokumenty</w:t>
      </w:r>
    </w:p>
    <w:p w:rsidR="00B77F00" w:rsidRDefault="00865FA3">
      <w:pPr>
        <w:pStyle w:val="Tekst-specyfikacji"/>
        <w:numPr>
          <w:ilvl w:val="0"/>
          <w:numId w:val="105"/>
        </w:numPr>
        <w:jc w:val="both"/>
      </w:pPr>
      <w:r>
        <w:rPr>
          <w:rStyle w:val="WW-DefaultParagraphFont"/>
          <w:rFonts w:eastAsia="Times New Roman" w:cs="Arial"/>
          <w:lang w:val="pl-PL"/>
        </w:rPr>
        <w:t>Rozporządzenie Ministra Transportu i Gospodarki Morskiej z dnia 2 marca 1999 r. w sprawie warunków technicznych, jakim powinny odpowiadać drogi publicz</w:t>
      </w:r>
      <w:r>
        <w:rPr>
          <w:rStyle w:val="WW-DefaultParagraphFont"/>
          <w:rFonts w:eastAsia="Times New Roman" w:cs="Arial"/>
          <w:lang w:val="pl-PL"/>
        </w:rPr>
        <w:t>ne i ich usytuowanie (Dz.U. nr 43, poz. 430)</w:t>
      </w:r>
    </w:p>
    <w:p w:rsidR="00B77F00" w:rsidRDefault="00865FA3">
      <w:pPr>
        <w:pStyle w:val="Tekst-specyfikacji"/>
        <w:numPr>
          <w:ilvl w:val="0"/>
          <w:numId w:val="31"/>
        </w:numPr>
        <w:jc w:val="both"/>
      </w:pPr>
      <w:r>
        <w:rPr>
          <w:rStyle w:val="WW-DefaultParagraphFont"/>
          <w:rFonts w:eastAsia="Times New Roman" w:cs="Arial"/>
          <w:lang w:val="pl-PL"/>
        </w:rPr>
        <w:t>Katalog typowych konstrukcji nawierzchni podatnych i półsztywnych. Generalna Dyrekcja Dróg Publicznych – Instytut Badawczy Dróg i Mostów, Warszawa 1997</w:t>
      </w:r>
    </w:p>
    <w:p w:rsidR="00B77F00" w:rsidRDefault="00B77F00">
      <w:pPr>
        <w:pStyle w:val="Tekst-specyfikacji"/>
        <w:jc w:val="both"/>
      </w:pPr>
    </w:p>
    <w:p w:rsidR="00B77F00" w:rsidRDefault="00B77F00">
      <w:pPr>
        <w:pStyle w:val="Tekst-specyfikacji"/>
      </w:pPr>
    </w:p>
    <w:p w:rsidR="00B77F00" w:rsidRDefault="00B77F00">
      <w:pPr>
        <w:pStyle w:val="Tekst-specyfikacji"/>
        <w:jc w:val="both"/>
      </w:pPr>
    </w:p>
    <w:p w:rsidR="00B77F00" w:rsidRDefault="00B77F00">
      <w:pPr>
        <w:pStyle w:val="Tekst-specyfikacji"/>
        <w:jc w:val="both"/>
      </w:pPr>
    </w:p>
    <w:p w:rsidR="00B77F00" w:rsidRDefault="00B77F00">
      <w:pPr>
        <w:pStyle w:val="Tekst-specyfikacji"/>
        <w:jc w:val="both"/>
      </w:pPr>
    </w:p>
    <w:p w:rsidR="00B77F00" w:rsidRDefault="00B77F00">
      <w:pPr>
        <w:pStyle w:val="Tekst-specyfikacji"/>
        <w:jc w:val="both"/>
      </w:pPr>
    </w:p>
    <w:p w:rsidR="00B77F00" w:rsidRDefault="00B77F00">
      <w:pPr>
        <w:pStyle w:val="Tekst-specyfikacji"/>
        <w:jc w:val="both"/>
      </w:pPr>
    </w:p>
    <w:p w:rsidR="00B77F00" w:rsidRDefault="00B77F00">
      <w:pPr>
        <w:pStyle w:val="Tekst-specyfikacji"/>
        <w:jc w:val="both"/>
      </w:pPr>
    </w:p>
    <w:p w:rsidR="00B77F00" w:rsidRDefault="00B77F00">
      <w:pPr>
        <w:pStyle w:val="Tekst-specyfikacji"/>
        <w:jc w:val="both"/>
      </w:pPr>
    </w:p>
    <w:p w:rsidR="00B77F00" w:rsidRDefault="00B77F00">
      <w:pPr>
        <w:pStyle w:val="Tekst-specyfikacji"/>
        <w:jc w:val="both"/>
      </w:pPr>
    </w:p>
    <w:p w:rsidR="00B77F00" w:rsidRDefault="00B77F00">
      <w:pPr>
        <w:pStyle w:val="Tekst-specyfikacji"/>
        <w:jc w:val="both"/>
      </w:pPr>
    </w:p>
    <w:p w:rsidR="00B77F00" w:rsidRDefault="00B77F00">
      <w:pPr>
        <w:pStyle w:val="Tekst-specyfikacji"/>
        <w:jc w:val="both"/>
      </w:pPr>
    </w:p>
    <w:p w:rsidR="00B77F00" w:rsidRDefault="00B77F00">
      <w:pPr>
        <w:pStyle w:val="Tekst-specyfikacji"/>
        <w:jc w:val="both"/>
      </w:pPr>
    </w:p>
    <w:p w:rsidR="00B77F00" w:rsidRDefault="00B77F00">
      <w:pPr>
        <w:pStyle w:val="Tekst-specyfikacji"/>
        <w:jc w:val="both"/>
      </w:pPr>
    </w:p>
    <w:p w:rsidR="00B77F00" w:rsidRDefault="00B77F00">
      <w:pPr>
        <w:pStyle w:val="Tekst-specyfikacji"/>
        <w:jc w:val="both"/>
      </w:pPr>
    </w:p>
    <w:p w:rsidR="00B77F00" w:rsidRDefault="00B77F00">
      <w:pPr>
        <w:pStyle w:val="Tekst-specyfikacji"/>
        <w:jc w:val="both"/>
      </w:pPr>
    </w:p>
    <w:p w:rsidR="00B77F00" w:rsidRDefault="00B77F00">
      <w:pPr>
        <w:pStyle w:val="Tekst-specyfikacji"/>
        <w:jc w:val="both"/>
      </w:pPr>
    </w:p>
    <w:p w:rsidR="00B77F00" w:rsidRDefault="00B77F00">
      <w:pPr>
        <w:pStyle w:val="Tekst-specyfikacji"/>
        <w:jc w:val="both"/>
      </w:pPr>
    </w:p>
    <w:p w:rsidR="00B77F00" w:rsidRDefault="00B77F00">
      <w:pPr>
        <w:pStyle w:val="Tekst-specyfikacji"/>
        <w:jc w:val="both"/>
      </w:pPr>
    </w:p>
    <w:p w:rsidR="00B77F00" w:rsidRDefault="00B77F00">
      <w:pPr>
        <w:pStyle w:val="Tekst-specyfikacji"/>
        <w:jc w:val="both"/>
      </w:pPr>
    </w:p>
    <w:p w:rsidR="00B77F00" w:rsidRDefault="00B77F00">
      <w:pPr>
        <w:pStyle w:val="Tekst-specyfikacji"/>
        <w:jc w:val="both"/>
      </w:pPr>
    </w:p>
    <w:p w:rsidR="00B77F00" w:rsidRDefault="00B77F00">
      <w:pPr>
        <w:pStyle w:val="Tekst-specyfikacji"/>
        <w:jc w:val="both"/>
      </w:pPr>
    </w:p>
    <w:p w:rsidR="00B77F00" w:rsidRDefault="00B77F00">
      <w:pPr>
        <w:pStyle w:val="Tekst-specyfikacji"/>
        <w:jc w:val="both"/>
      </w:pPr>
    </w:p>
    <w:p w:rsidR="00B77F00" w:rsidRDefault="00B77F00">
      <w:pPr>
        <w:pStyle w:val="Tekst-specyfikacji"/>
        <w:jc w:val="both"/>
      </w:pPr>
    </w:p>
    <w:p w:rsidR="00B77F00" w:rsidRDefault="00B77F00">
      <w:pPr>
        <w:pStyle w:val="Tekst-specyfikacji"/>
        <w:jc w:val="both"/>
      </w:pPr>
    </w:p>
    <w:p w:rsidR="00B77F00" w:rsidRDefault="00B77F00">
      <w:pPr>
        <w:pStyle w:val="Tekst-specyfikacji"/>
        <w:jc w:val="both"/>
      </w:pPr>
    </w:p>
    <w:p w:rsidR="00B77F00" w:rsidRDefault="00B77F00">
      <w:pPr>
        <w:pStyle w:val="Tekst-specyfikacji"/>
        <w:jc w:val="both"/>
      </w:pPr>
    </w:p>
    <w:p w:rsidR="00B77F00" w:rsidRDefault="00B77F00">
      <w:pPr>
        <w:pStyle w:val="Tekst-specyfikacji"/>
        <w:jc w:val="both"/>
      </w:pPr>
    </w:p>
    <w:p w:rsidR="00B77F00" w:rsidRDefault="00B77F00">
      <w:pPr>
        <w:pStyle w:val="Tekst-specyfikacji"/>
        <w:jc w:val="both"/>
      </w:pPr>
    </w:p>
    <w:p w:rsidR="00B77F00" w:rsidRDefault="00B77F00">
      <w:pPr>
        <w:pStyle w:val="Tekst-specyfikacji"/>
        <w:jc w:val="both"/>
      </w:pPr>
    </w:p>
    <w:p w:rsidR="00B77F00" w:rsidRDefault="00B77F00">
      <w:pPr>
        <w:pStyle w:val="Tekst-specyfikacji"/>
        <w:jc w:val="both"/>
      </w:pPr>
    </w:p>
    <w:p w:rsidR="00B77F00" w:rsidRDefault="00B77F00">
      <w:pPr>
        <w:pStyle w:val="Tekst-specyfikacji"/>
        <w:jc w:val="both"/>
      </w:pPr>
    </w:p>
    <w:p w:rsidR="00B77F00" w:rsidRDefault="00B77F00">
      <w:pPr>
        <w:pStyle w:val="Tekst-specyfikacji"/>
        <w:jc w:val="both"/>
      </w:pPr>
    </w:p>
    <w:p w:rsidR="00B77F00" w:rsidRDefault="00B77F00">
      <w:pPr>
        <w:pStyle w:val="Tekst-specyfikacji"/>
        <w:jc w:val="both"/>
      </w:pPr>
    </w:p>
    <w:p w:rsidR="00B77F00" w:rsidRDefault="00B77F00">
      <w:pPr>
        <w:pStyle w:val="Tekst-specyfikacji"/>
        <w:jc w:val="both"/>
      </w:pPr>
    </w:p>
    <w:p w:rsidR="00B77F00" w:rsidRDefault="00B77F00">
      <w:pPr>
        <w:pStyle w:val="Tekst-specyfikacji"/>
        <w:jc w:val="both"/>
      </w:pPr>
    </w:p>
    <w:p w:rsidR="00B77F00" w:rsidRDefault="00B77F00">
      <w:pPr>
        <w:pStyle w:val="Tekst-specyfikacji"/>
        <w:jc w:val="both"/>
      </w:pPr>
    </w:p>
    <w:p w:rsidR="00B77F00" w:rsidRDefault="00B77F00">
      <w:pPr>
        <w:pStyle w:val="Tekst-specyfikacji"/>
        <w:jc w:val="both"/>
      </w:pPr>
    </w:p>
    <w:p w:rsidR="00B77F00" w:rsidRDefault="00B77F00">
      <w:pPr>
        <w:pStyle w:val="Tekst-specyfikacji"/>
        <w:jc w:val="both"/>
      </w:pPr>
    </w:p>
    <w:p w:rsidR="00B77F00" w:rsidRDefault="00B77F00">
      <w:pPr>
        <w:pStyle w:val="Tekst-specyfikacji"/>
        <w:jc w:val="both"/>
      </w:pPr>
    </w:p>
    <w:p w:rsidR="00B77F00" w:rsidRDefault="00B77F00">
      <w:pPr>
        <w:pStyle w:val="Tekst-specyfikacji"/>
        <w:jc w:val="both"/>
      </w:pPr>
    </w:p>
    <w:p w:rsidR="00B77F00" w:rsidRDefault="00B77F00">
      <w:pPr>
        <w:pStyle w:val="Tekst-specyfikacji"/>
        <w:jc w:val="both"/>
      </w:pPr>
    </w:p>
    <w:p w:rsidR="00B77F00" w:rsidRDefault="00B77F00">
      <w:pPr>
        <w:pStyle w:val="Tekst-specyfikacji"/>
        <w:jc w:val="both"/>
      </w:pPr>
    </w:p>
    <w:p w:rsidR="00B77F00" w:rsidRDefault="00B77F00">
      <w:pPr>
        <w:pStyle w:val="Tekst-specyfikacji"/>
        <w:jc w:val="both"/>
      </w:pPr>
    </w:p>
    <w:p w:rsidR="00B77F00" w:rsidRDefault="00B77F00">
      <w:pPr>
        <w:pStyle w:val="Tekst-specyfikacji"/>
        <w:jc w:val="both"/>
      </w:pPr>
    </w:p>
    <w:p w:rsidR="00B77F00" w:rsidRDefault="00865FA3">
      <w:pPr>
        <w:pStyle w:val="Nagwek3"/>
        <w:jc w:val="both"/>
      </w:pPr>
      <w:bookmarkStart w:id="9" w:name="__RefHeading___Toc74725_9924166771"/>
      <w:r>
        <w:t>M.15.03.02</w:t>
      </w:r>
      <w:r>
        <w:t xml:space="preserve"> Warstwa wiążąca z mieszanek mineralno-asfaltowych MA11</w:t>
      </w:r>
      <w:bookmarkEnd w:id="9"/>
    </w:p>
    <w:p w:rsidR="00B77F00" w:rsidRDefault="00865FA3">
      <w:pPr>
        <w:pStyle w:val="Standard"/>
        <w:rPr>
          <w:b/>
          <w:bCs/>
        </w:rPr>
      </w:pPr>
      <w:r>
        <w:rPr>
          <w:b/>
          <w:bCs/>
        </w:rPr>
        <w:t>1. WSTĘP</w:t>
      </w:r>
    </w:p>
    <w:p w:rsidR="00B77F00" w:rsidRDefault="00865FA3">
      <w:pPr>
        <w:pStyle w:val="Standard"/>
        <w:jc w:val="both"/>
      </w:pPr>
      <w:r>
        <w:t>1.1. Przedmiot ST</w:t>
      </w:r>
    </w:p>
    <w:p w:rsidR="00B77F00" w:rsidRDefault="00865FA3">
      <w:pPr>
        <w:pStyle w:val="Standard"/>
        <w:jc w:val="both"/>
      </w:pPr>
      <w:r>
        <w:t xml:space="preserve">Przedmiotem niniejszej Specyfikacji są wymagania dotyczące wykonania i odbioru robót związanych  z wykonaniem warstwy wiążącej z asfaltu lanego przy realizacji inwestycji: </w:t>
      </w:r>
      <w:r>
        <w:rPr>
          <w:rStyle w:val="WW-DefaultParagraphFont"/>
          <w:rFonts w:eastAsia="Times New Roman" w:cs="Arial"/>
          <w:color w:val="000000"/>
          <w:spacing w:val="-3"/>
          <w:lang w:val="pl-PL" w:bidi="ar-SA"/>
        </w:rPr>
        <w:t>„</w:t>
      </w:r>
      <w:r>
        <w:rPr>
          <w:rStyle w:val="WW-DefaultParagraphFont"/>
          <w:rFonts w:eastAsia="Times New Roman" w:cs="Arial"/>
          <w:color w:val="000000"/>
          <w:spacing w:val="-3"/>
          <w:lang w:val="pl-PL" w:bidi="ar-SA"/>
        </w:rPr>
        <w:t>Remont mostu na rzece Wiązownica w msc. Wrzos w ciągu drogi powiatowej nr 3501W Wrzeszczów – Wrzos - Domaniów w km 4+206”.</w:t>
      </w:r>
    </w:p>
    <w:p w:rsidR="00B77F00" w:rsidRDefault="00865FA3">
      <w:pPr>
        <w:pStyle w:val="Standard"/>
        <w:jc w:val="both"/>
      </w:pPr>
      <w:r>
        <w:t>1.2. Zakres stosowania ST</w:t>
      </w:r>
    </w:p>
    <w:p w:rsidR="00B77F00" w:rsidRDefault="00865FA3">
      <w:pPr>
        <w:pStyle w:val="Standard"/>
        <w:jc w:val="both"/>
      </w:pPr>
      <w:r>
        <w:t xml:space="preserve">Specyfikacja </w:t>
      </w:r>
      <w:r>
        <w:t>techniczna jest stosowana jako dokument przetargowy i kontraktowy przy zlecaniu i realizacji robót robót wymienionych w pkt. 1.1.</w:t>
      </w:r>
    </w:p>
    <w:p w:rsidR="00B77F00" w:rsidRDefault="00865FA3">
      <w:pPr>
        <w:pStyle w:val="Standard"/>
        <w:jc w:val="both"/>
      </w:pPr>
      <w:r>
        <w:t>1.3. Zakres robót objętych ST</w:t>
      </w:r>
    </w:p>
    <w:p w:rsidR="00B77F00" w:rsidRDefault="00865FA3">
      <w:pPr>
        <w:pStyle w:val="Standard"/>
        <w:jc w:val="both"/>
      </w:pPr>
      <w:r>
        <w:t>Ustalenia zawarte w niniejszej specyfikacji dotyczą zasad prowadzenia robót związanych z wykonan</w:t>
      </w:r>
      <w:r>
        <w:t>iem warstwy wiążącej z asfaltu lanego MA11</w:t>
      </w:r>
    </w:p>
    <w:p w:rsidR="00B77F00" w:rsidRDefault="00865FA3">
      <w:pPr>
        <w:pStyle w:val="Standard"/>
        <w:jc w:val="both"/>
      </w:pPr>
      <w:r>
        <w:t>Do wykonywania nawierzchni może być stosowany asfalt lany  MA 11, zgodnie z dokumentacją techniczną.</w:t>
      </w:r>
    </w:p>
    <w:p w:rsidR="00B77F00" w:rsidRDefault="00865FA3">
      <w:pPr>
        <w:pStyle w:val="Standard"/>
        <w:jc w:val="both"/>
      </w:pPr>
      <w:r>
        <w:t>Ustalenia zawarte w niniejszej specyfikacji dotyczą robót wymienionych w pkt. 1.1. i obejmują wykonanie nawierzc</w:t>
      </w:r>
      <w:r>
        <w:t>hni wiążącej z MA 11, z polimeroasfaltem PMB 25/55-60</w:t>
      </w:r>
    </w:p>
    <w:p w:rsidR="00B77F00" w:rsidRDefault="00865FA3">
      <w:pPr>
        <w:pStyle w:val="Standard"/>
        <w:jc w:val="both"/>
      </w:pPr>
      <w:r>
        <w:t>1.4. Określenia podstawowe</w:t>
      </w:r>
    </w:p>
    <w:p w:rsidR="00B77F00" w:rsidRDefault="00865FA3">
      <w:pPr>
        <w:pStyle w:val="Standard"/>
        <w:jc w:val="both"/>
      </w:pPr>
      <w:r>
        <w:t>1.4.1. Nawierzchnia – konstrukcja składająca się z jednej lub kilku warstw, służących do przejmowania i rozkładania na podłoże obciążeń od ruchu pojazdów.</w:t>
      </w:r>
    </w:p>
    <w:p w:rsidR="00B77F00" w:rsidRDefault="00865FA3">
      <w:pPr>
        <w:pStyle w:val="Standard"/>
        <w:jc w:val="both"/>
      </w:pPr>
      <w:r>
        <w:t xml:space="preserve">1.4.2. Mieszanka </w:t>
      </w:r>
      <w:r>
        <w:t>mineralno-asfaltowa – mieszanka kruszywa i lepiszcza asfaltowego.</w:t>
      </w:r>
    </w:p>
    <w:p w:rsidR="00B77F00" w:rsidRDefault="00865FA3">
      <w:pPr>
        <w:pStyle w:val="Standard"/>
        <w:jc w:val="both"/>
      </w:pPr>
      <w:r>
        <w:t>1.4.3. Wymiar mieszanki mineralno-asfaltowej – określenie mieszanki mineralno-asfaltowej ze względu na wymiar największego ziarna kruszywa, np. wymiar 8 lub 11.</w:t>
      </w:r>
    </w:p>
    <w:p w:rsidR="00B77F00" w:rsidRDefault="00865FA3">
      <w:pPr>
        <w:pStyle w:val="Standard"/>
        <w:jc w:val="both"/>
      </w:pPr>
      <w:r>
        <w:t>1.4.4. Asfalt lany – mieszank</w:t>
      </w:r>
      <w:r>
        <w:t>a mineralno-asfaltowa o bardzo małej zawartości wolnych przestrzeni, w której objętość wypełniacza i lepiszcza jest większa niż objętość wolnych przestrzeni w kruszywie.</w:t>
      </w:r>
    </w:p>
    <w:p w:rsidR="00B77F00" w:rsidRDefault="00865FA3">
      <w:pPr>
        <w:pStyle w:val="Standard"/>
        <w:jc w:val="both"/>
      </w:pPr>
      <w:r>
        <w:t>1.4.5. Skład mieszanki (recepta) – docelowy skład mieszanki mineralno-asfaltowej, któr</w:t>
      </w:r>
      <w:r>
        <w:t>y może być podany jako wejściowy lub wyjściowy.</w:t>
      </w:r>
    </w:p>
    <w:p w:rsidR="00B77F00" w:rsidRDefault="00865FA3">
      <w:pPr>
        <w:pStyle w:val="Standard"/>
        <w:jc w:val="both"/>
      </w:pPr>
      <w:r>
        <w:t xml:space="preserve">1.4.6. Wejściowy skład mieszanki – skład mieszanki zawierający: materiały składowe, krzywą uziarnienia i procentową zawartość lepiszcza w stosunku do mieszanki mineralno-asfaltowej (zazwyczaj wynik walidacji </w:t>
      </w:r>
      <w:r>
        <w:t>laboratoryjnie zaprojektowanego składu mieszanki).</w:t>
      </w:r>
    </w:p>
    <w:p w:rsidR="00B77F00" w:rsidRDefault="00865FA3">
      <w:pPr>
        <w:pStyle w:val="Standard"/>
        <w:jc w:val="both"/>
      </w:pPr>
      <w:r>
        <w:t>1.4.7. Wyjściowy skład mieszanki – skład mieszanki zawierający: materiały składowe, uśrednione wyniki uziarnienia oraz zawartość lepiszcza rozpuszczalnego, oznaczone laboratoryjnie (zazwyczaj wynik walidac</w:t>
      </w:r>
      <w:r>
        <w:t>ji produkcji).</w:t>
      </w:r>
    </w:p>
    <w:p w:rsidR="00B77F00" w:rsidRDefault="00865FA3">
      <w:pPr>
        <w:pStyle w:val="Standard"/>
        <w:jc w:val="both"/>
      </w:pPr>
      <w:r>
        <w:t>1.4.8. Dodatek – materiał, który może być dodawany do mieszanki w małych ilościach (np. włókna organiczne i nieorganiczne lub polimery) w celu poprawy jej cech mechanicznych, urabialności lub koloru.</w:t>
      </w:r>
    </w:p>
    <w:p w:rsidR="00B77F00" w:rsidRDefault="00865FA3">
      <w:pPr>
        <w:pStyle w:val="Standard"/>
        <w:jc w:val="both"/>
      </w:pPr>
      <w:r>
        <w:t>1.4.9. Warstwa technologiczna – konstrukc</w:t>
      </w:r>
      <w:r>
        <w:t>yjny element nawierzchni układany w pojedynczej operacji.</w:t>
      </w:r>
    </w:p>
    <w:p w:rsidR="00B77F00" w:rsidRDefault="00865FA3">
      <w:pPr>
        <w:pStyle w:val="Standard"/>
        <w:jc w:val="both"/>
      </w:pPr>
      <w:r>
        <w:lastRenderedPageBreak/>
        <w:t>1.4.10. Kategoria ruchu (KR) - obciążenie drogi ruchem samochodowym, wyrażone w osiach obliczeniowych (100 kN) na obliczeniowy pas ruchu na dobę.</w:t>
      </w:r>
    </w:p>
    <w:p w:rsidR="00B77F00" w:rsidRDefault="00865FA3">
      <w:pPr>
        <w:pStyle w:val="Standard"/>
        <w:jc w:val="both"/>
      </w:pPr>
      <w:r>
        <w:t xml:space="preserve">1.4.11. Pozostałe określenia podstawowe są zgodne z </w:t>
      </w:r>
      <w:r>
        <w:t>obowiązującymi, odpowiednimi polskimi normami i z definicjami podanymi w DM.00.00.00 „Wymagania ogólne” pkt 1.4.</w:t>
      </w:r>
    </w:p>
    <w:p w:rsidR="00B77F00" w:rsidRDefault="00865FA3">
      <w:pPr>
        <w:pStyle w:val="Standard"/>
        <w:jc w:val="both"/>
      </w:pPr>
      <w:r>
        <w:t>1.5. Ogólne wymagania dotyczące robót</w:t>
      </w:r>
    </w:p>
    <w:p w:rsidR="00B77F00" w:rsidRDefault="00865FA3">
      <w:pPr>
        <w:pStyle w:val="Standard"/>
        <w:jc w:val="both"/>
      </w:pPr>
      <w:r>
        <w:t>Ogólne wymagania dotyczące robót podano w ST DM.00.00.00 „Wymagania ogólne”.</w:t>
      </w:r>
    </w:p>
    <w:p w:rsidR="00B77F00" w:rsidRDefault="00B77F00">
      <w:pPr>
        <w:pStyle w:val="Standard"/>
        <w:jc w:val="both"/>
      </w:pPr>
    </w:p>
    <w:p w:rsidR="00B77F00" w:rsidRDefault="00865FA3">
      <w:pPr>
        <w:pStyle w:val="Standard"/>
        <w:jc w:val="both"/>
        <w:rPr>
          <w:b/>
          <w:bCs/>
        </w:rPr>
      </w:pPr>
      <w:r>
        <w:rPr>
          <w:b/>
          <w:bCs/>
        </w:rPr>
        <w:t>2. MATERIAŁY</w:t>
      </w:r>
    </w:p>
    <w:p w:rsidR="00B77F00" w:rsidRDefault="00865FA3">
      <w:pPr>
        <w:pStyle w:val="Standard"/>
        <w:jc w:val="both"/>
      </w:pPr>
      <w:r>
        <w:t>2.1. Ogólne wy</w:t>
      </w:r>
      <w:r>
        <w:t>magania dotyczące materiałów</w:t>
      </w:r>
    </w:p>
    <w:p w:rsidR="00B77F00" w:rsidRDefault="00865FA3">
      <w:pPr>
        <w:pStyle w:val="Standard"/>
        <w:jc w:val="both"/>
      </w:pPr>
      <w:r>
        <w:t>Ogólne wymagania dotyczące materiałów, ich pozyskiwania i składowania, podano w ST DM.00.00.00 „Wymagania ogólne”.</w:t>
      </w:r>
    </w:p>
    <w:p w:rsidR="00B77F00" w:rsidRDefault="00865FA3">
      <w:pPr>
        <w:pStyle w:val="Standard"/>
        <w:jc w:val="both"/>
      </w:pPr>
      <w:r>
        <w:t>Należy stosować materiały, które są oznakowane znakiem CE lub B zgodnie z ustawą o wyrobach budowlanych.</w:t>
      </w:r>
    </w:p>
    <w:p w:rsidR="00B77F00" w:rsidRDefault="00865FA3">
      <w:pPr>
        <w:pStyle w:val="Standard"/>
        <w:jc w:val="both"/>
      </w:pPr>
      <w:r>
        <w:t>2.2. Kr</w:t>
      </w:r>
      <w:r>
        <w:t>uszywo</w:t>
      </w:r>
    </w:p>
    <w:p w:rsidR="00B77F00" w:rsidRDefault="00865FA3">
      <w:pPr>
        <w:pStyle w:val="Standard"/>
        <w:jc w:val="both"/>
      </w:pPr>
      <w:r>
        <w:t>2.2.1. Kruszywo do mieszanki mineralnej</w:t>
      </w:r>
    </w:p>
    <w:p w:rsidR="00B77F00" w:rsidRDefault="00865FA3">
      <w:pPr>
        <w:pStyle w:val="Standard"/>
        <w:jc w:val="both"/>
      </w:pPr>
      <w:r>
        <w:t>2.2.1.1. Uziarnienie</w:t>
      </w:r>
    </w:p>
    <w:p w:rsidR="00B77F00" w:rsidRDefault="00865FA3">
      <w:pPr>
        <w:pStyle w:val="Standard"/>
        <w:jc w:val="both"/>
      </w:pPr>
      <w:r>
        <w:t>Kruszywo grube do asfaltu lanego, w zależności od kategorii obciążenia ruchem, powinno spełniać wymagania normy PN-EN 13043:2004 podane w tablicy 1.</w:t>
      </w:r>
    </w:p>
    <w:p w:rsidR="00B77F00" w:rsidRDefault="00B77F00">
      <w:pPr>
        <w:pStyle w:val="Standard"/>
      </w:pPr>
    </w:p>
    <w:p w:rsidR="00B77F00" w:rsidRDefault="00865FA3">
      <w:pPr>
        <w:pStyle w:val="Standard"/>
      </w:pPr>
      <w:r>
        <w:t>Tablica 1. Wymagane właściwości kruszy</w:t>
      </w:r>
      <w:r>
        <w:t>wa grubego do przeciwspadku z asfaltu lanego</w:t>
      </w:r>
    </w:p>
    <w:tbl>
      <w:tblPr>
        <w:tblW w:w="9638" w:type="dxa"/>
        <w:tblLayout w:type="fixed"/>
        <w:tblCellMar>
          <w:left w:w="10" w:type="dxa"/>
          <w:right w:w="10" w:type="dxa"/>
        </w:tblCellMar>
        <w:tblLook w:val="0000" w:firstRow="0" w:lastRow="0" w:firstColumn="0" w:lastColumn="0" w:noHBand="0" w:noVBand="0"/>
      </w:tblPr>
      <w:tblGrid>
        <w:gridCol w:w="644"/>
        <w:gridCol w:w="6415"/>
        <w:gridCol w:w="2579"/>
      </w:tblGrid>
      <w:tr w:rsidR="00B77F00">
        <w:tblPrEx>
          <w:tblCellMar>
            <w:top w:w="0" w:type="dxa"/>
            <w:bottom w:w="0" w:type="dxa"/>
          </w:tblCellMar>
        </w:tblPrEx>
        <w:trPr>
          <w:cantSplit/>
          <w:tblHeader/>
        </w:trPr>
        <w:tc>
          <w:tcPr>
            <w:tcW w:w="644"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tcPr>
          <w:p w:rsidR="00B77F00" w:rsidRDefault="00865FA3">
            <w:pPr>
              <w:pStyle w:val="Standard"/>
              <w:rPr>
                <w:szCs w:val="20"/>
              </w:rPr>
            </w:pPr>
            <w:r>
              <w:rPr>
                <w:rFonts w:eastAsia="Times New Roman" w:cs="Times New Roman"/>
                <w:spacing w:val="-2"/>
                <w:szCs w:val="20"/>
              </w:rPr>
              <w:t>L</w:t>
            </w:r>
            <w:r>
              <w:rPr>
                <w:rFonts w:eastAsia="Times New Roman" w:cs="Times New Roman"/>
                <w:spacing w:val="1"/>
                <w:szCs w:val="20"/>
              </w:rPr>
              <w:t>p</w:t>
            </w:r>
            <w:r>
              <w:rPr>
                <w:rFonts w:eastAsia="Times New Roman" w:cs="Times New Roman"/>
                <w:szCs w:val="20"/>
              </w:rPr>
              <w:t>.</w:t>
            </w:r>
          </w:p>
        </w:tc>
        <w:tc>
          <w:tcPr>
            <w:tcW w:w="641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tcPr>
          <w:p w:rsidR="00B77F00" w:rsidRDefault="00865FA3">
            <w:pPr>
              <w:pStyle w:val="Standard"/>
              <w:rPr>
                <w:szCs w:val="20"/>
              </w:rPr>
            </w:pPr>
            <w:r>
              <w:rPr>
                <w:rFonts w:eastAsia="Times New Roman" w:cs="Times New Roman"/>
                <w:spacing w:val="1"/>
                <w:szCs w:val="20"/>
              </w:rPr>
              <w:t>W</w:t>
            </w:r>
            <w:r>
              <w:rPr>
                <w:rFonts w:eastAsia="Times New Roman" w:cs="Times New Roman"/>
                <w:szCs w:val="20"/>
              </w:rPr>
              <w:t>łaśc</w:t>
            </w:r>
            <w:r>
              <w:rPr>
                <w:rFonts w:eastAsia="Times New Roman" w:cs="Times New Roman"/>
                <w:spacing w:val="2"/>
                <w:szCs w:val="20"/>
              </w:rPr>
              <w:t>i</w:t>
            </w:r>
            <w:r>
              <w:rPr>
                <w:rFonts w:eastAsia="Times New Roman" w:cs="Times New Roman"/>
                <w:spacing w:val="-5"/>
                <w:szCs w:val="20"/>
              </w:rPr>
              <w:t>w</w:t>
            </w:r>
            <w:r>
              <w:rPr>
                <w:rFonts w:eastAsia="Times New Roman" w:cs="Times New Roman"/>
                <w:spacing w:val="3"/>
                <w:szCs w:val="20"/>
              </w:rPr>
              <w:t>o</w:t>
            </w:r>
            <w:r>
              <w:rPr>
                <w:rFonts w:eastAsia="Times New Roman" w:cs="Times New Roman"/>
                <w:spacing w:val="-1"/>
                <w:szCs w:val="20"/>
              </w:rPr>
              <w:t>ś</w:t>
            </w:r>
            <w:r>
              <w:rPr>
                <w:rFonts w:eastAsia="Times New Roman" w:cs="Times New Roman"/>
                <w:szCs w:val="20"/>
              </w:rPr>
              <w:t>ci</w:t>
            </w:r>
            <w:r>
              <w:rPr>
                <w:rFonts w:eastAsia="Times New Roman" w:cs="Times New Roman"/>
                <w:spacing w:val="-10"/>
                <w:szCs w:val="20"/>
              </w:rPr>
              <w:t xml:space="preserve"> </w:t>
            </w:r>
            <w:r>
              <w:rPr>
                <w:rFonts w:eastAsia="Times New Roman" w:cs="Times New Roman"/>
                <w:spacing w:val="-1"/>
                <w:szCs w:val="20"/>
              </w:rPr>
              <w:t>k</w:t>
            </w:r>
            <w:r>
              <w:rPr>
                <w:rFonts w:eastAsia="Times New Roman" w:cs="Times New Roman"/>
                <w:spacing w:val="3"/>
                <w:szCs w:val="20"/>
              </w:rPr>
              <w:t>r</w:t>
            </w:r>
            <w:r>
              <w:rPr>
                <w:rFonts w:eastAsia="Times New Roman" w:cs="Times New Roman"/>
                <w:spacing w:val="-1"/>
                <w:szCs w:val="20"/>
              </w:rPr>
              <w:t>us</w:t>
            </w:r>
            <w:r>
              <w:rPr>
                <w:rFonts w:eastAsia="Times New Roman" w:cs="Times New Roman"/>
                <w:spacing w:val="3"/>
                <w:szCs w:val="20"/>
              </w:rPr>
              <w:t>z</w:t>
            </w:r>
            <w:r>
              <w:rPr>
                <w:rFonts w:eastAsia="Times New Roman" w:cs="Times New Roman"/>
                <w:spacing w:val="1"/>
                <w:szCs w:val="20"/>
              </w:rPr>
              <w:t>y</w:t>
            </w:r>
            <w:r>
              <w:rPr>
                <w:rFonts w:eastAsia="Times New Roman" w:cs="Times New Roman"/>
                <w:spacing w:val="-2"/>
                <w:szCs w:val="20"/>
              </w:rPr>
              <w:t>w</w:t>
            </w:r>
            <w:r>
              <w:rPr>
                <w:rFonts w:eastAsia="Times New Roman" w:cs="Times New Roman"/>
                <w:szCs w:val="20"/>
              </w:rPr>
              <w:t>a</w:t>
            </w:r>
          </w:p>
        </w:tc>
        <w:tc>
          <w:tcPr>
            <w:tcW w:w="2579"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tcPr>
          <w:p w:rsidR="00B77F00" w:rsidRDefault="00865FA3">
            <w:pPr>
              <w:pStyle w:val="Standard"/>
              <w:rPr>
                <w:szCs w:val="20"/>
              </w:rPr>
            </w:pPr>
            <w:r>
              <w:rPr>
                <w:rFonts w:eastAsia="Times New Roman" w:cs="Times New Roman"/>
                <w:szCs w:val="20"/>
              </w:rPr>
              <w:t>K</w:t>
            </w:r>
            <w:r>
              <w:rPr>
                <w:rFonts w:eastAsia="Times New Roman" w:cs="Times New Roman"/>
                <w:spacing w:val="-1"/>
                <w:szCs w:val="20"/>
              </w:rPr>
              <w:t>R</w:t>
            </w:r>
            <w:r>
              <w:rPr>
                <w:rFonts w:eastAsia="Times New Roman" w:cs="Times New Roman"/>
                <w:spacing w:val="1"/>
                <w:szCs w:val="20"/>
              </w:rPr>
              <w:t>5</w:t>
            </w:r>
            <w:r>
              <w:rPr>
                <w:rFonts w:eastAsia="Times New Roman" w:cs="Times New Roman"/>
                <w:spacing w:val="-2"/>
                <w:szCs w:val="20"/>
              </w:rPr>
              <w:t>-</w:t>
            </w:r>
            <w:r>
              <w:rPr>
                <w:rFonts w:eastAsia="Times New Roman" w:cs="Times New Roman"/>
                <w:spacing w:val="2"/>
                <w:szCs w:val="20"/>
              </w:rPr>
              <w:t>K</w:t>
            </w:r>
            <w:r>
              <w:rPr>
                <w:rFonts w:eastAsia="Times New Roman" w:cs="Times New Roman"/>
                <w:spacing w:val="-1"/>
                <w:szCs w:val="20"/>
              </w:rPr>
              <w:t>R</w:t>
            </w:r>
            <w:r>
              <w:rPr>
                <w:rFonts w:eastAsia="Times New Roman" w:cs="Times New Roman"/>
                <w:szCs w:val="20"/>
              </w:rPr>
              <w:t>6</w:t>
            </w:r>
          </w:p>
        </w:tc>
      </w:tr>
      <w:tr w:rsidR="00B77F00">
        <w:tblPrEx>
          <w:tblCellMar>
            <w:top w:w="0" w:type="dxa"/>
            <w:bottom w:w="0" w:type="dxa"/>
          </w:tblCellMar>
        </w:tblPrEx>
        <w:trPr>
          <w:cantSplit/>
        </w:trPr>
        <w:tc>
          <w:tcPr>
            <w:tcW w:w="644"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w w:val="99"/>
                <w:szCs w:val="20"/>
              </w:rPr>
            </w:pPr>
            <w:r>
              <w:rPr>
                <w:rFonts w:eastAsia="Times New Roman" w:cs="Times New Roman"/>
                <w:w w:val="99"/>
                <w:szCs w:val="20"/>
              </w:rPr>
              <w:t>1</w:t>
            </w:r>
          </w:p>
        </w:tc>
        <w:tc>
          <w:tcPr>
            <w:tcW w:w="641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Uzi</w:t>
            </w:r>
            <w:r>
              <w:rPr>
                <w:rFonts w:eastAsia="Times New Roman" w:cs="Times New Roman"/>
                <w:spacing w:val="1"/>
                <w:szCs w:val="20"/>
              </w:rPr>
              <w:t>ar</w:t>
            </w:r>
            <w:r>
              <w:rPr>
                <w:rFonts w:eastAsia="Times New Roman" w:cs="Times New Roman"/>
                <w:spacing w:val="-1"/>
                <w:szCs w:val="20"/>
              </w:rPr>
              <w:t>n</w:t>
            </w:r>
            <w:r>
              <w:rPr>
                <w:rFonts w:eastAsia="Times New Roman" w:cs="Times New Roman"/>
                <w:szCs w:val="20"/>
              </w:rPr>
              <w:t>i</w:t>
            </w:r>
            <w:r>
              <w:rPr>
                <w:rFonts w:eastAsia="Times New Roman" w:cs="Times New Roman"/>
                <w:spacing w:val="2"/>
                <w:szCs w:val="20"/>
              </w:rPr>
              <w:t>e</w:t>
            </w:r>
            <w:r>
              <w:rPr>
                <w:rFonts w:eastAsia="Times New Roman" w:cs="Times New Roman"/>
                <w:spacing w:val="-1"/>
                <w:szCs w:val="20"/>
              </w:rPr>
              <w:t>n</w:t>
            </w:r>
            <w:r>
              <w:rPr>
                <w:rFonts w:eastAsia="Times New Roman" w:cs="Times New Roman"/>
                <w:szCs w:val="20"/>
              </w:rPr>
              <w:t>ie</w:t>
            </w:r>
            <w:r>
              <w:rPr>
                <w:rFonts w:eastAsia="Times New Roman" w:cs="Times New Roman"/>
                <w:spacing w:val="-6"/>
                <w:szCs w:val="20"/>
              </w:rPr>
              <w:t xml:space="preserve"> </w:t>
            </w:r>
            <w:r>
              <w:rPr>
                <w:rFonts w:eastAsia="Times New Roman" w:cs="Times New Roman"/>
                <w:spacing w:val="-2"/>
                <w:szCs w:val="20"/>
              </w:rPr>
              <w:t>w</w:t>
            </w:r>
            <w:r>
              <w:rPr>
                <w:rFonts w:eastAsia="Times New Roman" w:cs="Times New Roman"/>
                <w:szCs w:val="20"/>
              </w:rPr>
              <w:t>e</w:t>
            </w:r>
            <w:r>
              <w:rPr>
                <w:rFonts w:eastAsia="Times New Roman" w:cs="Times New Roman"/>
                <w:spacing w:val="1"/>
                <w:szCs w:val="20"/>
              </w:rPr>
              <w:t>d</w:t>
            </w:r>
            <w:r>
              <w:rPr>
                <w:rFonts w:eastAsia="Times New Roman" w:cs="Times New Roman"/>
                <w:szCs w:val="20"/>
              </w:rPr>
              <w:t>ł</w:t>
            </w:r>
            <w:r>
              <w:rPr>
                <w:rFonts w:eastAsia="Times New Roman" w:cs="Times New Roman"/>
                <w:spacing w:val="1"/>
                <w:szCs w:val="20"/>
              </w:rPr>
              <w:t>u</w:t>
            </w:r>
            <w:r>
              <w:rPr>
                <w:rFonts w:eastAsia="Times New Roman" w:cs="Times New Roman"/>
                <w:szCs w:val="20"/>
              </w:rPr>
              <w:t>g</w:t>
            </w:r>
            <w:r>
              <w:rPr>
                <w:rFonts w:eastAsia="Times New Roman" w:cs="Times New Roman"/>
                <w:spacing w:val="-7"/>
                <w:szCs w:val="20"/>
              </w:rPr>
              <w:t xml:space="preserve"> </w:t>
            </w:r>
            <w:r>
              <w:rPr>
                <w:rFonts w:eastAsia="Times New Roman" w:cs="Times New Roman"/>
                <w:spacing w:val="2"/>
                <w:szCs w:val="20"/>
              </w:rPr>
              <w:t>PN</w:t>
            </w:r>
            <w:r>
              <w:rPr>
                <w:rFonts w:eastAsia="Times New Roman" w:cs="Times New Roman"/>
                <w:spacing w:val="-2"/>
                <w:szCs w:val="20"/>
              </w:rPr>
              <w:t>-</w:t>
            </w:r>
            <w:r>
              <w:rPr>
                <w:rFonts w:eastAsia="Times New Roman" w:cs="Times New Roman"/>
                <w:szCs w:val="20"/>
              </w:rPr>
              <w:t>EN</w:t>
            </w:r>
            <w:r>
              <w:rPr>
                <w:rFonts w:eastAsia="Times New Roman" w:cs="Times New Roman"/>
                <w:spacing w:val="-6"/>
                <w:szCs w:val="20"/>
              </w:rPr>
              <w:t xml:space="preserve"> </w:t>
            </w:r>
            <w:r>
              <w:rPr>
                <w:rFonts w:eastAsia="Times New Roman" w:cs="Times New Roman"/>
                <w:spacing w:val="3"/>
                <w:szCs w:val="20"/>
              </w:rPr>
              <w:t>9</w:t>
            </w:r>
            <w:r>
              <w:rPr>
                <w:rFonts w:eastAsia="Times New Roman" w:cs="Times New Roman"/>
                <w:spacing w:val="1"/>
                <w:szCs w:val="20"/>
              </w:rPr>
              <w:t>3</w:t>
            </w:r>
            <w:r>
              <w:rPr>
                <w:rFonts w:eastAsia="Times New Roman" w:cs="Times New Roman"/>
                <w:spacing w:val="2"/>
                <w:szCs w:val="20"/>
              </w:rPr>
              <w:t>3</w:t>
            </w:r>
            <w:r>
              <w:rPr>
                <w:rFonts w:eastAsia="Times New Roman" w:cs="Times New Roman"/>
                <w:spacing w:val="-2"/>
                <w:szCs w:val="20"/>
              </w:rPr>
              <w:t>-</w:t>
            </w:r>
            <w:r>
              <w:rPr>
                <w:rFonts w:eastAsia="Times New Roman" w:cs="Times New Roman"/>
                <w:spacing w:val="1"/>
                <w:szCs w:val="20"/>
              </w:rPr>
              <w:t>1</w:t>
            </w:r>
            <w:r>
              <w:rPr>
                <w:rFonts w:eastAsia="Times New Roman" w:cs="Times New Roman"/>
                <w:szCs w:val="20"/>
              </w:rPr>
              <w:t>;</w:t>
            </w:r>
            <w:r>
              <w:rPr>
                <w:rFonts w:eastAsia="Times New Roman" w:cs="Times New Roman"/>
                <w:spacing w:val="-5"/>
                <w:szCs w:val="20"/>
              </w:rPr>
              <w:t xml:space="preserve"> </w:t>
            </w:r>
            <w:r>
              <w:rPr>
                <w:rFonts w:eastAsia="Times New Roman" w:cs="Times New Roman"/>
                <w:spacing w:val="-1"/>
                <w:szCs w:val="20"/>
              </w:rPr>
              <w:t>k</w:t>
            </w:r>
            <w:r>
              <w:rPr>
                <w:rFonts w:eastAsia="Times New Roman" w:cs="Times New Roman"/>
                <w:szCs w:val="20"/>
              </w:rPr>
              <w:t>ate</w:t>
            </w:r>
            <w:r>
              <w:rPr>
                <w:rFonts w:eastAsia="Times New Roman" w:cs="Times New Roman"/>
                <w:spacing w:val="-1"/>
                <w:szCs w:val="20"/>
              </w:rPr>
              <w:t>g</w:t>
            </w:r>
            <w:r>
              <w:rPr>
                <w:rFonts w:eastAsia="Times New Roman" w:cs="Times New Roman"/>
                <w:spacing w:val="1"/>
                <w:szCs w:val="20"/>
              </w:rPr>
              <w:t>or</w:t>
            </w:r>
            <w:r>
              <w:rPr>
                <w:rFonts w:eastAsia="Times New Roman" w:cs="Times New Roman"/>
                <w:szCs w:val="20"/>
              </w:rPr>
              <w:t>ia</w:t>
            </w:r>
            <w:r>
              <w:rPr>
                <w:rFonts w:eastAsia="Times New Roman" w:cs="Times New Roman"/>
                <w:spacing w:val="-7"/>
                <w:szCs w:val="20"/>
              </w:rPr>
              <w:t xml:space="preserve"> </w:t>
            </w:r>
            <w:r>
              <w:rPr>
                <w:rFonts w:eastAsia="Times New Roman" w:cs="Times New Roman"/>
                <w:spacing w:val="-1"/>
                <w:szCs w:val="20"/>
              </w:rPr>
              <w:t>n</w:t>
            </w:r>
            <w:r>
              <w:rPr>
                <w:rFonts w:eastAsia="Times New Roman" w:cs="Times New Roman"/>
                <w:szCs w:val="20"/>
              </w:rPr>
              <w:t>ie</w:t>
            </w:r>
            <w:r>
              <w:rPr>
                <w:rFonts w:eastAsia="Times New Roman" w:cs="Times New Roman"/>
                <w:spacing w:val="1"/>
                <w:szCs w:val="20"/>
              </w:rPr>
              <w:t xml:space="preserve"> </w:t>
            </w:r>
            <w:r>
              <w:rPr>
                <w:rFonts w:eastAsia="Times New Roman" w:cs="Times New Roman"/>
                <w:spacing w:val="-1"/>
                <w:szCs w:val="20"/>
              </w:rPr>
              <w:t>n</w:t>
            </w:r>
            <w:r>
              <w:rPr>
                <w:rFonts w:eastAsia="Times New Roman" w:cs="Times New Roman"/>
                <w:szCs w:val="20"/>
              </w:rPr>
              <w:t>i</w:t>
            </w:r>
            <w:r>
              <w:rPr>
                <w:rFonts w:eastAsia="Times New Roman" w:cs="Times New Roman"/>
                <w:spacing w:val="2"/>
                <w:szCs w:val="20"/>
              </w:rPr>
              <w:t>ż</w:t>
            </w:r>
            <w:r>
              <w:rPr>
                <w:rFonts w:eastAsia="Times New Roman" w:cs="Times New Roman"/>
                <w:spacing w:val="-1"/>
                <w:szCs w:val="20"/>
              </w:rPr>
              <w:t>s</w:t>
            </w:r>
            <w:r>
              <w:rPr>
                <w:rFonts w:eastAsia="Times New Roman" w:cs="Times New Roman"/>
                <w:szCs w:val="20"/>
              </w:rPr>
              <w:t>za</w:t>
            </w:r>
            <w:r>
              <w:rPr>
                <w:rFonts w:eastAsia="Times New Roman" w:cs="Times New Roman"/>
                <w:spacing w:val="-4"/>
                <w:szCs w:val="20"/>
              </w:rPr>
              <w:t xml:space="preserve"> </w:t>
            </w:r>
            <w:r>
              <w:rPr>
                <w:rFonts w:eastAsia="Times New Roman" w:cs="Times New Roman"/>
                <w:spacing w:val="-1"/>
                <w:szCs w:val="20"/>
              </w:rPr>
              <w:t>n</w:t>
            </w:r>
            <w:r>
              <w:rPr>
                <w:rFonts w:eastAsia="Times New Roman" w:cs="Times New Roman"/>
                <w:szCs w:val="20"/>
              </w:rPr>
              <w:t>iż:</w:t>
            </w:r>
          </w:p>
        </w:tc>
        <w:tc>
          <w:tcPr>
            <w:tcW w:w="2579"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G</w:t>
            </w:r>
            <w:r>
              <w:rPr>
                <w:rFonts w:eastAsia="Times New Roman" w:cs="Times New Roman"/>
                <w:position w:val="-5"/>
                <w:szCs w:val="20"/>
              </w:rPr>
              <w:t>C</w:t>
            </w:r>
            <w:r>
              <w:rPr>
                <w:rFonts w:eastAsia="Times New Roman" w:cs="Times New Roman"/>
                <w:spacing w:val="1"/>
                <w:szCs w:val="20"/>
              </w:rPr>
              <w:t>90</w:t>
            </w:r>
            <w:r>
              <w:rPr>
                <w:rFonts w:eastAsia="Times New Roman" w:cs="Times New Roman"/>
                <w:szCs w:val="20"/>
              </w:rPr>
              <w:t>/</w:t>
            </w:r>
            <w:r>
              <w:rPr>
                <w:rFonts w:eastAsia="Times New Roman" w:cs="Times New Roman"/>
                <w:spacing w:val="1"/>
                <w:szCs w:val="20"/>
              </w:rPr>
              <w:t>1</w:t>
            </w:r>
            <w:r>
              <w:rPr>
                <w:rFonts w:eastAsia="Times New Roman" w:cs="Times New Roman"/>
                <w:szCs w:val="20"/>
              </w:rPr>
              <w:t>5</w:t>
            </w:r>
          </w:p>
        </w:tc>
      </w:tr>
      <w:tr w:rsidR="00B77F00">
        <w:tblPrEx>
          <w:tblCellMar>
            <w:top w:w="0" w:type="dxa"/>
            <w:bottom w:w="0" w:type="dxa"/>
          </w:tblCellMar>
        </w:tblPrEx>
        <w:trPr>
          <w:cantSplit/>
        </w:trPr>
        <w:tc>
          <w:tcPr>
            <w:tcW w:w="644"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w w:val="99"/>
                <w:szCs w:val="20"/>
              </w:rPr>
            </w:pPr>
            <w:r>
              <w:rPr>
                <w:rFonts w:eastAsia="Times New Roman" w:cs="Times New Roman"/>
                <w:w w:val="99"/>
                <w:szCs w:val="20"/>
              </w:rPr>
              <w:t>2</w:t>
            </w:r>
          </w:p>
        </w:tc>
        <w:tc>
          <w:tcPr>
            <w:tcW w:w="641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3"/>
                <w:szCs w:val="20"/>
              </w:rPr>
              <w:t>T</w:t>
            </w:r>
            <w:r>
              <w:rPr>
                <w:rFonts w:eastAsia="Times New Roman" w:cs="Times New Roman"/>
                <w:spacing w:val="1"/>
                <w:szCs w:val="20"/>
              </w:rPr>
              <w:t>o</w:t>
            </w:r>
            <w:r>
              <w:rPr>
                <w:rFonts w:eastAsia="Times New Roman" w:cs="Times New Roman"/>
                <w:szCs w:val="20"/>
              </w:rPr>
              <w:t>l</w:t>
            </w:r>
            <w:r>
              <w:rPr>
                <w:rFonts w:eastAsia="Times New Roman" w:cs="Times New Roman"/>
                <w:spacing w:val="-2"/>
                <w:szCs w:val="20"/>
              </w:rPr>
              <w:t>e</w:t>
            </w:r>
            <w:r>
              <w:rPr>
                <w:rFonts w:eastAsia="Times New Roman" w:cs="Times New Roman"/>
                <w:spacing w:val="1"/>
                <w:szCs w:val="20"/>
              </w:rPr>
              <w:t>r</w:t>
            </w:r>
            <w:r>
              <w:rPr>
                <w:rFonts w:eastAsia="Times New Roman" w:cs="Times New Roman"/>
                <w:szCs w:val="20"/>
              </w:rPr>
              <w:t>a</w:t>
            </w:r>
            <w:r>
              <w:rPr>
                <w:rFonts w:eastAsia="Times New Roman" w:cs="Times New Roman"/>
                <w:spacing w:val="-1"/>
                <w:szCs w:val="20"/>
              </w:rPr>
              <w:t>n</w:t>
            </w:r>
            <w:r>
              <w:rPr>
                <w:rFonts w:eastAsia="Times New Roman" w:cs="Times New Roman"/>
                <w:szCs w:val="20"/>
              </w:rPr>
              <w:t>c</w:t>
            </w:r>
            <w:r>
              <w:rPr>
                <w:rFonts w:eastAsia="Times New Roman" w:cs="Times New Roman"/>
                <w:spacing w:val="2"/>
                <w:szCs w:val="20"/>
              </w:rPr>
              <w:t>j</w:t>
            </w:r>
            <w:r>
              <w:rPr>
                <w:rFonts w:eastAsia="Times New Roman" w:cs="Times New Roman"/>
                <w:szCs w:val="20"/>
              </w:rPr>
              <w:t>a</w:t>
            </w:r>
            <w:r>
              <w:rPr>
                <w:rFonts w:eastAsia="Times New Roman" w:cs="Times New Roman"/>
                <w:spacing w:val="-8"/>
                <w:szCs w:val="20"/>
              </w:rPr>
              <w:t xml:space="preserve"> </w:t>
            </w:r>
            <w:r>
              <w:rPr>
                <w:rFonts w:eastAsia="Times New Roman" w:cs="Times New Roman"/>
                <w:spacing w:val="-1"/>
                <w:szCs w:val="20"/>
              </w:rPr>
              <w:t>u</w:t>
            </w:r>
            <w:r>
              <w:rPr>
                <w:rFonts w:eastAsia="Times New Roman" w:cs="Times New Roman"/>
                <w:szCs w:val="20"/>
              </w:rPr>
              <w:t>zia</w:t>
            </w:r>
            <w:r>
              <w:rPr>
                <w:rFonts w:eastAsia="Times New Roman" w:cs="Times New Roman"/>
                <w:spacing w:val="1"/>
                <w:szCs w:val="20"/>
              </w:rPr>
              <w:t>r</w:t>
            </w:r>
            <w:r>
              <w:rPr>
                <w:rFonts w:eastAsia="Times New Roman" w:cs="Times New Roman"/>
                <w:spacing w:val="-1"/>
                <w:szCs w:val="20"/>
              </w:rPr>
              <w:t>n</w:t>
            </w:r>
            <w:r>
              <w:rPr>
                <w:rFonts w:eastAsia="Times New Roman" w:cs="Times New Roman"/>
                <w:szCs w:val="20"/>
              </w:rPr>
              <w:t>ie</w:t>
            </w:r>
            <w:r>
              <w:rPr>
                <w:rFonts w:eastAsia="Times New Roman" w:cs="Times New Roman"/>
                <w:spacing w:val="-1"/>
                <w:szCs w:val="20"/>
              </w:rPr>
              <w:t>n</w:t>
            </w:r>
            <w:r>
              <w:rPr>
                <w:rFonts w:eastAsia="Times New Roman" w:cs="Times New Roman"/>
                <w:szCs w:val="20"/>
              </w:rPr>
              <w:t>ia;</w:t>
            </w:r>
            <w:r>
              <w:rPr>
                <w:rFonts w:eastAsia="Times New Roman" w:cs="Times New Roman"/>
                <w:spacing w:val="-9"/>
                <w:szCs w:val="20"/>
              </w:rPr>
              <w:t xml:space="preserve"> </w:t>
            </w:r>
            <w:r>
              <w:rPr>
                <w:rFonts w:eastAsia="Times New Roman" w:cs="Times New Roman"/>
                <w:spacing w:val="1"/>
                <w:szCs w:val="20"/>
              </w:rPr>
              <w:t>od</w:t>
            </w:r>
            <w:r>
              <w:rPr>
                <w:rFonts w:eastAsia="Times New Roman" w:cs="Times New Roman"/>
                <w:szCs w:val="20"/>
              </w:rPr>
              <w:t>c</w:t>
            </w:r>
            <w:r>
              <w:rPr>
                <w:rFonts w:eastAsia="Times New Roman" w:cs="Times New Roman"/>
                <w:spacing w:val="1"/>
                <w:szCs w:val="20"/>
              </w:rPr>
              <w:t>h</w:t>
            </w:r>
            <w:r>
              <w:rPr>
                <w:rFonts w:eastAsia="Times New Roman" w:cs="Times New Roman"/>
                <w:spacing w:val="-1"/>
                <w:szCs w:val="20"/>
              </w:rPr>
              <w:t>y</w:t>
            </w:r>
            <w:r>
              <w:rPr>
                <w:rFonts w:eastAsia="Times New Roman" w:cs="Times New Roman"/>
                <w:spacing w:val="2"/>
                <w:szCs w:val="20"/>
              </w:rPr>
              <w:t>l</w:t>
            </w:r>
            <w:r>
              <w:rPr>
                <w:rFonts w:eastAsia="Times New Roman" w:cs="Times New Roman"/>
                <w:szCs w:val="20"/>
              </w:rPr>
              <w:t>e</w:t>
            </w:r>
            <w:r>
              <w:rPr>
                <w:rFonts w:eastAsia="Times New Roman" w:cs="Times New Roman"/>
                <w:spacing w:val="-1"/>
                <w:szCs w:val="20"/>
              </w:rPr>
              <w:t>n</w:t>
            </w:r>
            <w:r>
              <w:rPr>
                <w:rFonts w:eastAsia="Times New Roman" w:cs="Times New Roman"/>
                <w:szCs w:val="20"/>
              </w:rPr>
              <w:t>ia</w:t>
            </w:r>
            <w:r>
              <w:rPr>
                <w:rFonts w:eastAsia="Times New Roman" w:cs="Times New Roman"/>
                <w:spacing w:val="-9"/>
                <w:szCs w:val="20"/>
              </w:rPr>
              <w:t xml:space="preserve"> </w:t>
            </w:r>
            <w:r>
              <w:rPr>
                <w:rFonts w:eastAsia="Times New Roman" w:cs="Times New Roman"/>
                <w:spacing w:val="-1"/>
                <w:szCs w:val="20"/>
              </w:rPr>
              <w:t>n</w:t>
            </w:r>
            <w:r>
              <w:rPr>
                <w:rFonts w:eastAsia="Times New Roman" w:cs="Times New Roman"/>
                <w:szCs w:val="20"/>
              </w:rPr>
              <w:t>ie</w:t>
            </w:r>
            <w:r>
              <w:rPr>
                <w:rFonts w:eastAsia="Times New Roman" w:cs="Times New Roman"/>
                <w:spacing w:val="1"/>
                <w:szCs w:val="20"/>
              </w:rPr>
              <w:t xml:space="preserve"> </w:t>
            </w:r>
            <w:r>
              <w:rPr>
                <w:rFonts w:eastAsia="Times New Roman" w:cs="Times New Roman"/>
                <w:spacing w:val="-2"/>
                <w:szCs w:val="20"/>
              </w:rPr>
              <w:t>w</w:t>
            </w:r>
            <w:r>
              <w:rPr>
                <w:rFonts w:eastAsia="Times New Roman" w:cs="Times New Roman"/>
                <w:spacing w:val="2"/>
                <w:szCs w:val="20"/>
              </w:rPr>
              <w:t>i</w:t>
            </w:r>
            <w:r>
              <w:rPr>
                <w:rFonts w:eastAsia="Times New Roman" w:cs="Times New Roman"/>
                <w:szCs w:val="20"/>
              </w:rPr>
              <w:t>ę</w:t>
            </w:r>
            <w:r>
              <w:rPr>
                <w:rFonts w:eastAsia="Times New Roman" w:cs="Times New Roman"/>
                <w:spacing w:val="1"/>
                <w:szCs w:val="20"/>
              </w:rPr>
              <w:t>k</w:t>
            </w:r>
            <w:r>
              <w:rPr>
                <w:rFonts w:eastAsia="Times New Roman" w:cs="Times New Roman"/>
                <w:spacing w:val="-1"/>
                <w:szCs w:val="20"/>
              </w:rPr>
              <w:t>s</w:t>
            </w:r>
            <w:r>
              <w:rPr>
                <w:rFonts w:eastAsia="Times New Roman" w:cs="Times New Roman"/>
                <w:szCs w:val="20"/>
              </w:rPr>
              <w:t>ze</w:t>
            </w:r>
            <w:r>
              <w:rPr>
                <w:rFonts w:eastAsia="Times New Roman" w:cs="Times New Roman"/>
                <w:spacing w:val="-5"/>
                <w:szCs w:val="20"/>
              </w:rPr>
              <w:t xml:space="preserve"> </w:t>
            </w:r>
            <w:r>
              <w:rPr>
                <w:rFonts w:eastAsia="Times New Roman" w:cs="Times New Roman"/>
                <w:spacing w:val="-1"/>
                <w:szCs w:val="20"/>
              </w:rPr>
              <w:t>n</w:t>
            </w:r>
            <w:r>
              <w:rPr>
                <w:rFonts w:eastAsia="Times New Roman" w:cs="Times New Roman"/>
                <w:szCs w:val="20"/>
              </w:rPr>
              <w:t>iż</w:t>
            </w:r>
            <w:r>
              <w:rPr>
                <w:rFonts w:eastAsia="Times New Roman" w:cs="Times New Roman"/>
                <w:spacing w:val="1"/>
                <w:szCs w:val="20"/>
              </w:rPr>
              <w:t xml:space="preserve"> </w:t>
            </w:r>
            <w:r>
              <w:rPr>
                <w:rFonts w:eastAsia="Times New Roman" w:cs="Times New Roman"/>
                <w:spacing w:val="-2"/>
                <w:szCs w:val="20"/>
              </w:rPr>
              <w:t>w</w:t>
            </w:r>
            <w:r>
              <w:rPr>
                <w:rFonts w:eastAsia="Times New Roman" w:cs="Times New Roman"/>
                <w:szCs w:val="20"/>
              </w:rPr>
              <w:t>e</w:t>
            </w:r>
            <w:r>
              <w:rPr>
                <w:rFonts w:eastAsia="Times New Roman" w:cs="Times New Roman"/>
                <w:spacing w:val="1"/>
                <w:szCs w:val="20"/>
              </w:rPr>
              <w:t>d</w:t>
            </w:r>
            <w:r>
              <w:rPr>
                <w:rFonts w:eastAsia="Times New Roman" w:cs="Times New Roman"/>
                <w:spacing w:val="2"/>
                <w:szCs w:val="20"/>
              </w:rPr>
              <w:t>ł</w:t>
            </w:r>
            <w:r>
              <w:rPr>
                <w:rFonts w:eastAsia="Times New Roman" w:cs="Times New Roman"/>
                <w:spacing w:val="1"/>
                <w:szCs w:val="20"/>
              </w:rPr>
              <w:t>u</w:t>
            </w:r>
            <w:r>
              <w:rPr>
                <w:rFonts w:eastAsia="Times New Roman" w:cs="Times New Roman"/>
                <w:szCs w:val="20"/>
              </w:rPr>
              <w:t>g</w:t>
            </w:r>
          </w:p>
          <w:p w:rsidR="00B77F00" w:rsidRDefault="00865FA3">
            <w:pPr>
              <w:pStyle w:val="Standard"/>
              <w:rPr>
                <w:szCs w:val="20"/>
              </w:rPr>
            </w:pPr>
            <w:r>
              <w:rPr>
                <w:rFonts w:eastAsia="Times New Roman" w:cs="Times New Roman"/>
                <w:spacing w:val="-1"/>
                <w:szCs w:val="20"/>
              </w:rPr>
              <w:t>k</w:t>
            </w:r>
            <w:r>
              <w:rPr>
                <w:rFonts w:eastAsia="Times New Roman" w:cs="Times New Roman"/>
                <w:szCs w:val="20"/>
              </w:rPr>
              <w:t>ate</w:t>
            </w:r>
            <w:r>
              <w:rPr>
                <w:rFonts w:eastAsia="Times New Roman" w:cs="Times New Roman"/>
                <w:spacing w:val="-1"/>
                <w:szCs w:val="20"/>
              </w:rPr>
              <w:t>g</w:t>
            </w:r>
            <w:r>
              <w:rPr>
                <w:rFonts w:eastAsia="Times New Roman" w:cs="Times New Roman"/>
                <w:spacing w:val="1"/>
                <w:szCs w:val="20"/>
              </w:rPr>
              <w:t>or</w:t>
            </w:r>
            <w:r>
              <w:rPr>
                <w:rFonts w:eastAsia="Times New Roman" w:cs="Times New Roman"/>
                <w:szCs w:val="20"/>
              </w:rPr>
              <w:t>ii:</w:t>
            </w:r>
          </w:p>
        </w:tc>
        <w:tc>
          <w:tcPr>
            <w:tcW w:w="2579"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w w:val="99"/>
                <w:position w:val="3"/>
                <w:szCs w:val="20"/>
              </w:rPr>
              <w:t>G</w:t>
            </w:r>
            <w:r>
              <w:rPr>
                <w:rFonts w:eastAsia="Times New Roman" w:cs="Times New Roman"/>
                <w:w w:val="99"/>
                <w:szCs w:val="20"/>
              </w:rPr>
              <w:t>25/15</w:t>
            </w:r>
          </w:p>
        </w:tc>
      </w:tr>
      <w:tr w:rsidR="00B77F00">
        <w:tblPrEx>
          <w:tblCellMar>
            <w:top w:w="0" w:type="dxa"/>
            <w:bottom w:w="0" w:type="dxa"/>
          </w:tblCellMar>
        </w:tblPrEx>
        <w:trPr>
          <w:cantSplit/>
        </w:trPr>
        <w:tc>
          <w:tcPr>
            <w:tcW w:w="644"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w w:val="99"/>
                <w:szCs w:val="20"/>
              </w:rPr>
            </w:pPr>
            <w:r>
              <w:rPr>
                <w:rFonts w:eastAsia="Times New Roman" w:cs="Times New Roman"/>
                <w:w w:val="99"/>
                <w:szCs w:val="20"/>
              </w:rPr>
              <w:t>3</w:t>
            </w:r>
          </w:p>
        </w:tc>
        <w:tc>
          <w:tcPr>
            <w:tcW w:w="641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2"/>
                <w:szCs w:val="20"/>
              </w:rPr>
              <w:t>Z</w:t>
            </w:r>
            <w:r>
              <w:rPr>
                <w:rFonts w:eastAsia="Times New Roman" w:cs="Times New Roman"/>
                <w:spacing w:val="3"/>
                <w:szCs w:val="20"/>
              </w:rPr>
              <w:t>a</w:t>
            </w:r>
            <w:r>
              <w:rPr>
                <w:rFonts w:eastAsia="Times New Roman" w:cs="Times New Roman"/>
                <w:spacing w:val="-2"/>
                <w:szCs w:val="20"/>
              </w:rPr>
              <w:t>w</w:t>
            </w:r>
            <w:r>
              <w:rPr>
                <w:rFonts w:eastAsia="Times New Roman" w:cs="Times New Roman"/>
                <w:szCs w:val="20"/>
              </w:rPr>
              <w:t>a</w:t>
            </w:r>
            <w:r>
              <w:rPr>
                <w:rFonts w:eastAsia="Times New Roman" w:cs="Times New Roman"/>
                <w:spacing w:val="1"/>
                <w:szCs w:val="20"/>
              </w:rPr>
              <w:t>r</w:t>
            </w:r>
            <w:r>
              <w:rPr>
                <w:rFonts w:eastAsia="Times New Roman" w:cs="Times New Roman"/>
                <w:szCs w:val="20"/>
              </w:rPr>
              <w:t>t</w:t>
            </w:r>
            <w:r>
              <w:rPr>
                <w:rFonts w:eastAsia="Times New Roman" w:cs="Times New Roman"/>
                <w:spacing w:val="1"/>
                <w:szCs w:val="20"/>
              </w:rPr>
              <w:t>o</w:t>
            </w:r>
            <w:r>
              <w:rPr>
                <w:rFonts w:eastAsia="Times New Roman" w:cs="Times New Roman"/>
                <w:spacing w:val="-1"/>
                <w:szCs w:val="20"/>
              </w:rPr>
              <w:t>ś</w:t>
            </w:r>
            <w:r>
              <w:rPr>
                <w:rFonts w:eastAsia="Times New Roman" w:cs="Times New Roman"/>
                <w:szCs w:val="20"/>
              </w:rPr>
              <w:t>ć</w:t>
            </w:r>
            <w:r>
              <w:rPr>
                <w:rFonts w:eastAsia="Times New Roman" w:cs="Times New Roman"/>
                <w:spacing w:val="-7"/>
                <w:szCs w:val="20"/>
              </w:rPr>
              <w:t xml:space="preserve"> </w:t>
            </w:r>
            <w:r>
              <w:rPr>
                <w:rFonts w:eastAsia="Times New Roman" w:cs="Times New Roman"/>
                <w:spacing w:val="3"/>
                <w:szCs w:val="20"/>
              </w:rPr>
              <w:t>p</w:t>
            </w:r>
            <w:r>
              <w:rPr>
                <w:rFonts w:eastAsia="Times New Roman" w:cs="Times New Roman"/>
                <w:spacing w:val="-4"/>
                <w:szCs w:val="20"/>
              </w:rPr>
              <w:t>y</w:t>
            </w:r>
            <w:r>
              <w:rPr>
                <w:rFonts w:eastAsia="Times New Roman" w:cs="Times New Roman"/>
                <w:spacing w:val="2"/>
                <w:szCs w:val="20"/>
              </w:rPr>
              <w:t>ł</w:t>
            </w:r>
            <w:r>
              <w:rPr>
                <w:rFonts w:eastAsia="Times New Roman" w:cs="Times New Roman"/>
                <w:szCs w:val="20"/>
              </w:rPr>
              <w:t>u</w:t>
            </w:r>
            <w:r>
              <w:rPr>
                <w:rFonts w:eastAsia="Times New Roman" w:cs="Times New Roman"/>
                <w:spacing w:val="-3"/>
                <w:szCs w:val="20"/>
              </w:rPr>
              <w:t xml:space="preserve"> </w:t>
            </w:r>
            <w:r>
              <w:rPr>
                <w:rFonts w:eastAsia="Times New Roman" w:cs="Times New Roman"/>
                <w:spacing w:val="-2"/>
                <w:szCs w:val="20"/>
              </w:rPr>
              <w:t>w</w:t>
            </w:r>
            <w:r>
              <w:rPr>
                <w:rFonts w:eastAsia="Times New Roman" w:cs="Times New Roman"/>
                <w:szCs w:val="20"/>
              </w:rPr>
              <w:t>e</w:t>
            </w:r>
            <w:r>
              <w:rPr>
                <w:rFonts w:eastAsia="Times New Roman" w:cs="Times New Roman"/>
                <w:spacing w:val="1"/>
                <w:szCs w:val="20"/>
              </w:rPr>
              <w:t>d</w:t>
            </w:r>
            <w:r>
              <w:rPr>
                <w:rFonts w:eastAsia="Times New Roman" w:cs="Times New Roman"/>
                <w:spacing w:val="2"/>
                <w:szCs w:val="20"/>
              </w:rPr>
              <w:t>ł</w:t>
            </w:r>
            <w:r>
              <w:rPr>
                <w:rFonts w:eastAsia="Times New Roman" w:cs="Times New Roman"/>
                <w:spacing w:val="-1"/>
                <w:szCs w:val="20"/>
              </w:rPr>
              <w:t>u</w:t>
            </w:r>
            <w:r>
              <w:rPr>
                <w:rFonts w:eastAsia="Times New Roman" w:cs="Times New Roman"/>
                <w:szCs w:val="20"/>
              </w:rPr>
              <w:t>g</w:t>
            </w:r>
            <w:r>
              <w:rPr>
                <w:rFonts w:eastAsia="Times New Roman" w:cs="Times New Roman"/>
                <w:spacing w:val="-7"/>
                <w:szCs w:val="20"/>
              </w:rPr>
              <w:t xml:space="preserve"> </w:t>
            </w:r>
            <w:r>
              <w:rPr>
                <w:rFonts w:eastAsia="Times New Roman" w:cs="Times New Roman"/>
                <w:spacing w:val="2"/>
                <w:szCs w:val="20"/>
              </w:rPr>
              <w:t>P</w:t>
            </w:r>
            <w:r>
              <w:rPr>
                <w:rFonts w:eastAsia="Times New Roman" w:cs="Times New Roman"/>
                <w:spacing w:val="3"/>
                <w:szCs w:val="20"/>
              </w:rPr>
              <w:t>N</w:t>
            </w:r>
            <w:r>
              <w:rPr>
                <w:rFonts w:eastAsia="Times New Roman" w:cs="Times New Roman"/>
                <w:spacing w:val="-2"/>
                <w:szCs w:val="20"/>
              </w:rPr>
              <w:t>-</w:t>
            </w:r>
            <w:r>
              <w:rPr>
                <w:rFonts w:eastAsia="Times New Roman" w:cs="Times New Roman"/>
                <w:spacing w:val="3"/>
                <w:szCs w:val="20"/>
              </w:rPr>
              <w:t>E</w:t>
            </w:r>
            <w:r>
              <w:rPr>
                <w:rFonts w:eastAsia="Times New Roman" w:cs="Times New Roman"/>
                <w:szCs w:val="20"/>
              </w:rPr>
              <w:t>N</w:t>
            </w:r>
            <w:r>
              <w:rPr>
                <w:rFonts w:eastAsia="Times New Roman" w:cs="Times New Roman"/>
                <w:spacing w:val="-6"/>
                <w:szCs w:val="20"/>
              </w:rPr>
              <w:t xml:space="preserve"> </w:t>
            </w:r>
            <w:r>
              <w:rPr>
                <w:rFonts w:eastAsia="Times New Roman" w:cs="Times New Roman"/>
                <w:spacing w:val="1"/>
                <w:szCs w:val="20"/>
              </w:rPr>
              <w:t>93</w:t>
            </w:r>
            <w:r>
              <w:rPr>
                <w:rFonts w:eastAsia="Times New Roman" w:cs="Times New Roman"/>
                <w:spacing w:val="2"/>
                <w:szCs w:val="20"/>
              </w:rPr>
              <w:t>3</w:t>
            </w:r>
            <w:r>
              <w:rPr>
                <w:rFonts w:eastAsia="Times New Roman" w:cs="Times New Roman"/>
                <w:spacing w:val="-2"/>
                <w:szCs w:val="20"/>
              </w:rPr>
              <w:t>-</w:t>
            </w:r>
            <w:r>
              <w:rPr>
                <w:rFonts w:eastAsia="Times New Roman" w:cs="Times New Roman"/>
                <w:spacing w:val="1"/>
                <w:szCs w:val="20"/>
              </w:rPr>
              <w:t>1</w:t>
            </w:r>
            <w:r>
              <w:rPr>
                <w:rFonts w:eastAsia="Times New Roman" w:cs="Times New Roman"/>
                <w:szCs w:val="20"/>
              </w:rPr>
              <w:t>;</w:t>
            </w:r>
            <w:r>
              <w:rPr>
                <w:rFonts w:eastAsia="Times New Roman" w:cs="Times New Roman"/>
                <w:spacing w:val="-5"/>
                <w:szCs w:val="20"/>
              </w:rPr>
              <w:t xml:space="preserve"> </w:t>
            </w:r>
            <w:r>
              <w:rPr>
                <w:rFonts w:eastAsia="Times New Roman" w:cs="Times New Roman"/>
                <w:spacing w:val="-1"/>
                <w:szCs w:val="20"/>
              </w:rPr>
              <w:t>k</w:t>
            </w:r>
            <w:r>
              <w:rPr>
                <w:rFonts w:eastAsia="Times New Roman" w:cs="Times New Roman"/>
                <w:szCs w:val="20"/>
              </w:rPr>
              <w:t>ate</w:t>
            </w:r>
            <w:r>
              <w:rPr>
                <w:rFonts w:eastAsia="Times New Roman" w:cs="Times New Roman"/>
                <w:spacing w:val="-1"/>
                <w:szCs w:val="20"/>
              </w:rPr>
              <w:t>g</w:t>
            </w:r>
            <w:r>
              <w:rPr>
                <w:rFonts w:eastAsia="Times New Roman" w:cs="Times New Roman"/>
                <w:spacing w:val="1"/>
                <w:szCs w:val="20"/>
              </w:rPr>
              <w:t>or</w:t>
            </w:r>
            <w:r>
              <w:rPr>
                <w:rFonts w:eastAsia="Times New Roman" w:cs="Times New Roman"/>
                <w:szCs w:val="20"/>
              </w:rPr>
              <w:t>ia</w:t>
            </w:r>
            <w:r>
              <w:rPr>
                <w:rFonts w:eastAsia="Times New Roman" w:cs="Times New Roman"/>
                <w:spacing w:val="-7"/>
                <w:szCs w:val="20"/>
              </w:rPr>
              <w:t xml:space="preserve"> </w:t>
            </w:r>
            <w:r>
              <w:rPr>
                <w:rFonts w:eastAsia="Times New Roman" w:cs="Times New Roman"/>
                <w:spacing w:val="-1"/>
                <w:szCs w:val="20"/>
              </w:rPr>
              <w:t>n</w:t>
            </w:r>
            <w:r>
              <w:rPr>
                <w:rFonts w:eastAsia="Times New Roman" w:cs="Times New Roman"/>
                <w:szCs w:val="20"/>
              </w:rPr>
              <w:t>ie</w:t>
            </w:r>
            <w:r>
              <w:rPr>
                <w:rFonts w:eastAsia="Times New Roman" w:cs="Times New Roman"/>
                <w:spacing w:val="1"/>
                <w:szCs w:val="20"/>
              </w:rPr>
              <w:t xml:space="preserve"> </w:t>
            </w:r>
            <w:r>
              <w:rPr>
                <w:rFonts w:eastAsia="Times New Roman" w:cs="Times New Roman"/>
                <w:szCs w:val="20"/>
              </w:rPr>
              <w:t>w</w:t>
            </w:r>
            <w:r>
              <w:rPr>
                <w:rFonts w:eastAsia="Times New Roman" w:cs="Times New Roman"/>
                <w:spacing w:val="-1"/>
                <w:szCs w:val="20"/>
              </w:rPr>
              <w:t>y</w:t>
            </w:r>
            <w:r>
              <w:rPr>
                <w:rFonts w:eastAsia="Times New Roman" w:cs="Times New Roman"/>
                <w:szCs w:val="20"/>
              </w:rPr>
              <w:t xml:space="preserve">ższa </w:t>
            </w:r>
            <w:r>
              <w:rPr>
                <w:rFonts w:eastAsia="Times New Roman" w:cs="Times New Roman"/>
                <w:spacing w:val="-1"/>
                <w:szCs w:val="20"/>
              </w:rPr>
              <w:t>n</w:t>
            </w:r>
            <w:r>
              <w:rPr>
                <w:rFonts w:eastAsia="Times New Roman" w:cs="Times New Roman"/>
                <w:szCs w:val="20"/>
              </w:rPr>
              <w:t>iż:</w:t>
            </w:r>
          </w:p>
        </w:tc>
        <w:tc>
          <w:tcPr>
            <w:tcW w:w="2579"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i/>
                <w:w w:val="99"/>
                <w:szCs w:val="20"/>
              </w:rPr>
              <w:t>f</w:t>
            </w:r>
            <w:r>
              <w:rPr>
                <w:rFonts w:eastAsia="Times New Roman" w:cs="Times New Roman"/>
                <w:w w:val="99"/>
                <w:position w:val="-5"/>
                <w:szCs w:val="20"/>
              </w:rPr>
              <w:t>2</w:t>
            </w:r>
          </w:p>
        </w:tc>
      </w:tr>
      <w:tr w:rsidR="00B77F00">
        <w:tblPrEx>
          <w:tblCellMar>
            <w:top w:w="0" w:type="dxa"/>
            <w:bottom w:w="0" w:type="dxa"/>
          </w:tblCellMar>
        </w:tblPrEx>
        <w:trPr>
          <w:cantSplit/>
        </w:trPr>
        <w:tc>
          <w:tcPr>
            <w:tcW w:w="644"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w w:val="99"/>
                <w:szCs w:val="20"/>
              </w:rPr>
            </w:pPr>
            <w:r>
              <w:rPr>
                <w:rFonts w:eastAsia="Times New Roman" w:cs="Times New Roman"/>
                <w:w w:val="99"/>
                <w:szCs w:val="20"/>
              </w:rPr>
              <w:t>4</w:t>
            </w:r>
          </w:p>
        </w:tc>
        <w:tc>
          <w:tcPr>
            <w:tcW w:w="641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Kształt</w:t>
            </w:r>
            <w:r>
              <w:rPr>
                <w:rFonts w:eastAsia="Times New Roman" w:cs="Times New Roman"/>
                <w:spacing w:val="-4"/>
                <w:szCs w:val="20"/>
              </w:rPr>
              <w:t xml:space="preserve"> </w:t>
            </w:r>
            <w:r>
              <w:rPr>
                <w:rFonts w:eastAsia="Times New Roman" w:cs="Times New Roman"/>
                <w:spacing w:val="-1"/>
                <w:szCs w:val="20"/>
              </w:rPr>
              <w:t>k</w:t>
            </w:r>
            <w:r>
              <w:rPr>
                <w:rFonts w:eastAsia="Times New Roman" w:cs="Times New Roman"/>
                <w:spacing w:val="1"/>
                <w:szCs w:val="20"/>
              </w:rPr>
              <w:t>r</w:t>
            </w:r>
            <w:r>
              <w:rPr>
                <w:rFonts w:eastAsia="Times New Roman" w:cs="Times New Roman"/>
                <w:spacing w:val="-1"/>
                <w:szCs w:val="20"/>
              </w:rPr>
              <w:t>us</w:t>
            </w:r>
            <w:r>
              <w:rPr>
                <w:rFonts w:eastAsia="Times New Roman" w:cs="Times New Roman"/>
                <w:spacing w:val="3"/>
                <w:szCs w:val="20"/>
              </w:rPr>
              <w:t>z</w:t>
            </w:r>
            <w:r>
              <w:rPr>
                <w:rFonts w:eastAsia="Times New Roman" w:cs="Times New Roman"/>
                <w:spacing w:val="1"/>
                <w:szCs w:val="20"/>
              </w:rPr>
              <w:t>y</w:t>
            </w:r>
            <w:r>
              <w:rPr>
                <w:rFonts w:eastAsia="Times New Roman" w:cs="Times New Roman"/>
                <w:spacing w:val="-2"/>
                <w:szCs w:val="20"/>
              </w:rPr>
              <w:t>w</w:t>
            </w:r>
            <w:r>
              <w:rPr>
                <w:rFonts w:eastAsia="Times New Roman" w:cs="Times New Roman"/>
                <w:szCs w:val="20"/>
              </w:rPr>
              <w:t>a</w:t>
            </w:r>
            <w:r>
              <w:rPr>
                <w:rFonts w:eastAsia="Times New Roman" w:cs="Times New Roman"/>
                <w:spacing w:val="-5"/>
                <w:szCs w:val="20"/>
              </w:rPr>
              <w:t xml:space="preserve"> </w:t>
            </w:r>
            <w:r>
              <w:rPr>
                <w:rFonts w:eastAsia="Times New Roman" w:cs="Times New Roman"/>
                <w:spacing w:val="-2"/>
                <w:szCs w:val="20"/>
              </w:rPr>
              <w:t>w</w:t>
            </w:r>
            <w:r>
              <w:rPr>
                <w:rFonts w:eastAsia="Times New Roman" w:cs="Times New Roman"/>
                <w:szCs w:val="20"/>
              </w:rPr>
              <w:t>e</w:t>
            </w:r>
            <w:r>
              <w:rPr>
                <w:rFonts w:eastAsia="Times New Roman" w:cs="Times New Roman"/>
                <w:spacing w:val="1"/>
                <w:szCs w:val="20"/>
              </w:rPr>
              <w:t>d</w:t>
            </w:r>
            <w:r>
              <w:rPr>
                <w:rFonts w:eastAsia="Times New Roman" w:cs="Times New Roman"/>
                <w:spacing w:val="2"/>
                <w:szCs w:val="20"/>
              </w:rPr>
              <w:t>ł</w:t>
            </w:r>
            <w:r>
              <w:rPr>
                <w:rFonts w:eastAsia="Times New Roman" w:cs="Times New Roman"/>
                <w:spacing w:val="-1"/>
                <w:szCs w:val="20"/>
              </w:rPr>
              <w:t>u</w:t>
            </w:r>
            <w:r>
              <w:rPr>
                <w:rFonts w:eastAsia="Times New Roman" w:cs="Times New Roman"/>
                <w:szCs w:val="20"/>
              </w:rPr>
              <w:t>g</w:t>
            </w:r>
            <w:r>
              <w:rPr>
                <w:rFonts w:eastAsia="Times New Roman" w:cs="Times New Roman"/>
                <w:spacing w:val="-7"/>
                <w:szCs w:val="20"/>
              </w:rPr>
              <w:t xml:space="preserve"> </w:t>
            </w:r>
            <w:r>
              <w:rPr>
                <w:rFonts w:eastAsia="Times New Roman" w:cs="Times New Roman"/>
                <w:spacing w:val="2"/>
                <w:szCs w:val="20"/>
              </w:rPr>
              <w:t>P</w:t>
            </w:r>
            <w:r>
              <w:rPr>
                <w:rFonts w:eastAsia="Times New Roman" w:cs="Times New Roman"/>
                <w:spacing w:val="5"/>
                <w:szCs w:val="20"/>
              </w:rPr>
              <w:t>N</w:t>
            </w:r>
            <w:r>
              <w:rPr>
                <w:rFonts w:eastAsia="Times New Roman" w:cs="Times New Roman"/>
                <w:spacing w:val="1"/>
                <w:szCs w:val="20"/>
              </w:rPr>
              <w:t>-</w:t>
            </w:r>
            <w:r>
              <w:rPr>
                <w:rFonts w:eastAsia="Times New Roman" w:cs="Times New Roman"/>
                <w:szCs w:val="20"/>
              </w:rPr>
              <w:t>EN</w:t>
            </w:r>
            <w:r>
              <w:rPr>
                <w:rFonts w:eastAsia="Times New Roman" w:cs="Times New Roman"/>
                <w:spacing w:val="-6"/>
                <w:szCs w:val="20"/>
              </w:rPr>
              <w:t xml:space="preserve"> </w:t>
            </w:r>
            <w:r>
              <w:rPr>
                <w:rFonts w:eastAsia="Times New Roman" w:cs="Times New Roman"/>
                <w:spacing w:val="1"/>
                <w:szCs w:val="20"/>
              </w:rPr>
              <w:t>93</w:t>
            </w:r>
            <w:r>
              <w:rPr>
                <w:rFonts w:eastAsia="Times New Roman" w:cs="Times New Roman"/>
                <w:spacing w:val="2"/>
                <w:szCs w:val="20"/>
              </w:rPr>
              <w:t>3</w:t>
            </w:r>
            <w:r>
              <w:rPr>
                <w:rFonts w:eastAsia="Times New Roman" w:cs="Times New Roman"/>
                <w:spacing w:val="-2"/>
                <w:szCs w:val="20"/>
              </w:rPr>
              <w:t>-</w:t>
            </w:r>
            <w:r>
              <w:rPr>
                <w:rFonts w:eastAsia="Times New Roman" w:cs="Times New Roman"/>
                <w:szCs w:val="20"/>
              </w:rPr>
              <w:t>3</w:t>
            </w:r>
            <w:r>
              <w:rPr>
                <w:rFonts w:eastAsia="Times New Roman" w:cs="Times New Roman"/>
                <w:spacing w:val="-4"/>
                <w:szCs w:val="20"/>
              </w:rPr>
              <w:t xml:space="preserve"> </w:t>
            </w:r>
            <w:r>
              <w:rPr>
                <w:rFonts w:eastAsia="Times New Roman" w:cs="Times New Roman"/>
                <w:szCs w:val="20"/>
              </w:rPr>
              <w:t>l</w:t>
            </w:r>
            <w:r>
              <w:rPr>
                <w:rFonts w:eastAsia="Times New Roman" w:cs="Times New Roman"/>
                <w:spacing w:val="-1"/>
                <w:szCs w:val="20"/>
              </w:rPr>
              <w:t>u</w:t>
            </w:r>
            <w:r>
              <w:rPr>
                <w:rFonts w:eastAsia="Times New Roman" w:cs="Times New Roman"/>
                <w:szCs w:val="20"/>
              </w:rPr>
              <w:t>b</w:t>
            </w:r>
            <w:r>
              <w:rPr>
                <w:rFonts w:eastAsia="Times New Roman" w:cs="Times New Roman"/>
                <w:spacing w:val="1"/>
                <w:szCs w:val="20"/>
              </w:rPr>
              <w:t xml:space="preserve"> </w:t>
            </w:r>
            <w:r>
              <w:rPr>
                <w:rFonts w:eastAsia="Times New Roman" w:cs="Times New Roman"/>
                <w:spacing w:val="-5"/>
                <w:szCs w:val="20"/>
              </w:rPr>
              <w:t>w</w:t>
            </w:r>
            <w:r>
              <w:rPr>
                <w:rFonts w:eastAsia="Times New Roman" w:cs="Times New Roman"/>
                <w:szCs w:val="20"/>
              </w:rPr>
              <w:t>e</w:t>
            </w:r>
            <w:r>
              <w:rPr>
                <w:rFonts w:eastAsia="Times New Roman" w:cs="Times New Roman"/>
                <w:spacing w:val="1"/>
                <w:szCs w:val="20"/>
              </w:rPr>
              <w:t>d</w:t>
            </w:r>
            <w:r>
              <w:rPr>
                <w:rFonts w:eastAsia="Times New Roman" w:cs="Times New Roman"/>
                <w:szCs w:val="20"/>
              </w:rPr>
              <w:t>ł</w:t>
            </w:r>
            <w:r>
              <w:rPr>
                <w:rFonts w:eastAsia="Times New Roman" w:cs="Times New Roman"/>
                <w:spacing w:val="1"/>
                <w:szCs w:val="20"/>
              </w:rPr>
              <w:t>u</w:t>
            </w:r>
            <w:r>
              <w:rPr>
                <w:rFonts w:eastAsia="Times New Roman" w:cs="Times New Roman"/>
                <w:szCs w:val="20"/>
              </w:rPr>
              <w:t>g</w:t>
            </w:r>
            <w:r>
              <w:rPr>
                <w:rFonts w:eastAsia="Times New Roman" w:cs="Times New Roman"/>
                <w:spacing w:val="-7"/>
                <w:szCs w:val="20"/>
              </w:rPr>
              <w:t xml:space="preserve"> </w:t>
            </w:r>
            <w:r>
              <w:rPr>
                <w:rFonts w:eastAsia="Times New Roman" w:cs="Times New Roman"/>
                <w:spacing w:val="2"/>
                <w:szCs w:val="20"/>
              </w:rPr>
              <w:t>PN</w:t>
            </w:r>
            <w:r>
              <w:rPr>
                <w:rFonts w:eastAsia="Times New Roman" w:cs="Times New Roman"/>
                <w:spacing w:val="-2"/>
                <w:szCs w:val="20"/>
              </w:rPr>
              <w:t>-</w:t>
            </w:r>
            <w:r>
              <w:rPr>
                <w:rFonts w:eastAsia="Times New Roman" w:cs="Times New Roman"/>
                <w:szCs w:val="20"/>
              </w:rPr>
              <w:t xml:space="preserve">EN </w:t>
            </w:r>
            <w:r>
              <w:rPr>
                <w:rFonts w:eastAsia="Times New Roman" w:cs="Times New Roman"/>
                <w:spacing w:val="1"/>
                <w:szCs w:val="20"/>
              </w:rPr>
              <w:t>933</w:t>
            </w:r>
            <w:r>
              <w:rPr>
                <w:rFonts w:eastAsia="Times New Roman" w:cs="Times New Roman"/>
                <w:spacing w:val="-2"/>
                <w:szCs w:val="20"/>
              </w:rPr>
              <w:t>-</w:t>
            </w:r>
            <w:r>
              <w:rPr>
                <w:rFonts w:eastAsia="Times New Roman" w:cs="Times New Roman"/>
                <w:spacing w:val="1"/>
                <w:szCs w:val="20"/>
              </w:rPr>
              <w:t>4</w:t>
            </w:r>
            <w:r>
              <w:rPr>
                <w:rFonts w:eastAsia="Times New Roman" w:cs="Times New Roman"/>
                <w:szCs w:val="20"/>
              </w:rPr>
              <w:t>;</w:t>
            </w:r>
            <w:r>
              <w:rPr>
                <w:rFonts w:eastAsia="Times New Roman" w:cs="Times New Roman"/>
                <w:spacing w:val="-5"/>
                <w:szCs w:val="20"/>
              </w:rPr>
              <w:t xml:space="preserve"> </w:t>
            </w:r>
            <w:r>
              <w:rPr>
                <w:rFonts w:eastAsia="Times New Roman" w:cs="Times New Roman"/>
                <w:spacing w:val="-1"/>
                <w:szCs w:val="20"/>
              </w:rPr>
              <w:t>k</w:t>
            </w:r>
            <w:r>
              <w:rPr>
                <w:rFonts w:eastAsia="Times New Roman" w:cs="Times New Roman"/>
                <w:szCs w:val="20"/>
              </w:rPr>
              <w:t>ate</w:t>
            </w:r>
            <w:r>
              <w:rPr>
                <w:rFonts w:eastAsia="Times New Roman" w:cs="Times New Roman"/>
                <w:spacing w:val="-1"/>
                <w:szCs w:val="20"/>
              </w:rPr>
              <w:t>g</w:t>
            </w:r>
            <w:r>
              <w:rPr>
                <w:rFonts w:eastAsia="Times New Roman" w:cs="Times New Roman"/>
                <w:spacing w:val="1"/>
                <w:szCs w:val="20"/>
              </w:rPr>
              <w:t>or</w:t>
            </w:r>
            <w:r>
              <w:rPr>
                <w:rFonts w:eastAsia="Times New Roman" w:cs="Times New Roman"/>
                <w:szCs w:val="20"/>
              </w:rPr>
              <w:t>ia</w:t>
            </w:r>
            <w:r>
              <w:rPr>
                <w:rFonts w:eastAsia="Times New Roman" w:cs="Times New Roman"/>
                <w:spacing w:val="-7"/>
                <w:szCs w:val="20"/>
              </w:rPr>
              <w:t xml:space="preserve"> </w:t>
            </w:r>
            <w:r>
              <w:rPr>
                <w:rFonts w:eastAsia="Times New Roman" w:cs="Times New Roman"/>
                <w:spacing w:val="-1"/>
                <w:szCs w:val="20"/>
              </w:rPr>
              <w:t>n</w:t>
            </w:r>
            <w:r>
              <w:rPr>
                <w:rFonts w:eastAsia="Times New Roman" w:cs="Times New Roman"/>
                <w:szCs w:val="20"/>
              </w:rPr>
              <w:t>ie</w:t>
            </w:r>
            <w:r>
              <w:rPr>
                <w:rFonts w:eastAsia="Times New Roman" w:cs="Times New Roman"/>
                <w:spacing w:val="1"/>
                <w:szCs w:val="20"/>
              </w:rPr>
              <w:t xml:space="preserve"> </w:t>
            </w:r>
            <w:r>
              <w:rPr>
                <w:rFonts w:eastAsia="Times New Roman" w:cs="Times New Roman"/>
                <w:szCs w:val="20"/>
              </w:rPr>
              <w:t>w</w:t>
            </w:r>
            <w:r>
              <w:rPr>
                <w:rFonts w:eastAsia="Times New Roman" w:cs="Times New Roman"/>
                <w:spacing w:val="-1"/>
                <w:szCs w:val="20"/>
              </w:rPr>
              <w:t>y</w:t>
            </w:r>
            <w:r>
              <w:rPr>
                <w:rFonts w:eastAsia="Times New Roman" w:cs="Times New Roman"/>
                <w:szCs w:val="20"/>
              </w:rPr>
              <w:t>ższa</w:t>
            </w:r>
            <w:r>
              <w:rPr>
                <w:rFonts w:eastAsia="Times New Roman" w:cs="Times New Roman"/>
                <w:spacing w:val="-3"/>
                <w:szCs w:val="20"/>
              </w:rPr>
              <w:t xml:space="preserve"> </w:t>
            </w:r>
            <w:r>
              <w:rPr>
                <w:rFonts w:eastAsia="Times New Roman" w:cs="Times New Roman"/>
                <w:spacing w:val="-1"/>
                <w:szCs w:val="20"/>
              </w:rPr>
              <w:t>n</w:t>
            </w:r>
            <w:r>
              <w:rPr>
                <w:rFonts w:eastAsia="Times New Roman" w:cs="Times New Roman"/>
                <w:spacing w:val="2"/>
                <w:szCs w:val="20"/>
              </w:rPr>
              <w:t>i</w:t>
            </w:r>
            <w:r>
              <w:rPr>
                <w:rFonts w:eastAsia="Times New Roman" w:cs="Times New Roman"/>
                <w:szCs w:val="20"/>
              </w:rPr>
              <w:t>ż:</w:t>
            </w:r>
          </w:p>
        </w:tc>
        <w:tc>
          <w:tcPr>
            <w:tcW w:w="2579"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i/>
                <w:spacing w:val="1"/>
                <w:szCs w:val="20"/>
              </w:rPr>
              <w:t>FI</w:t>
            </w:r>
            <w:r>
              <w:rPr>
                <w:rFonts w:eastAsia="Times New Roman" w:cs="Times New Roman"/>
                <w:i/>
                <w:position w:val="-5"/>
                <w:szCs w:val="20"/>
              </w:rPr>
              <w:t>20</w:t>
            </w:r>
            <w:r>
              <w:rPr>
                <w:rFonts w:eastAsia="Times New Roman" w:cs="Times New Roman"/>
                <w:i/>
                <w:spacing w:val="14"/>
                <w:position w:val="-5"/>
                <w:szCs w:val="20"/>
              </w:rPr>
              <w:t xml:space="preserve"> </w:t>
            </w:r>
            <w:r>
              <w:rPr>
                <w:rFonts w:eastAsia="Times New Roman" w:cs="Times New Roman"/>
                <w:szCs w:val="20"/>
              </w:rPr>
              <w:t>l</w:t>
            </w:r>
            <w:r>
              <w:rPr>
                <w:rFonts w:eastAsia="Times New Roman" w:cs="Times New Roman"/>
                <w:spacing w:val="-1"/>
                <w:szCs w:val="20"/>
              </w:rPr>
              <w:t>u</w:t>
            </w:r>
            <w:r>
              <w:rPr>
                <w:rFonts w:eastAsia="Times New Roman" w:cs="Times New Roman"/>
                <w:szCs w:val="20"/>
              </w:rPr>
              <w:t>b</w:t>
            </w:r>
            <w:r>
              <w:rPr>
                <w:rFonts w:eastAsia="Times New Roman" w:cs="Times New Roman"/>
                <w:spacing w:val="-1"/>
                <w:szCs w:val="20"/>
              </w:rPr>
              <w:t xml:space="preserve"> </w:t>
            </w:r>
            <w:r>
              <w:rPr>
                <w:rFonts w:eastAsia="Times New Roman" w:cs="Times New Roman"/>
                <w:i/>
                <w:spacing w:val="1"/>
                <w:szCs w:val="20"/>
              </w:rPr>
              <w:t>SI</w:t>
            </w:r>
            <w:r>
              <w:rPr>
                <w:rFonts w:eastAsia="Times New Roman" w:cs="Times New Roman"/>
                <w:i/>
                <w:position w:val="-5"/>
                <w:szCs w:val="20"/>
              </w:rPr>
              <w:t>20</w:t>
            </w:r>
          </w:p>
        </w:tc>
      </w:tr>
      <w:tr w:rsidR="00B77F00">
        <w:tblPrEx>
          <w:tblCellMar>
            <w:top w:w="0" w:type="dxa"/>
            <w:bottom w:w="0" w:type="dxa"/>
          </w:tblCellMar>
        </w:tblPrEx>
        <w:trPr>
          <w:cantSplit/>
        </w:trPr>
        <w:tc>
          <w:tcPr>
            <w:tcW w:w="644"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w w:val="99"/>
                <w:szCs w:val="20"/>
              </w:rPr>
            </w:pPr>
            <w:r>
              <w:rPr>
                <w:rFonts w:eastAsia="Times New Roman" w:cs="Times New Roman"/>
                <w:w w:val="99"/>
                <w:szCs w:val="20"/>
              </w:rPr>
              <w:t>5</w:t>
            </w:r>
          </w:p>
        </w:tc>
        <w:tc>
          <w:tcPr>
            <w:tcW w:w="641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2"/>
                <w:szCs w:val="20"/>
              </w:rPr>
              <w:t>P</w:t>
            </w:r>
            <w:r>
              <w:rPr>
                <w:rFonts w:eastAsia="Times New Roman" w:cs="Times New Roman"/>
                <w:spacing w:val="1"/>
                <w:szCs w:val="20"/>
              </w:rPr>
              <w:t>ro</w:t>
            </w:r>
            <w:r>
              <w:rPr>
                <w:rFonts w:eastAsia="Times New Roman" w:cs="Times New Roman"/>
                <w:szCs w:val="20"/>
              </w:rPr>
              <w:t>c</w:t>
            </w:r>
            <w:r>
              <w:rPr>
                <w:rFonts w:eastAsia="Times New Roman" w:cs="Times New Roman"/>
                <w:spacing w:val="1"/>
                <w:szCs w:val="20"/>
              </w:rPr>
              <w:t>e</w:t>
            </w:r>
            <w:r>
              <w:rPr>
                <w:rFonts w:eastAsia="Times New Roman" w:cs="Times New Roman"/>
                <w:spacing w:val="-1"/>
                <w:szCs w:val="20"/>
              </w:rPr>
              <w:t>n</w:t>
            </w:r>
            <w:r>
              <w:rPr>
                <w:rFonts w:eastAsia="Times New Roman" w:cs="Times New Roman"/>
                <w:szCs w:val="20"/>
              </w:rPr>
              <w:t>t</w:t>
            </w:r>
            <w:r>
              <w:rPr>
                <w:rFonts w:eastAsia="Times New Roman" w:cs="Times New Roman"/>
                <w:spacing w:val="1"/>
                <w:szCs w:val="20"/>
              </w:rPr>
              <w:t>o</w:t>
            </w:r>
            <w:r>
              <w:rPr>
                <w:rFonts w:eastAsia="Times New Roman" w:cs="Times New Roman"/>
                <w:spacing w:val="-5"/>
                <w:szCs w:val="20"/>
              </w:rPr>
              <w:t>w</w:t>
            </w:r>
            <w:r>
              <w:rPr>
                <w:rFonts w:eastAsia="Times New Roman" w:cs="Times New Roman"/>
                <w:szCs w:val="20"/>
              </w:rPr>
              <w:t>a</w:t>
            </w:r>
            <w:r>
              <w:rPr>
                <w:rFonts w:eastAsia="Times New Roman" w:cs="Times New Roman"/>
                <w:spacing w:val="-8"/>
                <w:szCs w:val="20"/>
              </w:rPr>
              <w:t xml:space="preserve"> </w:t>
            </w:r>
            <w:r>
              <w:rPr>
                <w:rFonts w:eastAsia="Times New Roman" w:cs="Times New Roman"/>
                <w:szCs w:val="20"/>
              </w:rPr>
              <w:t>z</w:t>
            </w:r>
            <w:r>
              <w:rPr>
                <w:rFonts w:eastAsia="Times New Roman" w:cs="Times New Roman"/>
                <w:spacing w:val="3"/>
                <w:szCs w:val="20"/>
              </w:rPr>
              <w:t>a</w:t>
            </w:r>
            <w:r>
              <w:rPr>
                <w:rFonts w:eastAsia="Times New Roman" w:cs="Times New Roman"/>
                <w:spacing w:val="-2"/>
                <w:szCs w:val="20"/>
              </w:rPr>
              <w:t>w</w:t>
            </w:r>
            <w:r>
              <w:rPr>
                <w:rFonts w:eastAsia="Times New Roman" w:cs="Times New Roman"/>
                <w:szCs w:val="20"/>
              </w:rPr>
              <w:t>a</w:t>
            </w:r>
            <w:r>
              <w:rPr>
                <w:rFonts w:eastAsia="Times New Roman" w:cs="Times New Roman"/>
                <w:spacing w:val="1"/>
                <w:szCs w:val="20"/>
              </w:rPr>
              <w:t>r</w:t>
            </w:r>
            <w:r>
              <w:rPr>
                <w:rFonts w:eastAsia="Times New Roman" w:cs="Times New Roman"/>
                <w:szCs w:val="20"/>
              </w:rPr>
              <w:t>t</w:t>
            </w:r>
            <w:r>
              <w:rPr>
                <w:rFonts w:eastAsia="Times New Roman" w:cs="Times New Roman"/>
                <w:spacing w:val="1"/>
                <w:szCs w:val="20"/>
              </w:rPr>
              <w:t>o</w:t>
            </w:r>
            <w:r>
              <w:rPr>
                <w:rFonts w:eastAsia="Times New Roman" w:cs="Times New Roman"/>
                <w:spacing w:val="-1"/>
                <w:szCs w:val="20"/>
              </w:rPr>
              <w:t>ś</w:t>
            </w:r>
            <w:r>
              <w:rPr>
                <w:rFonts w:eastAsia="Times New Roman" w:cs="Times New Roman"/>
                <w:szCs w:val="20"/>
              </w:rPr>
              <w:t>ć</w:t>
            </w:r>
            <w:r>
              <w:rPr>
                <w:rFonts w:eastAsia="Times New Roman" w:cs="Times New Roman"/>
                <w:spacing w:val="-7"/>
                <w:szCs w:val="20"/>
              </w:rPr>
              <w:t xml:space="preserve"> </w:t>
            </w:r>
            <w:r>
              <w:rPr>
                <w:rFonts w:eastAsia="Times New Roman" w:cs="Times New Roman"/>
                <w:szCs w:val="20"/>
              </w:rPr>
              <w:t>zia</w:t>
            </w:r>
            <w:r>
              <w:rPr>
                <w:rFonts w:eastAsia="Times New Roman" w:cs="Times New Roman"/>
                <w:spacing w:val="1"/>
                <w:szCs w:val="20"/>
              </w:rPr>
              <w:t>r</w:t>
            </w:r>
            <w:r>
              <w:rPr>
                <w:rFonts w:eastAsia="Times New Roman" w:cs="Times New Roman"/>
                <w:spacing w:val="3"/>
                <w:szCs w:val="20"/>
              </w:rPr>
              <w:t>e</w:t>
            </w:r>
            <w:r>
              <w:rPr>
                <w:rFonts w:eastAsia="Times New Roman" w:cs="Times New Roman"/>
                <w:szCs w:val="20"/>
              </w:rPr>
              <w:t>n</w:t>
            </w:r>
            <w:r>
              <w:rPr>
                <w:rFonts w:eastAsia="Times New Roman" w:cs="Times New Roman"/>
                <w:spacing w:val="-4"/>
                <w:szCs w:val="20"/>
              </w:rPr>
              <w:t xml:space="preserve"> </w:t>
            </w:r>
            <w:r>
              <w:rPr>
                <w:rFonts w:eastAsia="Times New Roman" w:cs="Times New Roman"/>
                <w:szCs w:val="20"/>
              </w:rPr>
              <w:t xml:space="preserve">o </w:t>
            </w:r>
            <w:r>
              <w:rPr>
                <w:rFonts w:eastAsia="Times New Roman" w:cs="Times New Roman"/>
                <w:spacing w:val="1"/>
                <w:szCs w:val="20"/>
              </w:rPr>
              <w:t>po</w:t>
            </w:r>
            <w:r>
              <w:rPr>
                <w:rFonts w:eastAsia="Times New Roman" w:cs="Times New Roman"/>
                <w:spacing w:val="-5"/>
                <w:szCs w:val="20"/>
              </w:rPr>
              <w:t>w</w:t>
            </w:r>
            <w:r>
              <w:rPr>
                <w:rFonts w:eastAsia="Times New Roman" w:cs="Times New Roman"/>
                <w:szCs w:val="20"/>
              </w:rPr>
              <w:t>ie</w:t>
            </w:r>
            <w:r>
              <w:rPr>
                <w:rFonts w:eastAsia="Times New Roman" w:cs="Times New Roman"/>
                <w:spacing w:val="1"/>
                <w:szCs w:val="20"/>
              </w:rPr>
              <w:t>r</w:t>
            </w:r>
            <w:r>
              <w:rPr>
                <w:rFonts w:eastAsia="Times New Roman" w:cs="Times New Roman"/>
                <w:szCs w:val="20"/>
              </w:rPr>
              <w:t>z</w:t>
            </w:r>
            <w:r>
              <w:rPr>
                <w:rFonts w:eastAsia="Times New Roman" w:cs="Times New Roman"/>
                <w:spacing w:val="3"/>
                <w:szCs w:val="20"/>
              </w:rPr>
              <w:t>c</w:t>
            </w:r>
            <w:r>
              <w:rPr>
                <w:rFonts w:eastAsia="Times New Roman" w:cs="Times New Roman"/>
                <w:spacing w:val="-1"/>
                <w:szCs w:val="20"/>
              </w:rPr>
              <w:t>hn</w:t>
            </w:r>
            <w:r>
              <w:rPr>
                <w:rFonts w:eastAsia="Times New Roman" w:cs="Times New Roman"/>
                <w:szCs w:val="20"/>
              </w:rPr>
              <w:t>i</w:t>
            </w:r>
            <w:r>
              <w:rPr>
                <w:rFonts w:eastAsia="Times New Roman" w:cs="Times New Roman"/>
                <w:spacing w:val="-10"/>
                <w:szCs w:val="20"/>
              </w:rPr>
              <w:t xml:space="preserve"> </w:t>
            </w:r>
            <w:r>
              <w:rPr>
                <w:rFonts w:eastAsia="Times New Roman" w:cs="Times New Roman"/>
                <w:spacing w:val="1"/>
                <w:szCs w:val="20"/>
              </w:rPr>
              <w:t>pr</w:t>
            </w:r>
            <w:r>
              <w:rPr>
                <w:rFonts w:eastAsia="Times New Roman" w:cs="Times New Roman"/>
                <w:szCs w:val="20"/>
              </w:rPr>
              <w:t>z</w:t>
            </w:r>
            <w:r>
              <w:rPr>
                <w:rFonts w:eastAsia="Times New Roman" w:cs="Times New Roman"/>
                <w:spacing w:val="1"/>
                <w:szCs w:val="20"/>
              </w:rPr>
              <w:t>e</w:t>
            </w:r>
            <w:r>
              <w:rPr>
                <w:rFonts w:eastAsia="Times New Roman" w:cs="Times New Roman"/>
                <w:spacing w:val="-1"/>
                <w:szCs w:val="20"/>
              </w:rPr>
              <w:t>k</w:t>
            </w:r>
            <w:r>
              <w:rPr>
                <w:rFonts w:eastAsia="Times New Roman" w:cs="Times New Roman"/>
                <w:spacing w:val="3"/>
                <w:szCs w:val="20"/>
              </w:rPr>
              <w:t>r</w:t>
            </w:r>
            <w:r>
              <w:rPr>
                <w:rFonts w:eastAsia="Times New Roman" w:cs="Times New Roman"/>
                <w:spacing w:val="-1"/>
                <w:szCs w:val="20"/>
              </w:rPr>
              <w:t>us</w:t>
            </w:r>
            <w:r>
              <w:rPr>
                <w:rFonts w:eastAsia="Times New Roman" w:cs="Times New Roman"/>
                <w:szCs w:val="20"/>
              </w:rPr>
              <w:t>z</w:t>
            </w:r>
            <w:r>
              <w:rPr>
                <w:rFonts w:eastAsia="Times New Roman" w:cs="Times New Roman"/>
                <w:spacing w:val="1"/>
                <w:szCs w:val="20"/>
              </w:rPr>
              <w:t>o</w:t>
            </w:r>
            <w:r>
              <w:rPr>
                <w:rFonts w:eastAsia="Times New Roman" w:cs="Times New Roman"/>
                <w:spacing w:val="-1"/>
                <w:szCs w:val="20"/>
              </w:rPr>
              <w:t>n</w:t>
            </w:r>
            <w:r>
              <w:rPr>
                <w:rFonts w:eastAsia="Times New Roman" w:cs="Times New Roman"/>
                <w:szCs w:val="20"/>
              </w:rPr>
              <w:t>ej</w:t>
            </w:r>
            <w:r>
              <w:rPr>
                <w:rFonts w:eastAsia="Times New Roman" w:cs="Times New Roman"/>
                <w:spacing w:val="-8"/>
                <w:szCs w:val="20"/>
              </w:rPr>
              <w:t xml:space="preserve"> </w:t>
            </w:r>
            <w:r>
              <w:rPr>
                <w:rFonts w:eastAsia="Times New Roman" w:cs="Times New Roman"/>
                <w:szCs w:val="20"/>
              </w:rPr>
              <w:t>i ł</w:t>
            </w:r>
            <w:r>
              <w:rPr>
                <w:rFonts w:eastAsia="Times New Roman" w:cs="Times New Roman"/>
                <w:spacing w:val="2"/>
                <w:szCs w:val="20"/>
              </w:rPr>
              <w:t>a</w:t>
            </w:r>
            <w:r>
              <w:rPr>
                <w:rFonts w:eastAsia="Times New Roman" w:cs="Times New Roman"/>
                <w:spacing w:val="-4"/>
                <w:szCs w:val="20"/>
              </w:rPr>
              <w:t>m</w:t>
            </w:r>
            <w:r>
              <w:rPr>
                <w:rFonts w:eastAsia="Times New Roman" w:cs="Times New Roman"/>
                <w:spacing w:val="3"/>
                <w:szCs w:val="20"/>
              </w:rPr>
              <w:t>a</w:t>
            </w:r>
            <w:r>
              <w:rPr>
                <w:rFonts w:eastAsia="Times New Roman" w:cs="Times New Roman"/>
                <w:spacing w:val="-1"/>
                <w:szCs w:val="20"/>
              </w:rPr>
              <w:t>n</w:t>
            </w:r>
            <w:r>
              <w:rPr>
                <w:rFonts w:eastAsia="Times New Roman" w:cs="Times New Roman"/>
                <w:szCs w:val="20"/>
              </w:rPr>
              <w:t>ej</w:t>
            </w:r>
            <w:r>
              <w:rPr>
                <w:rFonts w:eastAsia="Times New Roman" w:cs="Times New Roman"/>
                <w:spacing w:val="-1"/>
                <w:szCs w:val="20"/>
              </w:rPr>
              <w:t xml:space="preserve"> </w:t>
            </w:r>
            <w:r>
              <w:rPr>
                <w:rFonts w:eastAsia="Times New Roman" w:cs="Times New Roman"/>
                <w:szCs w:val="20"/>
              </w:rPr>
              <w:t>w</w:t>
            </w:r>
            <w:r>
              <w:rPr>
                <w:rFonts w:eastAsia="Times New Roman" w:cs="Times New Roman"/>
                <w:spacing w:val="-5"/>
                <w:szCs w:val="20"/>
              </w:rPr>
              <w:t> </w:t>
            </w:r>
            <w:r>
              <w:rPr>
                <w:rFonts w:eastAsia="Times New Roman" w:cs="Times New Roman"/>
                <w:spacing w:val="-1"/>
                <w:szCs w:val="20"/>
              </w:rPr>
              <w:t>k</w:t>
            </w:r>
            <w:r>
              <w:rPr>
                <w:rFonts w:eastAsia="Times New Roman" w:cs="Times New Roman"/>
                <w:spacing w:val="3"/>
                <w:szCs w:val="20"/>
              </w:rPr>
              <w:t>r</w:t>
            </w:r>
            <w:r>
              <w:rPr>
                <w:rFonts w:eastAsia="Times New Roman" w:cs="Times New Roman"/>
                <w:spacing w:val="-1"/>
                <w:szCs w:val="20"/>
              </w:rPr>
              <w:t>us</w:t>
            </w:r>
            <w:r>
              <w:rPr>
                <w:rFonts w:eastAsia="Times New Roman" w:cs="Times New Roman"/>
                <w:spacing w:val="3"/>
                <w:szCs w:val="20"/>
              </w:rPr>
              <w:t>z</w:t>
            </w:r>
            <w:r>
              <w:rPr>
                <w:rFonts w:eastAsia="Times New Roman" w:cs="Times New Roman"/>
                <w:spacing w:val="1"/>
                <w:szCs w:val="20"/>
              </w:rPr>
              <w:t>y</w:t>
            </w:r>
            <w:r>
              <w:rPr>
                <w:rFonts w:eastAsia="Times New Roman" w:cs="Times New Roman"/>
                <w:spacing w:val="-2"/>
                <w:szCs w:val="20"/>
              </w:rPr>
              <w:t>w</w:t>
            </w:r>
            <w:r>
              <w:rPr>
                <w:rFonts w:eastAsia="Times New Roman" w:cs="Times New Roman"/>
                <w:szCs w:val="20"/>
              </w:rPr>
              <w:t>ie</w:t>
            </w:r>
            <w:r>
              <w:rPr>
                <w:rFonts w:eastAsia="Times New Roman" w:cs="Times New Roman"/>
                <w:spacing w:val="-5"/>
                <w:szCs w:val="20"/>
              </w:rPr>
              <w:t xml:space="preserve"> </w:t>
            </w:r>
            <w:r>
              <w:rPr>
                <w:rFonts w:eastAsia="Times New Roman" w:cs="Times New Roman"/>
                <w:spacing w:val="-1"/>
                <w:szCs w:val="20"/>
              </w:rPr>
              <w:t>g</w:t>
            </w:r>
            <w:r>
              <w:rPr>
                <w:rFonts w:eastAsia="Times New Roman" w:cs="Times New Roman"/>
                <w:spacing w:val="1"/>
                <w:szCs w:val="20"/>
              </w:rPr>
              <w:t>r</w:t>
            </w:r>
            <w:r>
              <w:rPr>
                <w:rFonts w:eastAsia="Times New Roman" w:cs="Times New Roman"/>
                <w:spacing w:val="-1"/>
                <w:szCs w:val="20"/>
              </w:rPr>
              <w:t>u</w:t>
            </w:r>
            <w:r>
              <w:rPr>
                <w:rFonts w:eastAsia="Times New Roman" w:cs="Times New Roman"/>
                <w:spacing w:val="3"/>
                <w:szCs w:val="20"/>
              </w:rPr>
              <w:t>b</w:t>
            </w:r>
            <w:r>
              <w:rPr>
                <w:rFonts w:eastAsia="Times New Roman" w:cs="Times New Roman"/>
                <w:spacing w:val="-1"/>
                <w:szCs w:val="20"/>
              </w:rPr>
              <w:t>y</w:t>
            </w:r>
            <w:r>
              <w:rPr>
                <w:rFonts w:eastAsia="Times New Roman" w:cs="Times New Roman"/>
                <w:szCs w:val="20"/>
              </w:rPr>
              <w:t>m</w:t>
            </w:r>
            <w:r>
              <w:rPr>
                <w:rFonts w:eastAsia="Times New Roman" w:cs="Times New Roman"/>
                <w:spacing w:val="-5"/>
                <w:szCs w:val="20"/>
              </w:rPr>
              <w:t xml:space="preserve"> </w:t>
            </w:r>
            <w:r>
              <w:rPr>
                <w:rFonts w:eastAsia="Times New Roman" w:cs="Times New Roman"/>
                <w:spacing w:val="-2"/>
                <w:szCs w:val="20"/>
              </w:rPr>
              <w:t>w</w:t>
            </w:r>
            <w:r>
              <w:rPr>
                <w:rFonts w:eastAsia="Times New Roman" w:cs="Times New Roman"/>
                <w:szCs w:val="20"/>
              </w:rPr>
              <w:t>e</w:t>
            </w:r>
            <w:r>
              <w:rPr>
                <w:rFonts w:eastAsia="Times New Roman" w:cs="Times New Roman"/>
                <w:spacing w:val="1"/>
                <w:szCs w:val="20"/>
              </w:rPr>
              <w:t>d</w:t>
            </w:r>
            <w:r>
              <w:rPr>
                <w:rFonts w:eastAsia="Times New Roman" w:cs="Times New Roman"/>
                <w:spacing w:val="2"/>
                <w:szCs w:val="20"/>
              </w:rPr>
              <w:t>ł</w:t>
            </w:r>
            <w:r>
              <w:rPr>
                <w:rFonts w:eastAsia="Times New Roman" w:cs="Times New Roman"/>
                <w:spacing w:val="-1"/>
                <w:szCs w:val="20"/>
              </w:rPr>
              <w:t>u</w:t>
            </w:r>
            <w:r>
              <w:rPr>
                <w:rFonts w:eastAsia="Times New Roman" w:cs="Times New Roman"/>
                <w:szCs w:val="20"/>
              </w:rPr>
              <w:t>g</w:t>
            </w:r>
            <w:r>
              <w:rPr>
                <w:rFonts w:eastAsia="Times New Roman" w:cs="Times New Roman"/>
                <w:spacing w:val="-7"/>
                <w:szCs w:val="20"/>
              </w:rPr>
              <w:t xml:space="preserve"> </w:t>
            </w:r>
            <w:r>
              <w:rPr>
                <w:rFonts w:eastAsia="Times New Roman" w:cs="Times New Roman"/>
                <w:spacing w:val="2"/>
                <w:szCs w:val="20"/>
              </w:rPr>
              <w:t>P</w:t>
            </w:r>
            <w:r>
              <w:rPr>
                <w:rFonts w:eastAsia="Times New Roman" w:cs="Times New Roman"/>
                <w:spacing w:val="4"/>
                <w:szCs w:val="20"/>
              </w:rPr>
              <w:t>N</w:t>
            </w:r>
            <w:r>
              <w:rPr>
                <w:rFonts w:eastAsia="Times New Roman" w:cs="Times New Roman"/>
                <w:spacing w:val="-2"/>
                <w:szCs w:val="20"/>
              </w:rPr>
              <w:t>-</w:t>
            </w:r>
            <w:r>
              <w:rPr>
                <w:rFonts w:eastAsia="Times New Roman" w:cs="Times New Roman"/>
                <w:spacing w:val="3"/>
                <w:szCs w:val="20"/>
              </w:rPr>
              <w:t>E</w:t>
            </w:r>
            <w:r>
              <w:rPr>
                <w:rFonts w:eastAsia="Times New Roman" w:cs="Times New Roman"/>
                <w:szCs w:val="20"/>
              </w:rPr>
              <w:t>N</w:t>
            </w:r>
            <w:r>
              <w:rPr>
                <w:rFonts w:eastAsia="Times New Roman" w:cs="Times New Roman"/>
                <w:spacing w:val="-6"/>
                <w:szCs w:val="20"/>
              </w:rPr>
              <w:t xml:space="preserve"> </w:t>
            </w:r>
            <w:r>
              <w:rPr>
                <w:rFonts w:eastAsia="Times New Roman" w:cs="Times New Roman"/>
                <w:spacing w:val="1"/>
                <w:szCs w:val="20"/>
              </w:rPr>
              <w:t>93</w:t>
            </w:r>
            <w:r>
              <w:rPr>
                <w:rFonts w:eastAsia="Times New Roman" w:cs="Times New Roman"/>
                <w:spacing w:val="2"/>
                <w:szCs w:val="20"/>
              </w:rPr>
              <w:t>3</w:t>
            </w:r>
            <w:r>
              <w:rPr>
                <w:rFonts w:eastAsia="Times New Roman" w:cs="Times New Roman"/>
                <w:spacing w:val="-2"/>
                <w:szCs w:val="20"/>
              </w:rPr>
              <w:t>-</w:t>
            </w:r>
            <w:r>
              <w:rPr>
                <w:rFonts w:eastAsia="Times New Roman" w:cs="Times New Roman"/>
                <w:spacing w:val="1"/>
                <w:szCs w:val="20"/>
              </w:rPr>
              <w:t>5</w:t>
            </w:r>
            <w:r>
              <w:rPr>
                <w:rFonts w:eastAsia="Times New Roman" w:cs="Times New Roman"/>
                <w:szCs w:val="20"/>
              </w:rPr>
              <w:t xml:space="preserve">; </w:t>
            </w:r>
            <w:r>
              <w:rPr>
                <w:rFonts w:eastAsia="Times New Roman" w:cs="Times New Roman"/>
                <w:spacing w:val="-1"/>
                <w:szCs w:val="20"/>
              </w:rPr>
              <w:t>k</w:t>
            </w:r>
            <w:r>
              <w:rPr>
                <w:rFonts w:eastAsia="Times New Roman" w:cs="Times New Roman"/>
                <w:szCs w:val="20"/>
              </w:rPr>
              <w:t>ate</w:t>
            </w:r>
            <w:r>
              <w:rPr>
                <w:rFonts w:eastAsia="Times New Roman" w:cs="Times New Roman"/>
                <w:spacing w:val="-1"/>
                <w:szCs w:val="20"/>
              </w:rPr>
              <w:t>g</w:t>
            </w:r>
            <w:r>
              <w:rPr>
                <w:rFonts w:eastAsia="Times New Roman" w:cs="Times New Roman"/>
                <w:spacing w:val="1"/>
                <w:szCs w:val="20"/>
              </w:rPr>
              <w:t>or</w:t>
            </w:r>
            <w:r>
              <w:rPr>
                <w:rFonts w:eastAsia="Times New Roman" w:cs="Times New Roman"/>
                <w:szCs w:val="20"/>
              </w:rPr>
              <w:t>ia</w:t>
            </w:r>
            <w:r>
              <w:rPr>
                <w:rFonts w:eastAsia="Times New Roman" w:cs="Times New Roman"/>
                <w:spacing w:val="-4"/>
                <w:szCs w:val="20"/>
              </w:rPr>
              <w:t xml:space="preserve"> </w:t>
            </w:r>
            <w:r>
              <w:rPr>
                <w:rFonts w:eastAsia="Times New Roman" w:cs="Times New Roman"/>
                <w:spacing w:val="-1"/>
                <w:szCs w:val="20"/>
              </w:rPr>
              <w:t>n</w:t>
            </w:r>
            <w:r>
              <w:rPr>
                <w:rFonts w:eastAsia="Times New Roman" w:cs="Times New Roman"/>
                <w:szCs w:val="20"/>
              </w:rPr>
              <w:t>ie</w:t>
            </w:r>
            <w:r>
              <w:rPr>
                <w:rFonts w:eastAsia="Times New Roman" w:cs="Times New Roman"/>
                <w:spacing w:val="-2"/>
                <w:szCs w:val="20"/>
              </w:rPr>
              <w:t xml:space="preserve"> </w:t>
            </w:r>
            <w:r>
              <w:rPr>
                <w:rFonts w:eastAsia="Times New Roman" w:cs="Times New Roman"/>
                <w:spacing w:val="-1"/>
                <w:szCs w:val="20"/>
              </w:rPr>
              <w:t>n</w:t>
            </w:r>
            <w:r>
              <w:rPr>
                <w:rFonts w:eastAsia="Times New Roman" w:cs="Times New Roman"/>
                <w:szCs w:val="20"/>
              </w:rPr>
              <w:t>i</w:t>
            </w:r>
            <w:r>
              <w:rPr>
                <w:rFonts w:eastAsia="Times New Roman" w:cs="Times New Roman"/>
                <w:spacing w:val="2"/>
                <w:szCs w:val="20"/>
              </w:rPr>
              <w:t>ż</w:t>
            </w:r>
            <w:r>
              <w:rPr>
                <w:rFonts w:eastAsia="Times New Roman" w:cs="Times New Roman"/>
                <w:spacing w:val="-1"/>
                <w:szCs w:val="20"/>
              </w:rPr>
              <w:t>s</w:t>
            </w:r>
            <w:r>
              <w:rPr>
                <w:rFonts w:eastAsia="Times New Roman" w:cs="Times New Roman"/>
                <w:szCs w:val="20"/>
              </w:rPr>
              <w:t>za</w:t>
            </w:r>
            <w:r>
              <w:rPr>
                <w:rFonts w:eastAsia="Times New Roman" w:cs="Times New Roman"/>
                <w:spacing w:val="-4"/>
                <w:szCs w:val="20"/>
              </w:rPr>
              <w:t xml:space="preserve"> </w:t>
            </w:r>
            <w:r>
              <w:rPr>
                <w:rFonts w:eastAsia="Times New Roman" w:cs="Times New Roman"/>
                <w:spacing w:val="-1"/>
                <w:szCs w:val="20"/>
              </w:rPr>
              <w:t>n</w:t>
            </w:r>
            <w:r>
              <w:rPr>
                <w:rFonts w:eastAsia="Times New Roman" w:cs="Times New Roman"/>
                <w:szCs w:val="20"/>
              </w:rPr>
              <w:t>i</w:t>
            </w:r>
            <w:r>
              <w:rPr>
                <w:rFonts w:eastAsia="Times New Roman" w:cs="Times New Roman"/>
                <w:spacing w:val="2"/>
                <w:szCs w:val="20"/>
              </w:rPr>
              <w:t>ż</w:t>
            </w:r>
            <w:r>
              <w:rPr>
                <w:rFonts w:eastAsia="Times New Roman" w:cs="Times New Roman"/>
                <w:szCs w:val="20"/>
              </w:rPr>
              <w:t>:</w:t>
            </w:r>
          </w:p>
        </w:tc>
        <w:tc>
          <w:tcPr>
            <w:tcW w:w="2579"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i/>
                <w:spacing w:val="-1"/>
                <w:w w:val="99"/>
                <w:position w:val="3"/>
                <w:szCs w:val="20"/>
              </w:rPr>
              <w:t>C</w:t>
            </w:r>
            <w:r>
              <w:rPr>
                <w:rFonts w:eastAsia="Times New Roman" w:cs="Times New Roman"/>
                <w:w w:val="99"/>
                <w:szCs w:val="20"/>
              </w:rPr>
              <w:t>95/1</w:t>
            </w:r>
          </w:p>
        </w:tc>
      </w:tr>
      <w:tr w:rsidR="00B77F00">
        <w:tblPrEx>
          <w:tblCellMar>
            <w:top w:w="0" w:type="dxa"/>
            <w:bottom w:w="0" w:type="dxa"/>
          </w:tblCellMar>
        </w:tblPrEx>
        <w:trPr>
          <w:cantSplit/>
        </w:trPr>
        <w:tc>
          <w:tcPr>
            <w:tcW w:w="644"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w w:val="99"/>
                <w:szCs w:val="20"/>
              </w:rPr>
            </w:pPr>
            <w:r>
              <w:rPr>
                <w:rFonts w:eastAsia="Times New Roman" w:cs="Times New Roman"/>
                <w:w w:val="99"/>
                <w:szCs w:val="20"/>
              </w:rPr>
              <w:t>6</w:t>
            </w:r>
          </w:p>
        </w:tc>
        <w:tc>
          <w:tcPr>
            <w:tcW w:w="641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O</w:t>
            </w:r>
            <w:r>
              <w:rPr>
                <w:rFonts w:eastAsia="Times New Roman" w:cs="Times New Roman"/>
                <w:spacing w:val="1"/>
                <w:szCs w:val="20"/>
              </w:rPr>
              <w:t>dpor</w:t>
            </w:r>
            <w:r>
              <w:rPr>
                <w:rFonts w:eastAsia="Times New Roman" w:cs="Times New Roman"/>
                <w:spacing w:val="-1"/>
                <w:szCs w:val="20"/>
              </w:rPr>
              <w:t>n</w:t>
            </w:r>
            <w:r>
              <w:rPr>
                <w:rFonts w:eastAsia="Times New Roman" w:cs="Times New Roman"/>
                <w:spacing w:val="1"/>
                <w:szCs w:val="20"/>
              </w:rPr>
              <w:t>o</w:t>
            </w:r>
            <w:r>
              <w:rPr>
                <w:rFonts w:eastAsia="Times New Roman" w:cs="Times New Roman"/>
                <w:spacing w:val="-1"/>
                <w:szCs w:val="20"/>
              </w:rPr>
              <w:t>ś</w:t>
            </w:r>
            <w:r>
              <w:rPr>
                <w:rFonts w:eastAsia="Times New Roman" w:cs="Times New Roman"/>
                <w:szCs w:val="20"/>
              </w:rPr>
              <w:t>ć</w:t>
            </w:r>
            <w:r>
              <w:rPr>
                <w:rFonts w:eastAsia="Times New Roman" w:cs="Times New Roman"/>
                <w:spacing w:val="-8"/>
                <w:szCs w:val="20"/>
              </w:rPr>
              <w:t xml:space="preserve"> </w:t>
            </w:r>
            <w:r>
              <w:rPr>
                <w:rFonts w:eastAsia="Times New Roman" w:cs="Times New Roman"/>
                <w:spacing w:val="-1"/>
                <w:szCs w:val="20"/>
              </w:rPr>
              <w:t>k</w:t>
            </w:r>
            <w:r>
              <w:rPr>
                <w:rFonts w:eastAsia="Times New Roman" w:cs="Times New Roman"/>
                <w:spacing w:val="1"/>
                <w:szCs w:val="20"/>
              </w:rPr>
              <w:t>r</w:t>
            </w:r>
            <w:r>
              <w:rPr>
                <w:rFonts w:eastAsia="Times New Roman" w:cs="Times New Roman"/>
                <w:spacing w:val="-1"/>
                <w:szCs w:val="20"/>
              </w:rPr>
              <w:t>us</w:t>
            </w:r>
            <w:r>
              <w:rPr>
                <w:rFonts w:eastAsia="Times New Roman" w:cs="Times New Roman"/>
                <w:spacing w:val="3"/>
                <w:szCs w:val="20"/>
              </w:rPr>
              <w:t>z</w:t>
            </w:r>
            <w:r>
              <w:rPr>
                <w:rFonts w:eastAsia="Times New Roman" w:cs="Times New Roman"/>
                <w:spacing w:val="1"/>
                <w:szCs w:val="20"/>
              </w:rPr>
              <w:t>y</w:t>
            </w:r>
            <w:r>
              <w:rPr>
                <w:rFonts w:eastAsia="Times New Roman" w:cs="Times New Roman"/>
                <w:spacing w:val="-2"/>
                <w:szCs w:val="20"/>
              </w:rPr>
              <w:t>w</w:t>
            </w:r>
            <w:r>
              <w:rPr>
                <w:rFonts w:eastAsia="Times New Roman" w:cs="Times New Roman"/>
                <w:szCs w:val="20"/>
              </w:rPr>
              <w:t>a</w:t>
            </w:r>
            <w:r>
              <w:rPr>
                <w:rFonts w:eastAsia="Times New Roman" w:cs="Times New Roman"/>
                <w:spacing w:val="-7"/>
                <w:szCs w:val="20"/>
              </w:rPr>
              <w:t xml:space="preserve"> </w:t>
            </w:r>
            <w:r>
              <w:rPr>
                <w:rFonts w:eastAsia="Times New Roman" w:cs="Times New Roman"/>
                <w:spacing w:val="-1"/>
                <w:szCs w:val="20"/>
              </w:rPr>
              <w:t>n</w:t>
            </w:r>
            <w:r>
              <w:rPr>
                <w:rFonts w:eastAsia="Times New Roman" w:cs="Times New Roman"/>
                <w:szCs w:val="20"/>
              </w:rPr>
              <w:t>a</w:t>
            </w:r>
            <w:r>
              <w:rPr>
                <w:rFonts w:eastAsia="Times New Roman" w:cs="Times New Roman"/>
                <w:spacing w:val="-1"/>
                <w:szCs w:val="20"/>
              </w:rPr>
              <w:t xml:space="preserve"> </w:t>
            </w:r>
            <w:r>
              <w:rPr>
                <w:rFonts w:eastAsia="Times New Roman" w:cs="Times New Roman"/>
                <w:spacing w:val="1"/>
                <w:szCs w:val="20"/>
              </w:rPr>
              <w:t>ro</w:t>
            </w:r>
            <w:r>
              <w:rPr>
                <w:rFonts w:eastAsia="Times New Roman" w:cs="Times New Roman"/>
                <w:szCs w:val="20"/>
              </w:rPr>
              <w:t>z</w:t>
            </w:r>
            <w:r>
              <w:rPr>
                <w:rFonts w:eastAsia="Times New Roman" w:cs="Times New Roman"/>
                <w:spacing w:val="1"/>
                <w:szCs w:val="20"/>
              </w:rPr>
              <w:t>dr</w:t>
            </w:r>
            <w:r>
              <w:rPr>
                <w:rFonts w:eastAsia="Times New Roman" w:cs="Times New Roman"/>
                <w:szCs w:val="20"/>
              </w:rPr>
              <w:t>a</w:t>
            </w:r>
            <w:r>
              <w:rPr>
                <w:rFonts w:eastAsia="Times New Roman" w:cs="Times New Roman"/>
                <w:spacing w:val="1"/>
                <w:szCs w:val="20"/>
              </w:rPr>
              <w:t>b</w:t>
            </w:r>
            <w:r>
              <w:rPr>
                <w:rFonts w:eastAsia="Times New Roman" w:cs="Times New Roman"/>
                <w:spacing w:val="-1"/>
                <w:szCs w:val="20"/>
              </w:rPr>
              <w:t>n</w:t>
            </w:r>
            <w:r>
              <w:rPr>
                <w:rFonts w:eastAsia="Times New Roman" w:cs="Times New Roman"/>
                <w:szCs w:val="20"/>
              </w:rPr>
              <w:t>ia</w:t>
            </w:r>
            <w:r>
              <w:rPr>
                <w:rFonts w:eastAsia="Times New Roman" w:cs="Times New Roman"/>
                <w:spacing w:val="-1"/>
                <w:szCs w:val="20"/>
              </w:rPr>
              <w:t>n</w:t>
            </w:r>
            <w:r>
              <w:rPr>
                <w:rFonts w:eastAsia="Times New Roman" w:cs="Times New Roman"/>
                <w:szCs w:val="20"/>
              </w:rPr>
              <w:t>ie</w:t>
            </w:r>
            <w:r>
              <w:rPr>
                <w:rFonts w:eastAsia="Times New Roman" w:cs="Times New Roman"/>
                <w:spacing w:val="-8"/>
                <w:szCs w:val="20"/>
              </w:rPr>
              <w:t xml:space="preserve"> </w:t>
            </w:r>
            <w:r>
              <w:rPr>
                <w:rFonts w:eastAsia="Times New Roman" w:cs="Times New Roman"/>
                <w:spacing w:val="-2"/>
                <w:szCs w:val="20"/>
              </w:rPr>
              <w:t>w</w:t>
            </w:r>
            <w:r>
              <w:rPr>
                <w:rFonts w:eastAsia="Times New Roman" w:cs="Times New Roman"/>
                <w:szCs w:val="20"/>
              </w:rPr>
              <w:t>e</w:t>
            </w:r>
            <w:r>
              <w:rPr>
                <w:rFonts w:eastAsia="Times New Roman" w:cs="Times New Roman"/>
                <w:spacing w:val="1"/>
                <w:szCs w:val="20"/>
              </w:rPr>
              <w:t>d</w:t>
            </w:r>
            <w:r>
              <w:rPr>
                <w:rFonts w:eastAsia="Times New Roman" w:cs="Times New Roman"/>
                <w:spacing w:val="2"/>
                <w:szCs w:val="20"/>
              </w:rPr>
              <w:t>ł</w:t>
            </w:r>
            <w:r>
              <w:rPr>
                <w:rFonts w:eastAsia="Times New Roman" w:cs="Times New Roman"/>
                <w:spacing w:val="-1"/>
                <w:szCs w:val="20"/>
              </w:rPr>
              <w:t>u</w:t>
            </w:r>
            <w:r>
              <w:rPr>
                <w:rFonts w:eastAsia="Times New Roman" w:cs="Times New Roman"/>
                <w:szCs w:val="20"/>
              </w:rPr>
              <w:t>g</w:t>
            </w:r>
            <w:r>
              <w:rPr>
                <w:rFonts w:eastAsia="Times New Roman" w:cs="Times New Roman"/>
                <w:spacing w:val="-5"/>
                <w:szCs w:val="20"/>
              </w:rPr>
              <w:t xml:space="preserve"> </w:t>
            </w:r>
            <w:r>
              <w:rPr>
                <w:rFonts w:eastAsia="Times New Roman" w:cs="Times New Roman"/>
                <w:spacing w:val="-1"/>
                <w:szCs w:val="20"/>
              </w:rPr>
              <w:t>n</w:t>
            </w:r>
            <w:r>
              <w:rPr>
                <w:rFonts w:eastAsia="Times New Roman" w:cs="Times New Roman"/>
                <w:spacing w:val="1"/>
                <w:szCs w:val="20"/>
              </w:rPr>
              <w:t>o</w:t>
            </w:r>
            <w:r>
              <w:rPr>
                <w:rFonts w:eastAsia="Times New Roman" w:cs="Times New Roman"/>
                <w:spacing w:val="3"/>
                <w:szCs w:val="20"/>
              </w:rPr>
              <w:t>r</w:t>
            </w:r>
            <w:r>
              <w:rPr>
                <w:rFonts w:eastAsia="Times New Roman" w:cs="Times New Roman"/>
                <w:spacing w:val="-1"/>
                <w:szCs w:val="20"/>
              </w:rPr>
              <w:t>m</w:t>
            </w:r>
            <w:r>
              <w:rPr>
                <w:rFonts w:eastAsia="Times New Roman" w:cs="Times New Roman"/>
                <w:szCs w:val="20"/>
              </w:rPr>
              <w:t>y</w:t>
            </w:r>
            <w:r>
              <w:rPr>
                <w:rFonts w:eastAsia="Times New Roman" w:cs="Times New Roman"/>
                <w:spacing w:val="-6"/>
                <w:szCs w:val="20"/>
              </w:rPr>
              <w:t xml:space="preserve"> </w:t>
            </w:r>
            <w:r>
              <w:rPr>
                <w:rFonts w:eastAsia="Times New Roman" w:cs="Times New Roman"/>
                <w:spacing w:val="2"/>
                <w:szCs w:val="20"/>
              </w:rPr>
              <w:t>P</w:t>
            </w:r>
            <w:r>
              <w:rPr>
                <w:rFonts w:eastAsia="Times New Roman" w:cs="Times New Roman"/>
                <w:spacing w:val="6"/>
                <w:szCs w:val="20"/>
              </w:rPr>
              <w:t>N</w:t>
            </w:r>
            <w:r>
              <w:rPr>
                <w:rFonts w:eastAsia="Times New Roman" w:cs="Times New Roman"/>
                <w:szCs w:val="20"/>
              </w:rPr>
              <w:t>- EN</w:t>
            </w:r>
            <w:r>
              <w:rPr>
                <w:rFonts w:eastAsia="Times New Roman" w:cs="Times New Roman"/>
                <w:spacing w:val="-3"/>
                <w:szCs w:val="20"/>
              </w:rPr>
              <w:t xml:space="preserve"> </w:t>
            </w:r>
            <w:r>
              <w:rPr>
                <w:rFonts w:eastAsia="Times New Roman" w:cs="Times New Roman"/>
                <w:spacing w:val="1"/>
                <w:szCs w:val="20"/>
              </w:rPr>
              <w:t>109</w:t>
            </w:r>
            <w:r>
              <w:rPr>
                <w:rFonts w:eastAsia="Times New Roman" w:cs="Times New Roman"/>
                <w:spacing w:val="2"/>
                <w:szCs w:val="20"/>
              </w:rPr>
              <w:t>7</w:t>
            </w:r>
            <w:r>
              <w:rPr>
                <w:rFonts w:eastAsia="Times New Roman" w:cs="Times New Roman"/>
                <w:spacing w:val="-2"/>
                <w:szCs w:val="20"/>
              </w:rPr>
              <w:t>-</w:t>
            </w:r>
            <w:r>
              <w:rPr>
                <w:rFonts w:eastAsia="Times New Roman" w:cs="Times New Roman"/>
                <w:spacing w:val="1"/>
                <w:szCs w:val="20"/>
              </w:rPr>
              <w:t>2</w:t>
            </w:r>
            <w:r>
              <w:rPr>
                <w:rFonts w:eastAsia="Times New Roman" w:cs="Times New Roman"/>
                <w:szCs w:val="20"/>
              </w:rPr>
              <w:t>,</w:t>
            </w:r>
            <w:r>
              <w:rPr>
                <w:rFonts w:eastAsia="Times New Roman" w:cs="Times New Roman"/>
                <w:spacing w:val="-8"/>
                <w:szCs w:val="20"/>
              </w:rPr>
              <w:t xml:space="preserve"> </w:t>
            </w:r>
            <w:r>
              <w:rPr>
                <w:rFonts w:eastAsia="Times New Roman" w:cs="Times New Roman"/>
                <w:spacing w:val="1"/>
                <w:szCs w:val="20"/>
              </w:rPr>
              <w:t>b</w:t>
            </w:r>
            <w:r>
              <w:rPr>
                <w:rFonts w:eastAsia="Times New Roman" w:cs="Times New Roman"/>
                <w:szCs w:val="20"/>
              </w:rPr>
              <w:t>a</w:t>
            </w:r>
            <w:r>
              <w:rPr>
                <w:rFonts w:eastAsia="Times New Roman" w:cs="Times New Roman"/>
                <w:spacing w:val="1"/>
                <w:szCs w:val="20"/>
              </w:rPr>
              <w:t>d</w:t>
            </w:r>
            <w:r>
              <w:rPr>
                <w:rFonts w:eastAsia="Times New Roman" w:cs="Times New Roman"/>
                <w:szCs w:val="20"/>
              </w:rPr>
              <w:t>a</w:t>
            </w:r>
            <w:r>
              <w:rPr>
                <w:rFonts w:eastAsia="Times New Roman" w:cs="Times New Roman"/>
                <w:spacing w:val="-1"/>
                <w:szCs w:val="20"/>
              </w:rPr>
              <w:t>n</w:t>
            </w:r>
            <w:r>
              <w:rPr>
                <w:rFonts w:eastAsia="Times New Roman" w:cs="Times New Roman"/>
                <w:szCs w:val="20"/>
              </w:rPr>
              <w:t>a</w:t>
            </w:r>
            <w:r>
              <w:rPr>
                <w:rFonts w:eastAsia="Times New Roman" w:cs="Times New Roman"/>
                <w:spacing w:val="-5"/>
                <w:szCs w:val="20"/>
              </w:rPr>
              <w:t xml:space="preserve"> </w:t>
            </w:r>
            <w:r>
              <w:rPr>
                <w:rFonts w:eastAsia="Times New Roman" w:cs="Times New Roman"/>
                <w:spacing w:val="-1"/>
                <w:szCs w:val="20"/>
              </w:rPr>
              <w:t>n</w:t>
            </w:r>
            <w:r>
              <w:rPr>
                <w:rFonts w:eastAsia="Times New Roman" w:cs="Times New Roman"/>
                <w:szCs w:val="20"/>
              </w:rPr>
              <w:t>a</w:t>
            </w:r>
            <w:r>
              <w:rPr>
                <w:rFonts w:eastAsia="Times New Roman" w:cs="Times New Roman"/>
                <w:spacing w:val="-1"/>
                <w:szCs w:val="20"/>
              </w:rPr>
              <w:t xml:space="preserve"> k</w:t>
            </w:r>
            <w:r>
              <w:rPr>
                <w:rFonts w:eastAsia="Times New Roman" w:cs="Times New Roman"/>
                <w:spacing w:val="1"/>
                <w:szCs w:val="20"/>
              </w:rPr>
              <w:t>ru</w:t>
            </w:r>
            <w:r>
              <w:rPr>
                <w:rFonts w:eastAsia="Times New Roman" w:cs="Times New Roman"/>
                <w:spacing w:val="-1"/>
                <w:szCs w:val="20"/>
              </w:rPr>
              <w:t>s</w:t>
            </w:r>
            <w:r>
              <w:rPr>
                <w:rFonts w:eastAsia="Times New Roman" w:cs="Times New Roman"/>
                <w:spacing w:val="3"/>
                <w:szCs w:val="20"/>
              </w:rPr>
              <w:t>z</w:t>
            </w:r>
            <w:r>
              <w:rPr>
                <w:rFonts w:eastAsia="Times New Roman" w:cs="Times New Roman"/>
                <w:spacing w:val="-1"/>
                <w:szCs w:val="20"/>
              </w:rPr>
              <w:t>y</w:t>
            </w:r>
            <w:r>
              <w:rPr>
                <w:rFonts w:eastAsia="Times New Roman" w:cs="Times New Roman"/>
                <w:spacing w:val="-2"/>
                <w:szCs w:val="20"/>
              </w:rPr>
              <w:t>w</w:t>
            </w:r>
            <w:r>
              <w:rPr>
                <w:rFonts w:eastAsia="Times New Roman" w:cs="Times New Roman"/>
                <w:szCs w:val="20"/>
              </w:rPr>
              <w:t>ie</w:t>
            </w:r>
            <w:r>
              <w:rPr>
                <w:rFonts w:eastAsia="Times New Roman" w:cs="Times New Roman"/>
                <w:spacing w:val="-8"/>
                <w:szCs w:val="20"/>
              </w:rPr>
              <w:t xml:space="preserve"> </w:t>
            </w:r>
            <w:r>
              <w:rPr>
                <w:rFonts w:eastAsia="Times New Roman" w:cs="Times New Roman"/>
                <w:szCs w:val="20"/>
              </w:rPr>
              <w:t>o</w:t>
            </w:r>
            <w:r>
              <w:rPr>
                <w:rFonts w:eastAsia="Times New Roman" w:cs="Times New Roman"/>
                <w:spacing w:val="3"/>
                <w:szCs w:val="20"/>
              </w:rPr>
              <w:t xml:space="preserve"> </w:t>
            </w:r>
            <w:r>
              <w:rPr>
                <w:rFonts w:eastAsia="Times New Roman" w:cs="Times New Roman"/>
                <w:szCs w:val="20"/>
              </w:rPr>
              <w:t>w</w:t>
            </w:r>
            <w:r>
              <w:rPr>
                <w:rFonts w:eastAsia="Times New Roman" w:cs="Times New Roman"/>
                <w:spacing w:val="-1"/>
                <w:szCs w:val="20"/>
              </w:rPr>
              <w:t>ym</w:t>
            </w:r>
            <w:r>
              <w:rPr>
                <w:rFonts w:eastAsia="Times New Roman" w:cs="Times New Roman"/>
                <w:szCs w:val="20"/>
              </w:rPr>
              <w:t>ia</w:t>
            </w:r>
            <w:r>
              <w:rPr>
                <w:rFonts w:eastAsia="Times New Roman" w:cs="Times New Roman"/>
                <w:spacing w:val="1"/>
                <w:szCs w:val="20"/>
              </w:rPr>
              <w:t>r</w:t>
            </w:r>
            <w:r>
              <w:rPr>
                <w:rFonts w:eastAsia="Times New Roman" w:cs="Times New Roman"/>
                <w:szCs w:val="20"/>
              </w:rPr>
              <w:t>ze</w:t>
            </w:r>
            <w:r>
              <w:rPr>
                <w:rFonts w:eastAsia="Times New Roman" w:cs="Times New Roman"/>
                <w:spacing w:val="-7"/>
                <w:szCs w:val="20"/>
              </w:rPr>
              <w:t xml:space="preserve"> </w:t>
            </w:r>
            <w:r>
              <w:rPr>
                <w:rFonts w:eastAsia="Times New Roman" w:cs="Times New Roman"/>
                <w:spacing w:val="1"/>
                <w:szCs w:val="20"/>
              </w:rPr>
              <w:t>10</w:t>
            </w:r>
            <w:r>
              <w:rPr>
                <w:rFonts w:eastAsia="Times New Roman" w:cs="Times New Roman"/>
                <w:szCs w:val="20"/>
              </w:rPr>
              <w:t>/</w:t>
            </w:r>
            <w:r>
              <w:rPr>
                <w:rFonts w:eastAsia="Times New Roman" w:cs="Times New Roman"/>
                <w:spacing w:val="1"/>
                <w:szCs w:val="20"/>
              </w:rPr>
              <w:t>14</w:t>
            </w:r>
            <w:r>
              <w:rPr>
                <w:rFonts w:eastAsia="Times New Roman" w:cs="Times New Roman"/>
                <w:szCs w:val="20"/>
              </w:rPr>
              <w:t xml:space="preserve">, </w:t>
            </w:r>
            <w:r>
              <w:rPr>
                <w:rFonts w:eastAsia="Times New Roman" w:cs="Times New Roman"/>
                <w:spacing w:val="1"/>
                <w:szCs w:val="20"/>
              </w:rPr>
              <w:t>ro</w:t>
            </w:r>
            <w:r>
              <w:rPr>
                <w:rFonts w:eastAsia="Times New Roman" w:cs="Times New Roman"/>
                <w:szCs w:val="20"/>
              </w:rPr>
              <w:t>z</w:t>
            </w:r>
            <w:r>
              <w:rPr>
                <w:rFonts w:eastAsia="Times New Roman" w:cs="Times New Roman"/>
                <w:spacing w:val="1"/>
                <w:szCs w:val="20"/>
              </w:rPr>
              <w:t>d</w:t>
            </w:r>
            <w:r>
              <w:rPr>
                <w:rFonts w:eastAsia="Times New Roman" w:cs="Times New Roman"/>
                <w:szCs w:val="20"/>
              </w:rPr>
              <w:t>ział</w:t>
            </w:r>
            <w:r>
              <w:rPr>
                <w:rFonts w:eastAsia="Times New Roman" w:cs="Times New Roman"/>
                <w:spacing w:val="-5"/>
                <w:szCs w:val="20"/>
              </w:rPr>
              <w:t xml:space="preserve"> </w:t>
            </w:r>
            <w:r>
              <w:rPr>
                <w:rFonts w:eastAsia="Times New Roman" w:cs="Times New Roman"/>
                <w:spacing w:val="1"/>
                <w:szCs w:val="20"/>
              </w:rPr>
              <w:t>5</w:t>
            </w:r>
            <w:r>
              <w:rPr>
                <w:rFonts w:eastAsia="Times New Roman" w:cs="Times New Roman"/>
                <w:szCs w:val="20"/>
              </w:rPr>
              <w:t xml:space="preserve">, </w:t>
            </w:r>
            <w:r>
              <w:rPr>
                <w:rFonts w:eastAsia="Times New Roman" w:cs="Times New Roman"/>
                <w:spacing w:val="-1"/>
                <w:szCs w:val="20"/>
              </w:rPr>
              <w:t>k</w:t>
            </w:r>
            <w:r>
              <w:rPr>
                <w:rFonts w:eastAsia="Times New Roman" w:cs="Times New Roman"/>
                <w:szCs w:val="20"/>
              </w:rPr>
              <w:t>a</w:t>
            </w:r>
            <w:r>
              <w:rPr>
                <w:rFonts w:eastAsia="Times New Roman" w:cs="Times New Roman"/>
                <w:spacing w:val="2"/>
                <w:szCs w:val="20"/>
              </w:rPr>
              <w:t>t</w:t>
            </w:r>
            <w:r>
              <w:rPr>
                <w:rFonts w:eastAsia="Times New Roman" w:cs="Times New Roman"/>
                <w:szCs w:val="20"/>
              </w:rPr>
              <w:t>e</w:t>
            </w:r>
            <w:r>
              <w:rPr>
                <w:rFonts w:eastAsia="Times New Roman" w:cs="Times New Roman"/>
                <w:spacing w:val="-1"/>
                <w:szCs w:val="20"/>
              </w:rPr>
              <w:t>g</w:t>
            </w:r>
            <w:r>
              <w:rPr>
                <w:rFonts w:eastAsia="Times New Roman" w:cs="Times New Roman"/>
                <w:spacing w:val="1"/>
                <w:szCs w:val="20"/>
              </w:rPr>
              <w:t>or</w:t>
            </w:r>
            <w:r>
              <w:rPr>
                <w:rFonts w:eastAsia="Times New Roman" w:cs="Times New Roman"/>
                <w:szCs w:val="20"/>
              </w:rPr>
              <w:t>ia</w:t>
            </w:r>
            <w:r>
              <w:rPr>
                <w:rFonts w:eastAsia="Times New Roman" w:cs="Times New Roman"/>
                <w:spacing w:val="-7"/>
                <w:szCs w:val="20"/>
              </w:rPr>
              <w:t xml:space="preserve"> </w:t>
            </w:r>
            <w:r>
              <w:rPr>
                <w:rFonts w:eastAsia="Times New Roman" w:cs="Times New Roman"/>
                <w:spacing w:val="-1"/>
                <w:szCs w:val="20"/>
              </w:rPr>
              <w:t>n</w:t>
            </w:r>
            <w:r>
              <w:rPr>
                <w:rFonts w:eastAsia="Times New Roman" w:cs="Times New Roman"/>
                <w:szCs w:val="20"/>
              </w:rPr>
              <w:t>ie</w:t>
            </w:r>
            <w:r>
              <w:rPr>
                <w:rFonts w:eastAsia="Times New Roman" w:cs="Times New Roman"/>
                <w:spacing w:val="1"/>
                <w:szCs w:val="20"/>
              </w:rPr>
              <w:t xml:space="preserve"> </w:t>
            </w:r>
            <w:r>
              <w:rPr>
                <w:rFonts w:eastAsia="Times New Roman" w:cs="Times New Roman"/>
                <w:spacing w:val="-2"/>
                <w:szCs w:val="20"/>
              </w:rPr>
              <w:t>w</w:t>
            </w:r>
            <w:r>
              <w:rPr>
                <w:rFonts w:eastAsia="Times New Roman" w:cs="Times New Roman"/>
                <w:spacing w:val="-1"/>
                <w:szCs w:val="20"/>
              </w:rPr>
              <w:t>y</w:t>
            </w:r>
            <w:r>
              <w:rPr>
                <w:rFonts w:eastAsia="Times New Roman" w:cs="Times New Roman"/>
                <w:szCs w:val="20"/>
              </w:rPr>
              <w:t>ż</w:t>
            </w:r>
            <w:r>
              <w:rPr>
                <w:rFonts w:eastAsia="Times New Roman" w:cs="Times New Roman"/>
                <w:spacing w:val="2"/>
                <w:szCs w:val="20"/>
              </w:rPr>
              <w:t>s</w:t>
            </w:r>
            <w:r>
              <w:rPr>
                <w:rFonts w:eastAsia="Times New Roman" w:cs="Times New Roman"/>
                <w:szCs w:val="20"/>
              </w:rPr>
              <w:t>za</w:t>
            </w:r>
            <w:r>
              <w:rPr>
                <w:rFonts w:eastAsia="Times New Roman" w:cs="Times New Roman"/>
                <w:spacing w:val="-5"/>
                <w:szCs w:val="20"/>
              </w:rPr>
              <w:t xml:space="preserve"> </w:t>
            </w:r>
            <w:r>
              <w:rPr>
                <w:rFonts w:eastAsia="Times New Roman" w:cs="Times New Roman"/>
                <w:spacing w:val="-1"/>
                <w:szCs w:val="20"/>
              </w:rPr>
              <w:t>n</w:t>
            </w:r>
            <w:r>
              <w:rPr>
                <w:rFonts w:eastAsia="Times New Roman" w:cs="Times New Roman"/>
                <w:szCs w:val="20"/>
              </w:rPr>
              <w:t>iż:</w:t>
            </w:r>
          </w:p>
        </w:tc>
        <w:tc>
          <w:tcPr>
            <w:tcW w:w="2579"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i/>
                <w:w w:val="99"/>
                <w:szCs w:val="20"/>
              </w:rPr>
              <w:t>L</w:t>
            </w:r>
            <w:r>
              <w:rPr>
                <w:rFonts w:eastAsia="Times New Roman" w:cs="Times New Roman"/>
                <w:i/>
                <w:spacing w:val="1"/>
                <w:w w:val="99"/>
                <w:szCs w:val="20"/>
              </w:rPr>
              <w:t>A</w:t>
            </w:r>
            <w:r>
              <w:rPr>
                <w:rFonts w:eastAsia="Times New Roman" w:cs="Times New Roman"/>
                <w:w w:val="99"/>
                <w:position w:val="-5"/>
                <w:szCs w:val="20"/>
              </w:rPr>
              <w:t>25</w:t>
            </w:r>
          </w:p>
        </w:tc>
      </w:tr>
      <w:tr w:rsidR="00B77F00">
        <w:tblPrEx>
          <w:tblCellMar>
            <w:top w:w="0" w:type="dxa"/>
            <w:bottom w:w="0" w:type="dxa"/>
          </w:tblCellMar>
        </w:tblPrEx>
        <w:trPr>
          <w:cantSplit/>
        </w:trPr>
        <w:tc>
          <w:tcPr>
            <w:tcW w:w="644"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w w:val="99"/>
                <w:szCs w:val="20"/>
              </w:rPr>
            </w:pPr>
            <w:r>
              <w:rPr>
                <w:rFonts w:eastAsia="Times New Roman" w:cs="Times New Roman"/>
                <w:w w:val="99"/>
                <w:szCs w:val="20"/>
              </w:rPr>
              <w:t>7</w:t>
            </w:r>
          </w:p>
        </w:tc>
        <w:tc>
          <w:tcPr>
            <w:tcW w:w="641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O</w:t>
            </w:r>
            <w:r>
              <w:rPr>
                <w:rFonts w:eastAsia="Times New Roman" w:cs="Times New Roman"/>
                <w:spacing w:val="1"/>
                <w:szCs w:val="20"/>
              </w:rPr>
              <w:t>dpor</w:t>
            </w:r>
            <w:r>
              <w:rPr>
                <w:rFonts w:eastAsia="Times New Roman" w:cs="Times New Roman"/>
                <w:spacing w:val="-1"/>
                <w:szCs w:val="20"/>
              </w:rPr>
              <w:t>n</w:t>
            </w:r>
            <w:r>
              <w:rPr>
                <w:rFonts w:eastAsia="Times New Roman" w:cs="Times New Roman"/>
                <w:spacing w:val="1"/>
                <w:szCs w:val="20"/>
              </w:rPr>
              <w:t>o</w:t>
            </w:r>
            <w:r>
              <w:rPr>
                <w:rFonts w:eastAsia="Times New Roman" w:cs="Times New Roman"/>
                <w:spacing w:val="-1"/>
                <w:szCs w:val="20"/>
              </w:rPr>
              <w:t>ś</w:t>
            </w:r>
            <w:r>
              <w:rPr>
                <w:rFonts w:eastAsia="Times New Roman" w:cs="Times New Roman"/>
                <w:szCs w:val="20"/>
              </w:rPr>
              <w:t>ć</w:t>
            </w:r>
            <w:r>
              <w:rPr>
                <w:rFonts w:eastAsia="Times New Roman" w:cs="Times New Roman"/>
                <w:spacing w:val="-8"/>
                <w:szCs w:val="20"/>
              </w:rPr>
              <w:t xml:space="preserve"> </w:t>
            </w:r>
            <w:r>
              <w:rPr>
                <w:rFonts w:eastAsia="Times New Roman" w:cs="Times New Roman"/>
                <w:spacing w:val="-1"/>
                <w:szCs w:val="20"/>
              </w:rPr>
              <w:t>n</w:t>
            </w:r>
            <w:r>
              <w:rPr>
                <w:rFonts w:eastAsia="Times New Roman" w:cs="Times New Roman"/>
                <w:szCs w:val="20"/>
              </w:rPr>
              <w:t>a</w:t>
            </w:r>
            <w:r>
              <w:rPr>
                <w:rFonts w:eastAsia="Times New Roman" w:cs="Times New Roman"/>
                <w:spacing w:val="-1"/>
                <w:szCs w:val="20"/>
              </w:rPr>
              <w:t xml:space="preserve"> </w:t>
            </w:r>
            <w:r>
              <w:rPr>
                <w:rFonts w:eastAsia="Times New Roman" w:cs="Times New Roman"/>
                <w:spacing w:val="1"/>
                <w:szCs w:val="20"/>
              </w:rPr>
              <w:t>po</w:t>
            </w:r>
            <w:r>
              <w:rPr>
                <w:rFonts w:eastAsia="Times New Roman" w:cs="Times New Roman"/>
                <w:szCs w:val="20"/>
              </w:rPr>
              <w:t>le</w:t>
            </w:r>
            <w:r>
              <w:rPr>
                <w:rFonts w:eastAsia="Times New Roman" w:cs="Times New Roman"/>
                <w:spacing w:val="1"/>
                <w:szCs w:val="20"/>
              </w:rPr>
              <w:t>ro</w:t>
            </w:r>
            <w:r>
              <w:rPr>
                <w:rFonts w:eastAsia="Times New Roman" w:cs="Times New Roman"/>
                <w:spacing w:val="-5"/>
                <w:szCs w:val="20"/>
              </w:rPr>
              <w:t>w</w:t>
            </w:r>
            <w:r>
              <w:rPr>
                <w:rFonts w:eastAsia="Times New Roman" w:cs="Times New Roman"/>
                <w:spacing w:val="3"/>
                <w:szCs w:val="20"/>
              </w:rPr>
              <w:t>a</w:t>
            </w:r>
            <w:r>
              <w:rPr>
                <w:rFonts w:eastAsia="Times New Roman" w:cs="Times New Roman"/>
                <w:spacing w:val="-1"/>
                <w:szCs w:val="20"/>
              </w:rPr>
              <w:t>n</w:t>
            </w:r>
            <w:r>
              <w:rPr>
                <w:rFonts w:eastAsia="Times New Roman" w:cs="Times New Roman"/>
                <w:szCs w:val="20"/>
              </w:rPr>
              <w:t>ie</w:t>
            </w:r>
            <w:r>
              <w:rPr>
                <w:rFonts w:eastAsia="Times New Roman" w:cs="Times New Roman"/>
                <w:spacing w:val="-10"/>
                <w:szCs w:val="20"/>
              </w:rPr>
              <w:t xml:space="preserve"> </w:t>
            </w:r>
            <w:r>
              <w:rPr>
                <w:rFonts w:eastAsia="Times New Roman" w:cs="Times New Roman"/>
                <w:spacing w:val="-1"/>
                <w:szCs w:val="20"/>
              </w:rPr>
              <w:t>k</w:t>
            </w:r>
            <w:r>
              <w:rPr>
                <w:rFonts w:eastAsia="Times New Roman" w:cs="Times New Roman"/>
                <w:spacing w:val="3"/>
                <w:szCs w:val="20"/>
              </w:rPr>
              <w:t>r</w:t>
            </w:r>
            <w:r>
              <w:rPr>
                <w:rFonts w:eastAsia="Times New Roman" w:cs="Times New Roman"/>
                <w:spacing w:val="-1"/>
                <w:szCs w:val="20"/>
              </w:rPr>
              <w:t>us</w:t>
            </w:r>
            <w:r>
              <w:rPr>
                <w:rFonts w:eastAsia="Times New Roman" w:cs="Times New Roman"/>
                <w:spacing w:val="3"/>
                <w:szCs w:val="20"/>
              </w:rPr>
              <w:t>z</w:t>
            </w:r>
            <w:r>
              <w:rPr>
                <w:rFonts w:eastAsia="Times New Roman" w:cs="Times New Roman"/>
                <w:spacing w:val="1"/>
                <w:szCs w:val="20"/>
              </w:rPr>
              <w:t>y</w:t>
            </w:r>
            <w:r>
              <w:rPr>
                <w:rFonts w:eastAsia="Times New Roman" w:cs="Times New Roman"/>
                <w:szCs w:val="20"/>
              </w:rPr>
              <w:t>w</w:t>
            </w:r>
            <w:r>
              <w:rPr>
                <w:rFonts w:eastAsia="Times New Roman" w:cs="Times New Roman"/>
                <w:spacing w:val="-9"/>
                <w:szCs w:val="20"/>
              </w:rPr>
              <w:t xml:space="preserve"> </w:t>
            </w:r>
            <w:r>
              <w:rPr>
                <w:rFonts w:eastAsia="Times New Roman" w:cs="Times New Roman"/>
                <w:spacing w:val="1"/>
                <w:szCs w:val="20"/>
              </w:rPr>
              <w:t>b</w:t>
            </w:r>
            <w:r>
              <w:rPr>
                <w:rFonts w:eastAsia="Times New Roman" w:cs="Times New Roman"/>
                <w:szCs w:val="20"/>
              </w:rPr>
              <w:t>a</w:t>
            </w:r>
            <w:r>
              <w:rPr>
                <w:rFonts w:eastAsia="Times New Roman" w:cs="Times New Roman"/>
                <w:spacing w:val="1"/>
                <w:szCs w:val="20"/>
              </w:rPr>
              <w:t>d</w:t>
            </w:r>
            <w:r>
              <w:rPr>
                <w:rFonts w:eastAsia="Times New Roman" w:cs="Times New Roman"/>
                <w:szCs w:val="20"/>
              </w:rPr>
              <w:t>a</w:t>
            </w:r>
            <w:r>
              <w:rPr>
                <w:rFonts w:eastAsia="Times New Roman" w:cs="Times New Roman"/>
                <w:spacing w:val="-1"/>
                <w:szCs w:val="20"/>
              </w:rPr>
              <w:t>n</w:t>
            </w:r>
            <w:r>
              <w:rPr>
                <w:rFonts w:eastAsia="Times New Roman" w:cs="Times New Roman"/>
                <w:szCs w:val="20"/>
              </w:rPr>
              <w:t>a</w:t>
            </w:r>
            <w:r>
              <w:rPr>
                <w:rFonts w:eastAsia="Times New Roman" w:cs="Times New Roman"/>
                <w:spacing w:val="-5"/>
                <w:szCs w:val="20"/>
              </w:rPr>
              <w:t xml:space="preserve"> </w:t>
            </w:r>
            <w:r>
              <w:rPr>
                <w:rFonts w:eastAsia="Times New Roman" w:cs="Times New Roman"/>
                <w:spacing w:val="-1"/>
                <w:szCs w:val="20"/>
              </w:rPr>
              <w:t>n</w:t>
            </w:r>
            <w:r>
              <w:rPr>
                <w:rFonts w:eastAsia="Times New Roman" w:cs="Times New Roman"/>
                <w:szCs w:val="20"/>
              </w:rPr>
              <w:t>a</w:t>
            </w:r>
            <w:r>
              <w:rPr>
                <w:rFonts w:eastAsia="Times New Roman" w:cs="Times New Roman"/>
                <w:spacing w:val="1"/>
                <w:szCs w:val="20"/>
              </w:rPr>
              <w:t xml:space="preserve"> </w:t>
            </w:r>
            <w:r>
              <w:rPr>
                <w:rFonts w:eastAsia="Times New Roman" w:cs="Times New Roman"/>
                <w:spacing w:val="-1"/>
                <w:szCs w:val="20"/>
              </w:rPr>
              <w:t>n</w:t>
            </w:r>
            <w:r>
              <w:rPr>
                <w:rFonts w:eastAsia="Times New Roman" w:cs="Times New Roman"/>
                <w:spacing w:val="1"/>
                <w:szCs w:val="20"/>
              </w:rPr>
              <w:t>o</w:t>
            </w:r>
            <w:r>
              <w:rPr>
                <w:rFonts w:eastAsia="Times New Roman" w:cs="Times New Roman"/>
                <w:spacing w:val="3"/>
                <w:szCs w:val="20"/>
              </w:rPr>
              <w:t>r</w:t>
            </w:r>
            <w:r>
              <w:rPr>
                <w:rFonts w:eastAsia="Times New Roman" w:cs="Times New Roman"/>
                <w:spacing w:val="-4"/>
                <w:szCs w:val="20"/>
              </w:rPr>
              <w:t>m</w:t>
            </w:r>
            <w:r>
              <w:rPr>
                <w:rFonts w:eastAsia="Times New Roman" w:cs="Times New Roman"/>
                <w:spacing w:val="3"/>
                <w:szCs w:val="20"/>
              </w:rPr>
              <w:t>o</w:t>
            </w:r>
            <w:r>
              <w:rPr>
                <w:rFonts w:eastAsia="Times New Roman" w:cs="Times New Roman"/>
                <w:spacing w:val="-2"/>
                <w:szCs w:val="20"/>
              </w:rPr>
              <w:t>w</w:t>
            </w:r>
            <w:r>
              <w:rPr>
                <w:rFonts w:eastAsia="Times New Roman" w:cs="Times New Roman"/>
                <w:szCs w:val="20"/>
              </w:rPr>
              <w:t xml:space="preserve">ej </w:t>
            </w:r>
            <w:r>
              <w:rPr>
                <w:rFonts w:eastAsia="Times New Roman" w:cs="Times New Roman"/>
                <w:spacing w:val="-2"/>
                <w:szCs w:val="20"/>
              </w:rPr>
              <w:t>f</w:t>
            </w:r>
            <w:r>
              <w:rPr>
                <w:rFonts w:eastAsia="Times New Roman" w:cs="Times New Roman"/>
                <w:spacing w:val="1"/>
                <w:szCs w:val="20"/>
              </w:rPr>
              <w:t>r</w:t>
            </w:r>
            <w:r>
              <w:rPr>
                <w:rFonts w:eastAsia="Times New Roman" w:cs="Times New Roman"/>
                <w:szCs w:val="20"/>
              </w:rPr>
              <w:t>a</w:t>
            </w:r>
            <w:r>
              <w:rPr>
                <w:rFonts w:eastAsia="Times New Roman" w:cs="Times New Roman"/>
                <w:spacing w:val="-1"/>
                <w:szCs w:val="20"/>
              </w:rPr>
              <w:t>k</w:t>
            </w:r>
            <w:r>
              <w:rPr>
                <w:rFonts w:eastAsia="Times New Roman" w:cs="Times New Roman"/>
                <w:szCs w:val="20"/>
              </w:rPr>
              <w:t>c</w:t>
            </w:r>
            <w:r>
              <w:rPr>
                <w:rFonts w:eastAsia="Times New Roman" w:cs="Times New Roman"/>
                <w:spacing w:val="2"/>
                <w:szCs w:val="20"/>
              </w:rPr>
              <w:t>j</w:t>
            </w:r>
            <w:r>
              <w:rPr>
                <w:rFonts w:eastAsia="Times New Roman" w:cs="Times New Roman"/>
                <w:szCs w:val="20"/>
              </w:rPr>
              <w:t>i</w:t>
            </w:r>
            <w:r>
              <w:rPr>
                <w:rFonts w:eastAsia="Times New Roman" w:cs="Times New Roman"/>
                <w:spacing w:val="-5"/>
                <w:szCs w:val="20"/>
              </w:rPr>
              <w:t xml:space="preserve"> </w:t>
            </w:r>
            <w:r>
              <w:rPr>
                <w:rFonts w:eastAsia="Times New Roman" w:cs="Times New Roman"/>
                <w:spacing w:val="-1"/>
                <w:szCs w:val="20"/>
              </w:rPr>
              <w:t>k</w:t>
            </w:r>
            <w:r>
              <w:rPr>
                <w:rFonts w:eastAsia="Times New Roman" w:cs="Times New Roman"/>
                <w:spacing w:val="1"/>
                <w:szCs w:val="20"/>
              </w:rPr>
              <w:t>ru</w:t>
            </w:r>
            <w:r>
              <w:rPr>
                <w:rFonts w:eastAsia="Times New Roman" w:cs="Times New Roman"/>
                <w:spacing w:val="-1"/>
                <w:szCs w:val="20"/>
              </w:rPr>
              <w:t>s</w:t>
            </w:r>
            <w:r>
              <w:rPr>
                <w:rFonts w:eastAsia="Times New Roman" w:cs="Times New Roman"/>
                <w:spacing w:val="3"/>
                <w:szCs w:val="20"/>
              </w:rPr>
              <w:t>z</w:t>
            </w:r>
            <w:r>
              <w:rPr>
                <w:rFonts w:eastAsia="Times New Roman" w:cs="Times New Roman"/>
                <w:spacing w:val="1"/>
                <w:szCs w:val="20"/>
              </w:rPr>
              <w:t>y</w:t>
            </w:r>
            <w:r>
              <w:rPr>
                <w:rFonts w:eastAsia="Times New Roman" w:cs="Times New Roman"/>
                <w:spacing w:val="-2"/>
                <w:szCs w:val="20"/>
              </w:rPr>
              <w:t>w</w:t>
            </w:r>
            <w:r>
              <w:rPr>
                <w:rFonts w:eastAsia="Times New Roman" w:cs="Times New Roman"/>
                <w:szCs w:val="20"/>
              </w:rPr>
              <w:t>a</w:t>
            </w:r>
            <w:r>
              <w:rPr>
                <w:rFonts w:eastAsia="Times New Roman" w:cs="Times New Roman"/>
                <w:spacing w:val="-7"/>
                <w:szCs w:val="20"/>
              </w:rPr>
              <w:t xml:space="preserve"> </w:t>
            </w:r>
            <w:r>
              <w:rPr>
                <w:rFonts w:eastAsia="Times New Roman" w:cs="Times New Roman"/>
                <w:spacing w:val="1"/>
                <w:szCs w:val="20"/>
              </w:rPr>
              <w:t>d</w:t>
            </w:r>
            <w:r>
              <w:rPr>
                <w:rFonts w:eastAsia="Times New Roman" w:cs="Times New Roman"/>
                <w:szCs w:val="20"/>
              </w:rPr>
              <w:t>o</w:t>
            </w:r>
            <w:r>
              <w:rPr>
                <w:rFonts w:eastAsia="Times New Roman" w:cs="Times New Roman"/>
                <w:spacing w:val="-1"/>
                <w:szCs w:val="20"/>
              </w:rPr>
              <w:t xml:space="preserve"> m</w:t>
            </w:r>
            <w:r>
              <w:rPr>
                <w:rFonts w:eastAsia="Times New Roman" w:cs="Times New Roman"/>
                <w:szCs w:val="20"/>
              </w:rPr>
              <w:t>iesz</w:t>
            </w:r>
            <w:r>
              <w:rPr>
                <w:rFonts w:eastAsia="Times New Roman" w:cs="Times New Roman"/>
                <w:spacing w:val="2"/>
                <w:szCs w:val="20"/>
              </w:rPr>
              <w:t>a</w:t>
            </w:r>
            <w:r>
              <w:rPr>
                <w:rFonts w:eastAsia="Times New Roman" w:cs="Times New Roman"/>
                <w:spacing w:val="-1"/>
                <w:szCs w:val="20"/>
              </w:rPr>
              <w:t>n</w:t>
            </w:r>
            <w:r>
              <w:rPr>
                <w:rFonts w:eastAsia="Times New Roman" w:cs="Times New Roman"/>
                <w:spacing w:val="1"/>
                <w:szCs w:val="20"/>
              </w:rPr>
              <w:t>k</w:t>
            </w:r>
            <w:r>
              <w:rPr>
                <w:rFonts w:eastAsia="Times New Roman" w:cs="Times New Roman"/>
                <w:szCs w:val="20"/>
              </w:rPr>
              <w:t>i</w:t>
            </w:r>
            <w:r>
              <w:rPr>
                <w:rFonts w:eastAsia="Times New Roman" w:cs="Times New Roman"/>
                <w:spacing w:val="-3"/>
                <w:szCs w:val="20"/>
              </w:rPr>
              <w:t xml:space="preserve"> </w:t>
            </w:r>
            <w:r>
              <w:rPr>
                <w:rFonts w:eastAsia="Times New Roman" w:cs="Times New Roman"/>
                <w:spacing w:val="-4"/>
                <w:szCs w:val="20"/>
              </w:rPr>
              <w:t>m</w:t>
            </w:r>
            <w:r>
              <w:rPr>
                <w:rFonts w:eastAsia="Times New Roman" w:cs="Times New Roman"/>
                <w:szCs w:val="20"/>
              </w:rPr>
              <w:t>i</w:t>
            </w:r>
            <w:r>
              <w:rPr>
                <w:rFonts w:eastAsia="Times New Roman" w:cs="Times New Roman"/>
                <w:spacing w:val="-1"/>
                <w:szCs w:val="20"/>
              </w:rPr>
              <w:t>n</w:t>
            </w:r>
            <w:r>
              <w:rPr>
                <w:rFonts w:eastAsia="Times New Roman" w:cs="Times New Roman"/>
                <w:szCs w:val="20"/>
              </w:rPr>
              <w:t>e</w:t>
            </w:r>
            <w:r>
              <w:rPr>
                <w:rFonts w:eastAsia="Times New Roman" w:cs="Times New Roman"/>
                <w:spacing w:val="1"/>
                <w:szCs w:val="20"/>
              </w:rPr>
              <w:t>r</w:t>
            </w:r>
            <w:r>
              <w:rPr>
                <w:rFonts w:eastAsia="Times New Roman" w:cs="Times New Roman"/>
                <w:szCs w:val="20"/>
              </w:rPr>
              <w:t>a</w:t>
            </w:r>
            <w:r>
              <w:rPr>
                <w:rFonts w:eastAsia="Times New Roman" w:cs="Times New Roman"/>
                <w:spacing w:val="2"/>
                <w:szCs w:val="20"/>
              </w:rPr>
              <w:t>l</w:t>
            </w:r>
            <w:r>
              <w:rPr>
                <w:rFonts w:eastAsia="Times New Roman" w:cs="Times New Roman"/>
                <w:spacing w:val="-1"/>
                <w:szCs w:val="20"/>
              </w:rPr>
              <w:t>n</w:t>
            </w:r>
            <w:r>
              <w:rPr>
                <w:rFonts w:eastAsia="Times New Roman" w:cs="Times New Roman"/>
                <w:spacing w:val="5"/>
                <w:szCs w:val="20"/>
              </w:rPr>
              <w:t>o</w:t>
            </w:r>
            <w:r>
              <w:rPr>
                <w:rFonts w:eastAsia="Times New Roman" w:cs="Times New Roman"/>
                <w:spacing w:val="-2"/>
                <w:szCs w:val="20"/>
              </w:rPr>
              <w:t>-</w:t>
            </w:r>
            <w:r>
              <w:rPr>
                <w:rFonts w:eastAsia="Times New Roman" w:cs="Times New Roman"/>
                <w:spacing w:val="3"/>
                <w:szCs w:val="20"/>
              </w:rPr>
              <w:t>a</w:t>
            </w:r>
            <w:r>
              <w:rPr>
                <w:rFonts w:eastAsia="Times New Roman" w:cs="Times New Roman"/>
                <w:spacing w:val="2"/>
                <w:szCs w:val="20"/>
              </w:rPr>
              <w:t>s</w:t>
            </w:r>
            <w:r>
              <w:rPr>
                <w:rFonts w:eastAsia="Times New Roman" w:cs="Times New Roman"/>
                <w:spacing w:val="-2"/>
                <w:szCs w:val="20"/>
              </w:rPr>
              <w:t>f</w:t>
            </w:r>
            <w:r>
              <w:rPr>
                <w:rFonts w:eastAsia="Times New Roman" w:cs="Times New Roman"/>
                <w:szCs w:val="20"/>
              </w:rPr>
              <w:t>alt</w:t>
            </w:r>
            <w:r>
              <w:rPr>
                <w:rFonts w:eastAsia="Times New Roman" w:cs="Times New Roman"/>
                <w:spacing w:val="3"/>
                <w:szCs w:val="20"/>
              </w:rPr>
              <w:t>o</w:t>
            </w:r>
            <w:r>
              <w:rPr>
                <w:rFonts w:eastAsia="Times New Roman" w:cs="Times New Roman"/>
                <w:spacing w:val="-2"/>
                <w:szCs w:val="20"/>
              </w:rPr>
              <w:t>w</w:t>
            </w:r>
            <w:r>
              <w:rPr>
                <w:rFonts w:eastAsia="Times New Roman" w:cs="Times New Roman"/>
                <w:szCs w:val="20"/>
              </w:rPr>
              <w:t xml:space="preserve">ej </w:t>
            </w:r>
            <w:r>
              <w:rPr>
                <w:rFonts w:eastAsia="Times New Roman" w:cs="Times New Roman"/>
                <w:spacing w:val="-2"/>
                <w:szCs w:val="20"/>
              </w:rPr>
              <w:t>w</w:t>
            </w:r>
            <w:r>
              <w:rPr>
                <w:rFonts w:eastAsia="Times New Roman" w:cs="Times New Roman"/>
                <w:szCs w:val="20"/>
              </w:rPr>
              <w:t>e</w:t>
            </w:r>
            <w:r>
              <w:rPr>
                <w:rFonts w:eastAsia="Times New Roman" w:cs="Times New Roman"/>
                <w:spacing w:val="1"/>
                <w:szCs w:val="20"/>
              </w:rPr>
              <w:t>d</w:t>
            </w:r>
            <w:r>
              <w:rPr>
                <w:rFonts w:eastAsia="Times New Roman" w:cs="Times New Roman"/>
                <w:spacing w:val="2"/>
                <w:szCs w:val="20"/>
              </w:rPr>
              <w:t>ł</w:t>
            </w:r>
            <w:r>
              <w:rPr>
                <w:rFonts w:eastAsia="Times New Roman" w:cs="Times New Roman"/>
                <w:spacing w:val="-1"/>
                <w:szCs w:val="20"/>
              </w:rPr>
              <w:t>u</w:t>
            </w:r>
            <w:r>
              <w:rPr>
                <w:rFonts w:eastAsia="Times New Roman" w:cs="Times New Roman"/>
                <w:szCs w:val="20"/>
              </w:rPr>
              <w:t>g</w:t>
            </w:r>
            <w:r>
              <w:rPr>
                <w:rFonts w:eastAsia="Times New Roman" w:cs="Times New Roman"/>
                <w:spacing w:val="-7"/>
                <w:szCs w:val="20"/>
              </w:rPr>
              <w:t xml:space="preserve"> </w:t>
            </w:r>
            <w:r>
              <w:rPr>
                <w:rFonts w:eastAsia="Times New Roman" w:cs="Times New Roman"/>
                <w:spacing w:val="2"/>
                <w:szCs w:val="20"/>
              </w:rPr>
              <w:t>P</w:t>
            </w:r>
            <w:r>
              <w:rPr>
                <w:rFonts w:eastAsia="Times New Roman" w:cs="Times New Roman"/>
                <w:spacing w:val="1"/>
                <w:szCs w:val="20"/>
              </w:rPr>
              <w:t>N</w:t>
            </w:r>
            <w:r>
              <w:rPr>
                <w:rFonts w:eastAsia="Times New Roman" w:cs="Times New Roman"/>
                <w:spacing w:val="-2"/>
                <w:szCs w:val="20"/>
              </w:rPr>
              <w:t>-</w:t>
            </w:r>
            <w:r>
              <w:rPr>
                <w:rFonts w:eastAsia="Times New Roman" w:cs="Times New Roman"/>
                <w:spacing w:val="3"/>
                <w:szCs w:val="20"/>
              </w:rPr>
              <w:t>E</w:t>
            </w:r>
            <w:r>
              <w:rPr>
                <w:rFonts w:eastAsia="Times New Roman" w:cs="Times New Roman"/>
                <w:szCs w:val="20"/>
              </w:rPr>
              <w:t>N</w:t>
            </w:r>
            <w:r>
              <w:rPr>
                <w:rFonts w:eastAsia="Times New Roman" w:cs="Times New Roman"/>
                <w:spacing w:val="-6"/>
                <w:szCs w:val="20"/>
              </w:rPr>
              <w:t xml:space="preserve"> </w:t>
            </w:r>
            <w:r>
              <w:rPr>
                <w:rFonts w:eastAsia="Times New Roman" w:cs="Times New Roman"/>
                <w:spacing w:val="1"/>
                <w:szCs w:val="20"/>
              </w:rPr>
              <w:t>109</w:t>
            </w:r>
            <w:r>
              <w:rPr>
                <w:rFonts w:eastAsia="Times New Roman" w:cs="Times New Roman"/>
                <w:spacing w:val="3"/>
                <w:szCs w:val="20"/>
              </w:rPr>
              <w:t>7</w:t>
            </w:r>
            <w:r>
              <w:rPr>
                <w:rFonts w:eastAsia="Times New Roman" w:cs="Times New Roman"/>
                <w:spacing w:val="-2"/>
                <w:szCs w:val="20"/>
              </w:rPr>
              <w:t>-</w:t>
            </w:r>
            <w:r>
              <w:rPr>
                <w:rFonts w:eastAsia="Times New Roman" w:cs="Times New Roman"/>
                <w:spacing w:val="1"/>
                <w:szCs w:val="20"/>
              </w:rPr>
              <w:t>8</w:t>
            </w:r>
            <w:r>
              <w:rPr>
                <w:rFonts w:eastAsia="Times New Roman" w:cs="Times New Roman"/>
                <w:szCs w:val="20"/>
              </w:rPr>
              <w:t>,</w:t>
            </w:r>
            <w:r>
              <w:rPr>
                <w:rFonts w:eastAsia="Times New Roman" w:cs="Times New Roman"/>
                <w:spacing w:val="-5"/>
                <w:szCs w:val="20"/>
              </w:rPr>
              <w:t xml:space="preserve"> </w:t>
            </w:r>
            <w:r>
              <w:rPr>
                <w:rFonts w:eastAsia="Times New Roman" w:cs="Times New Roman"/>
                <w:spacing w:val="-1"/>
                <w:szCs w:val="20"/>
              </w:rPr>
              <w:t>k</w:t>
            </w:r>
            <w:r>
              <w:rPr>
                <w:rFonts w:eastAsia="Times New Roman" w:cs="Times New Roman"/>
                <w:szCs w:val="20"/>
              </w:rPr>
              <w:t>ate</w:t>
            </w:r>
            <w:r>
              <w:rPr>
                <w:rFonts w:eastAsia="Times New Roman" w:cs="Times New Roman"/>
                <w:spacing w:val="2"/>
                <w:szCs w:val="20"/>
              </w:rPr>
              <w:t>g</w:t>
            </w:r>
            <w:r>
              <w:rPr>
                <w:rFonts w:eastAsia="Times New Roman" w:cs="Times New Roman"/>
                <w:spacing w:val="1"/>
                <w:szCs w:val="20"/>
              </w:rPr>
              <w:t>or</w:t>
            </w:r>
            <w:r>
              <w:rPr>
                <w:rFonts w:eastAsia="Times New Roman" w:cs="Times New Roman"/>
                <w:szCs w:val="20"/>
              </w:rPr>
              <w:t>ia</w:t>
            </w:r>
            <w:r>
              <w:rPr>
                <w:rFonts w:eastAsia="Times New Roman" w:cs="Times New Roman"/>
                <w:spacing w:val="-7"/>
                <w:szCs w:val="20"/>
              </w:rPr>
              <w:t xml:space="preserve"> </w:t>
            </w:r>
            <w:r>
              <w:rPr>
                <w:rFonts w:eastAsia="Times New Roman" w:cs="Times New Roman"/>
                <w:spacing w:val="-1"/>
                <w:szCs w:val="20"/>
              </w:rPr>
              <w:t>n</w:t>
            </w:r>
            <w:r>
              <w:rPr>
                <w:rFonts w:eastAsia="Times New Roman" w:cs="Times New Roman"/>
                <w:szCs w:val="20"/>
              </w:rPr>
              <w:t>ie</w:t>
            </w:r>
            <w:r>
              <w:rPr>
                <w:rFonts w:eastAsia="Times New Roman" w:cs="Times New Roman"/>
                <w:spacing w:val="-2"/>
                <w:szCs w:val="20"/>
              </w:rPr>
              <w:t xml:space="preserve"> </w:t>
            </w:r>
            <w:r>
              <w:rPr>
                <w:rFonts w:eastAsia="Times New Roman" w:cs="Times New Roman"/>
                <w:spacing w:val="-1"/>
                <w:szCs w:val="20"/>
              </w:rPr>
              <w:t>n</w:t>
            </w:r>
            <w:r>
              <w:rPr>
                <w:rFonts w:eastAsia="Times New Roman" w:cs="Times New Roman"/>
                <w:szCs w:val="20"/>
              </w:rPr>
              <w:t>iższa</w:t>
            </w:r>
            <w:r>
              <w:rPr>
                <w:rFonts w:eastAsia="Times New Roman" w:cs="Times New Roman"/>
                <w:spacing w:val="-2"/>
                <w:szCs w:val="20"/>
              </w:rPr>
              <w:t xml:space="preserve"> </w:t>
            </w:r>
            <w:r>
              <w:rPr>
                <w:rFonts w:eastAsia="Times New Roman" w:cs="Times New Roman"/>
                <w:spacing w:val="-1"/>
                <w:szCs w:val="20"/>
              </w:rPr>
              <w:t>n</w:t>
            </w:r>
            <w:r>
              <w:rPr>
                <w:rFonts w:eastAsia="Times New Roman" w:cs="Times New Roman"/>
                <w:szCs w:val="20"/>
              </w:rPr>
              <w:t>iż:</w:t>
            </w:r>
          </w:p>
        </w:tc>
        <w:tc>
          <w:tcPr>
            <w:tcW w:w="2579"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i/>
                <w:w w:val="99"/>
                <w:szCs w:val="20"/>
              </w:rPr>
              <w:t>P</w:t>
            </w:r>
            <w:r>
              <w:rPr>
                <w:rFonts w:eastAsia="Times New Roman" w:cs="Times New Roman"/>
                <w:i/>
                <w:spacing w:val="1"/>
                <w:w w:val="99"/>
                <w:szCs w:val="20"/>
              </w:rPr>
              <w:t>SV</w:t>
            </w:r>
            <w:r>
              <w:rPr>
                <w:rFonts w:eastAsia="Times New Roman" w:cs="Times New Roman"/>
                <w:w w:val="99"/>
                <w:position w:val="-5"/>
                <w:szCs w:val="20"/>
              </w:rPr>
              <w:t>50</w:t>
            </w:r>
          </w:p>
        </w:tc>
      </w:tr>
      <w:tr w:rsidR="00B77F00">
        <w:tblPrEx>
          <w:tblCellMar>
            <w:top w:w="0" w:type="dxa"/>
            <w:bottom w:w="0" w:type="dxa"/>
          </w:tblCellMar>
        </w:tblPrEx>
        <w:trPr>
          <w:cantSplit/>
        </w:trPr>
        <w:tc>
          <w:tcPr>
            <w:tcW w:w="644"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w w:val="99"/>
                <w:szCs w:val="20"/>
              </w:rPr>
            </w:pPr>
            <w:r>
              <w:rPr>
                <w:rFonts w:eastAsia="Times New Roman" w:cs="Times New Roman"/>
                <w:w w:val="99"/>
                <w:szCs w:val="20"/>
              </w:rPr>
              <w:t>8</w:t>
            </w:r>
          </w:p>
        </w:tc>
        <w:tc>
          <w:tcPr>
            <w:tcW w:w="641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Gęst</w:t>
            </w:r>
            <w:r>
              <w:rPr>
                <w:rFonts w:eastAsia="Times New Roman" w:cs="Times New Roman"/>
                <w:spacing w:val="1"/>
                <w:szCs w:val="20"/>
              </w:rPr>
              <w:t>o</w:t>
            </w:r>
            <w:r>
              <w:rPr>
                <w:rFonts w:eastAsia="Times New Roman" w:cs="Times New Roman"/>
                <w:spacing w:val="-1"/>
                <w:szCs w:val="20"/>
              </w:rPr>
              <w:t>ś</w:t>
            </w:r>
            <w:r>
              <w:rPr>
                <w:rFonts w:eastAsia="Times New Roman" w:cs="Times New Roman"/>
                <w:szCs w:val="20"/>
              </w:rPr>
              <w:t>ć</w:t>
            </w:r>
            <w:r>
              <w:rPr>
                <w:rFonts w:eastAsia="Times New Roman" w:cs="Times New Roman"/>
                <w:spacing w:val="-5"/>
                <w:szCs w:val="20"/>
              </w:rPr>
              <w:t xml:space="preserve"> </w:t>
            </w:r>
            <w:r>
              <w:rPr>
                <w:rFonts w:eastAsia="Times New Roman" w:cs="Times New Roman"/>
                <w:szCs w:val="20"/>
              </w:rPr>
              <w:t>zia</w:t>
            </w:r>
            <w:r>
              <w:rPr>
                <w:rFonts w:eastAsia="Times New Roman" w:cs="Times New Roman"/>
                <w:spacing w:val="1"/>
                <w:szCs w:val="20"/>
              </w:rPr>
              <w:t>r</w:t>
            </w:r>
            <w:r>
              <w:rPr>
                <w:rFonts w:eastAsia="Times New Roman" w:cs="Times New Roman"/>
                <w:szCs w:val="20"/>
              </w:rPr>
              <w:t>en</w:t>
            </w:r>
            <w:r>
              <w:rPr>
                <w:rFonts w:eastAsia="Times New Roman" w:cs="Times New Roman"/>
                <w:spacing w:val="-3"/>
                <w:szCs w:val="20"/>
              </w:rPr>
              <w:t xml:space="preserve"> </w:t>
            </w:r>
            <w:r>
              <w:rPr>
                <w:rFonts w:eastAsia="Times New Roman" w:cs="Times New Roman"/>
                <w:spacing w:val="-2"/>
                <w:szCs w:val="20"/>
              </w:rPr>
              <w:t>w</w:t>
            </w:r>
            <w:r>
              <w:rPr>
                <w:rFonts w:eastAsia="Times New Roman" w:cs="Times New Roman"/>
                <w:szCs w:val="20"/>
              </w:rPr>
              <w:t>e</w:t>
            </w:r>
            <w:r>
              <w:rPr>
                <w:rFonts w:eastAsia="Times New Roman" w:cs="Times New Roman"/>
                <w:spacing w:val="1"/>
                <w:szCs w:val="20"/>
              </w:rPr>
              <w:t>d</w:t>
            </w:r>
            <w:r>
              <w:rPr>
                <w:rFonts w:eastAsia="Times New Roman" w:cs="Times New Roman"/>
                <w:spacing w:val="2"/>
                <w:szCs w:val="20"/>
              </w:rPr>
              <w:t>ł</w:t>
            </w:r>
            <w:r>
              <w:rPr>
                <w:rFonts w:eastAsia="Times New Roman" w:cs="Times New Roman"/>
                <w:spacing w:val="-1"/>
                <w:szCs w:val="20"/>
              </w:rPr>
              <w:t>u</w:t>
            </w:r>
            <w:r>
              <w:rPr>
                <w:rFonts w:eastAsia="Times New Roman" w:cs="Times New Roman"/>
                <w:szCs w:val="20"/>
              </w:rPr>
              <w:t>g</w:t>
            </w:r>
            <w:r>
              <w:rPr>
                <w:rFonts w:eastAsia="Times New Roman" w:cs="Times New Roman"/>
                <w:spacing w:val="-7"/>
                <w:szCs w:val="20"/>
              </w:rPr>
              <w:t xml:space="preserve"> </w:t>
            </w:r>
            <w:r>
              <w:rPr>
                <w:rFonts w:eastAsia="Times New Roman" w:cs="Times New Roman"/>
                <w:spacing w:val="2"/>
                <w:szCs w:val="20"/>
              </w:rPr>
              <w:t>P</w:t>
            </w:r>
            <w:r>
              <w:rPr>
                <w:rFonts w:eastAsia="Times New Roman" w:cs="Times New Roman"/>
                <w:spacing w:val="5"/>
                <w:szCs w:val="20"/>
              </w:rPr>
              <w:t>N</w:t>
            </w:r>
            <w:r>
              <w:rPr>
                <w:rFonts w:eastAsia="Times New Roman" w:cs="Times New Roman"/>
                <w:spacing w:val="-2"/>
                <w:szCs w:val="20"/>
              </w:rPr>
              <w:t>-</w:t>
            </w:r>
            <w:r>
              <w:rPr>
                <w:rFonts w:eastAsia="Times New Roman" w:cs="Times New Roman"/>
                <w:szCs w:val="20"/>
              </w:rPr>
              <w:t>EN</w:t>
            </w:r>
            <w:r>
              <w:rPr>
                <w:rFonts w:eastAsia="Times New Roman" w:cs="Times New Roman"/>
                <w:spacing w:val="-3"/>
                <w:szCs w:val="20"/>
              </w:rPr>
              <w:t xml:space="preserve"> </w:t>
            </w:r>
            <w:r>
              <w:rPr>
                <w:rFonts w:eastAsia="Times New Roman" w:cs="Times New Roman"/>
                <w:spacing w:val="1"/>
                <w:szCs w:val="20"/>
              </w:rPr>
              <w:t>109</w:t>
            </w:r>
            <w:r>
              <w:rPr>
                <w:rFonts w:eastAsia="Times New Roman" w:cs="Times New Roman"/>
                <w:spacing w:val="2"/>
                <w:szCs w:val="20"/>
              </w:rPr>
              <w:t>7</w:t>
            </w:r>
            <w:r>
              <w:rPr>
                <w:rFonts w:eastAsia="Times New Roman" w:cs="Times New Roman"/>
                <w:spacing w:val="-2"/>
                <w:szCs w:val="20"/>
              </w:rPr>
              <w:t>-</w:t>
            </w:r>
            <w:r>
              <w:rPr>
                <w:rFonts w:eastAsia="Times New Roman" w:cs="Times New Roman"/>
                <w:spacing w:val="1"/>
                <w:szCs w:val="20"/>
              </w:rPr>
              <w:t>6</w:t>
            </w:r>
            <w:r>
              <w:rPr>
                <w:rFonts w:eastAsia="Times New Roman" w:cs="Times New Roman"/>
                <w:szCs w:val="20"/>
              </w:rPr>
              <w:t>,</w:t>
            </w:r>
            <w:r>
              <w:rPr>
                <w:rFonts w:eastAsia="Times New Roman" w:cs="Times New Roman"/>
                <w:spacing w:val="-8"/>
                <w:szCs w:val="20"/>
              </w:rPr>
              <w:t xml:space="preserve"> </w:t>
            </w:r>
            <w:r>
              <w:rPr>
                <w:rFonts w:eastAsia="Times New Roman" w:cs="Times New Roman"/>
                <w:spacing w:val="1"/>
                <w:szCs w:val="20"/>
              </w:rPr>
              <w:t>ro</w:t>
            </w:r>
            <w:r>
              <w:rPr>
                <w:rFonts w:eastAsia="Times New Roman" w:cs="Times New Roman"/>
                <w:szCs w:val="20"/>
              </w:rPr>
              <w:t>z</w:t>
            </w:r>
            <w:r>
              <w:rPr>
                <w:rFonts w:eastAsia="Times New Roman" w:cs="Times New Roman"/>
                <w:spacing w:val="1"/>
                <w:szCs w:val="20"/>
              </w:rPr>
              <w:t>d</w:t>
            </w:r>
            <w:r>
              <w:rPr>
                <w:rFonts w:eastAsia="Times New Roman" w:cs="Times New Roman"/>
                <w:szCs w:val="20"/>
              </w:rPr>
              <w:t>ział</w:t>
            </w:r>
            <w:r>
              <w:rPr>
                <w:rFonts w:eastAsia="Times New Roman" w:cs="Times New Roman"/>
                <w:spacing w:val="-8"/>
                <w:szCs w:val="20"/>
              </w:rPr>
              <w:t xml:space="preserve"> </w:t>
            </w:r>
            <w:r>
              <w:rPr>
                <w:rFonts w:eastAsia="Times New Roman" w:cs="Times New Roman"/>
                <w:spacing w:val="1"/>
                <w:szCs w:val="20"/>
              </w:rPr>
              <w:t>7</w:t>
            </w:r>
            <w:r>
              <w:rPr>
                <w:rFonts w:eastAsia="Times New Roman" w:cs="Times New Roman"/>
                <w:szCs w:val="20"/>
              </w:rPr>
              <w:t>, 8 l</w:t>
            </w:r>
            <w:r>
              <w:rPr>
                <w:rFonts w:eastAsia="Times New Roman" w:cs="Times New Roman"/>
                <w:spacing w:val="-1"/>
                <w:szCs w:val="20"/>
              </w:rPr>
              <w:t>u</w:t>
            </w:r>
            <w:r>
              <w:rPr>
                <w:rFonts w:eastAsia="Times New Roman" w:cs="Times New Roman"/>
                <w:szCs w:val="20"/>
              </w:rPr>
              <w:t>b</w:t>
            </w:r>
            <w:r>
              <w:rPr>
                <w:rFonts w:eastAsia="Times New Roman" w:cs="Times New Roman"/>
                <w:spacing w:val="-2"/>
                <w:szCs w:val="20"/>
              </w:rPr>
              <w:t xml:space="preserve"> </w:t>
            </w:r>
            <w:r>
              <w:rPr>
                <w:rFonts w:eastAsia="Times New Roman" w:cs="Times New Roman"/>
                <w:spacing w:val="1"/>
                <w:szCs w:val="20"/>
              </w:rPr>
              <w:t>9</w:t>
            </w:r>
            <w:r>
              <w:rPr>
                <w:rFonts w:eastAsia="Times New Roman" w:cs="Times New Roman"/>
                <w:szCs w:val="20"/>
              </w:rPr>
              <w:t>:</w:t>
            </w:r>
          </w:p>
        </w:tc>
        <w:tc>
          <w:tcPr>
            <w:tcW w:w="2579"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1"/>
                <w:szCs w:val="20"/>
              </w:rPr>
              <w:t>d</w:t>
            </w:r>
            <w:r>
              <w:rPr>
                <w:rFonts w:eastAsia="Times New Roman" w:cs="Times New Roman"/>
                <w:szCs w:val="20"/>
              </w:rPr>
              <w:t>e</w:t>
            </w:r>
            <w:r>
              <w:rPr>
                <w:rFonts w:eastAsia="Times New Roman" w:cs="Times New Roman"/>
                <w:spacing w:val="-1"/>
                <w:szCs w:val="20"/>
              </w:rPr>
              <w:t>k</w:t>
            </w:r>
            <w:r>
              <w:rPr>
                <w:rFonts w:eastAsia="Times New Roman" w:cs="Times New Roman"/>
                <w:szCs w:val="20"/>
              </w:rPr>
              <w:t>la</w:t>
            </w:r>
            <w:r>
              <w:rPr>
                <w:rFonts w:eastAsia="Times New Roman" w:cs="Times New Roman"/>
                <w:spacing w:val="1"/>
                <w:szCs w:val="20"/>
              </w:rPr>
              <w:t>r</w:t>
            </w:r>
            <w:r>
              <w:rPr>
                <w:rFonts w:eastAsia="Times New Roman" w:cs="Times New Roman"/>
                <w:spacing w:val="3"/>
                <w:szCs w:val="20"/>
              </w:rPr>
              <w:t>o</w:t>
            </w:r>
            <w:r>
              <w:rPr>
                <w:rFonts w:eastAsia="Times New Roman" w:cs="Times New Roman"/>
                <w:spacing w:val="-4"/>
                <w:szCs w:val="20"/>
              </w:rPr>
              <w:t>w</w:t>
            </w:r>
            <w:r>
              <w:rPr>
                <w:rFonts w:eastAsia="Times New Roman" w:cs="Times New Roman"/>
                <w:spacing w:val="3"/>
                <w:szCs w:val="20"/>
              </w:rPr>
              <w:t>a</w:t>
            </w:r>
            <w:r>
              <w:rPr>
                <w:rFonts w:eastAsia="Times New Roman" w:cs="Times New Roman"/>
                <w:spacing w:val="-1"/>
                <w:szCs w:val="20"/>
              </w:rPr>
              <w:t>n</w:t>
            </w:r>
            <w:r>
              <w:rPr>
                <w:rFonts w:eastAsia="Times New Roman" w:cs="Times New Roman"/>
                <w:szCs w:val="20"/>
              </w:rPr>
              <w:t>a</w:t>
            </w:r>
            <w:r>
              <w:rPr>
                <w:rFonts w:eastAsia="Times New Roman" w:cs="Times New Roman"/>
                <w:spacing w:val="-9"/>
                <w:szCs w:val="20"/>
              </w:rPr>
              <w:t xml:space="preserve"> </w:t>
            </w:r>
            <w:r>
              <w:rPr>
                <w:rFonts w:eastAsia="Times New Roman" w:cs="Times New Roman"/>
                <w:spacing w:val="1"/>
                <w:w w:val="99"/>
                <w:szCs w:val="20"/>
              </w:rPr>
              <w:t>pr</w:t>
            </w:r>
            <w:r>
              <w:rPr>
                <w:rFonts w:eastAsia="Times New Roman" w:cs="Times New Roman"/>
                <w:w w:val="99"/>
                <w:szCs w:val="20"/>
              </w:rPr>
              <w:t>z</w:t>
            </w:r>
            <w:r>
              <w:rPr>
                <w:rFonts w:eastAsia="Times New Roman" w:cs="Times New Roman"/>
                <w:spacing w:val="1"/>
                <w:w w:val="99"/>
                <w:szCs w:val="20"/>
              </w:rPr>
              <w:t>e</w:t>
            </w:r>
            <w:r>
              <w:rPr>
                <w:rFonts w:eastAsia="Times New Roman" w:cs="Times New Roman"/>
                <w:w w:val="99"/>
                <w:szCs w:val="20"/>
              </w:rPr>
              <w:t>z</w:t>
            </w:r>
          </w:p>
          <w:p w:rsidR="00B77F00" w:rsidRDefault="00865FA3">
            <w:pPr>
              <w:pStyle w:val="Standard"/>
              <w:rPr>
                <w:szCs w:val="20"/>
              </w:rPr>
            </w:pPr>
            <w:r>
              <w:rPr>
                <w:rFonts w:eastAsia="Times New Roman" w:cs="Times New Roman"/>
                <w:spacing w:val="1"/>
                <w:w w:val="99"/>
                <w:szCs w:val="20"/>
              </w:rPr>
              <w:t>prod</w:t>
            </w:r>
            <w:r>
              <w:rPr>
                <w:rFonts w:eastAsia="Times New Roman" w:cs="Times New Roman"/>
                <w:spacing w:val="-1"/>
                <w:w w:val="99"/>
                <w:szCs w:val="20"/>
              </w:rPr>
              <w:t>u</w:t>
            </w:r>
            <w:r>
              <w:rPr>
                <w:rFonts w:eastAsia="Times New Roman" w:cs="Times New Roman"/>
                <w:w w:val="99"/>
                <w:szCs w:val="20"/>
              </w:rPr>
              <w:t>c</w:t>
            </w:r>
            <w:r>
              <w:rPr>
                <w:rFonts w:eastAsia="Times New Roman" w:cs="Times New Roman"/>
                <w:spacing w:val="1"/>
                <w:w w:val="99"/>
                <w:szCs w:val="20"/>
              </w:rPr>
              <w:t>e</w:t>
            </w:r>
            <w:r>
              <w:rPr>
                <w:rFonts w:eastAsia="Times New Roman" w:cs="Times New Roman"/>
                <w:spacing w:val="-1"/>
                <w:w w:val="99"/>
                <w:szCs w:val="20"/>
              </w:rPr>
              <w:t>n</w:t>
            </w:r>
            <w:r>
              <w:rPr>
                <w:rFonts w:eastAsia="Times New Roman" w:cs="Times New Roman"/>
                <w:w w:val="99"/>
                <w:szCs w:val="20"/>
              </w:rPr>
              <w:t>ta</w:t>
            </w:r>
          </w:p>
        </w:tc>
      </w:tr>
      <w:tr w:rsidR="00B77F00">
        <w:tblPrEx>
          <w:tblCellMar>
            <w:top w:w="0" w:type="dxa"/>
            <w:bottom w:w="0" w:type="dxa"/>
          </w:tblCellMar>
        </w:tblPrEx>
        <w:trPr>
          <w:cantSplit/>
        </w:trPr>
        <w:tc>
          <w:tcPr>
            <w:tcW w:w="644"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w w:val="99"/>
                <w:szCs w:val="20"/>
              </w:rPr>
            </w:pPr>
            <w:r>
              <w:rPr>
                <w:rFonts w:eastAsia="Times New Roman" w:cs="Times New Roman"/>
                <w:w w:val="99"/>
                <w:szCs w:val="20"/>
              </w:rPr>
              <w:t>9</w:t>
            </w:r>
          </w:p>
        </w:tc>
        <w:tc>
          <w:tcPr>
            <w:tcW w:w="641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Gęst</w:t>
            </w:r>
            <w:r>
              <w:rPr>
                <w:rFonts w:eastAsia="Times New Roman" w:cs="Times New Roman"/>
                <w:spacing w:val="1"/>
                <w:szCs w:val="20"/>
              </w:rPr>
              <w:t>o</w:t>
            </w:r>
            <w:r>
              <w:rPr>
                <w:rFonts w:eastAsia="Times New Roman" w:cs="Times New Roman"/>
                <w:spacing w:val="-1"/>
                <w:szCs w:val="20"/>
              </w:rPr>
              <w:t>ś</w:t>
            </w:r>
            <w:r>
              <w:rPr>
                <w:rFonts w:eastAsia="Times New Roman" w:cs="Times New Roman"/>
                <w:szCs w:val="20"/>
              </w:rPr>
              <w:t>ć</w:t>
            </w:r>
            <w:r>
              <w:rPr>
                <w:rFonts w:eastAsia="Times New Roman" w:cs="Times New Roman"/>
                <w:spacing w:val="-5"/>
                <w:szCs w:val="20"/>
              </w:rPr>
              <w:t xml:space="preserve"> </w:t>
            </w:r>
            <w:r>
              <w:rPr>
                <w:rFonts w:eastAsia="Times New Roman" w:cs="Times New Roman"/>
                <w:spacing w:val="-1"/>
                <w:szCs w:val="20"/>
              </w:rPr>
              <w:t>n</w:t>
            </w:r>
            <w:r>
              <w:rPr>
                <w:rFonts w:eastAsia="Times New Roman" w:cs="Times New Roman"/>
                <w:spacing w:val="3"/>
                <w:szCs w:val="20"/>
              </w:rPr>
              <w:t>a</w:t>
            </w:r>
            <w:r>
              <w:rPr>
                <w:rFonts w:eastAsia="Times New Roman" w:cs="Times New Roman"/>
                <w:spacing w:val="2"/>
                <w:szCs w:val="20"/>
              </w:rPr>
              <w:t>s</w:t>
            </w:r>
            <w:r>
              <w:rPr>
                <w:rFonts w:eastAsia="Times New Roman" w:cs="Times New Roman"/>
                <w:spacing w:val="-4"/>
                <w:szCs w:val="20"/>
              </w:rPr>
              <w:t>y</w:t>
            </w:r>
            <w:r>
              <w:rPr>
                <w:rFonts w:eastAsia="Times New Roman" w:cs="Times New Roman"/>
                <w:spacing w:val="1"/>
                <w:szCs w:val="20"/>
              </w:rPr>
              <w:t>p</w:t>
            </w:r>
            <w:r>
              <w:rPr>
                <w:rFonts w:eastAsia="Times New Roman" w:cs="Times New Roman"/>
                <w:spacing w:val="3"/>
                <w:szCs w:val="20"/>
              </w:rPr>
              <w:t>o</w:t>
            </w:r>
            <w:r>
              <w:rPr>
                <w:rFonts w:eastAsia="Times New Roman" w:cs="Times New Roman"/>
                <w:spacing w:val="-2"/>
                <w:szCs w:val="20"/>
              </w:rPr>
              <w:t>w</w:t>
            </w:r>
            <w:r>
              <w:rPr>
                <w:rFonts w:eastAsia="Times New Roman" w:cs="Times New Roman"/>
                <w:szCs w:val="20"/>
              </w:rPr>
              <w:t>a</w:t>
            </w:r>
            <w:r>
              <w:rPr>
                <w:rFonts w:eastAsia="Times New Roman" w:cs="Times New Roman"/>
                <w:spacing w:val="-5"/>
                <w:szCs w:val="20"/>
              </w:rPr>
              <w:t xml:space="preserve"> </w:t>
            </w:r>
            <w:r>
              <w:rPr>
                <w:rFonts w:eastAsia="Times New Roman" w:cs="Times New Roman"/>
                <w:spacing w:val="-2"/>
                <w:szCs w:val="20"/>
              </w:rPr>
              <w:t>w</w:t>
            </w:r>
            <w:r>
              <w:rPr>
                <w:rFonts w:eastAsia="Times New Roman" w:cs="Times New Roman"/>
                <w:szCs w:val="20"/>
              </w:rPr>
              <w:t>e</w:t>
            </w:r>
            <w:r>
              <w:rPr>
                <w:rFonts w:eastAsia="Times New Roman" w:cs="Times New Roman"/>
                <w:spacing w:val="1"/>
                <w:szCs w:val="20"/>
              </w:rPr>
              <w:t>d</w:t>
            </w:r>
            <w:r>
              <w:rPr>
                <w:rFonts w:eastAsia="Times New Roman" w:cs="Times New Roman"/>
                <w:szCs w:val="20"/>
              </w:rPr>
              <w:t>ł</w:t>
            </w:r>
            <w:r>
              <w:rPr>
                <w:rFonts w:eastAsia="Times New Roman" w:cs="Times New Roman"/>
                <w:spacing w:val="1"/>
                <w:szCs w:val="20"/>
              </w:rPr>
              <w:t>u</w:t>
            </w:r>
            <w:r>
              <w:rPr>
                <w:rFonts w:eastAsia="Times New Roman" w:cs="Times New Roman"/>
                <w:szCs w:val="20"/>
              </w:rPr>
              <w:t>g</w:t>
            </w:r>
            <w:r>
              <w:rPr>
                <w:rFonts w:eastAsia="Times New Roman" w:cs="Times New Roman"/>
                <w:spacing w:val="-5"/>
                <w:szCs w:val="20"/>
              </w:rPr>
              <w:t xml:space="preserve"> </w:t>
            </w:r>
            <w:r>
              <w:rPr>
                <w:rFonts w:eastAsia="Times New Roman" w:cs="Times New Roman"/>
                <w:spacing w:val="-1"/>
                <w:szCs w:val="20"/>
              </w:rPr>
              <w:t>n</w:t>
            </w:r>
            <w:r>
              <w:rPr>
                <w:rFonts w:eastAsia="Times New Roman" w:cs="Times New Roman"/>
                <w:spacing w:val="1"/>
                <w:szCs w:val="20"/>
              </w:rPr>
              <w:t>or</w:t>
            </w:r>
            <w:r>
              <w:rPr>
                <w:rFonts w:eastAsia="Times New Roman" w:cs="Times New Roman"/>
                <w:spacing w:val="-1"/>
                <w:szCs w:val="20"/>
              </w:rPr>
              <w:t>m</w:t>
            </w:r>
            <w:r>
              <w:rPr>
                <w:rFonts w:eastAsia="Times New Roman" w:cs="Times New Roman"/>
                <w:szCs w:val="20"/>
              </w:rPr>
              <w:t>y</w:t>
            </w:r>
            <w:r>
              <w:rPr>
                <w:rFonts w:eastAsia="Times New Roman" w:cs="Times New Roman"/>
                <w:spacing w:val="-6"/>
                <w:szCs w:val="20"/>
              </w:rPr>
              <w:t xml:space="preserve"> </w:t>
            </w:r>
            <w:r>
              <w:rPr>
                <w:rFonts w:eastAsia="Times New Roman" w:cs="Times New Roman"/>
                <w:spacing w:val="2"/>
                <w:szCs w:val="20"/>
              </w:rPr>
              <w:t>P</w:t>
            </w:r>
            <w:r>
              <w:rPr>
                <w:rFonts w:eastAsia="Times New Roman" w:cs="Times New Roman"/>
                <w:spacing w:val="6"/>
                <w:szCs w:val="20"/>
              </w:rPr>
              <w:t>N</w:t>
            </w:r>
            <w:r>
              <w:rPr>
                <w:rFonts w:eastAsia="Times New Roman" w:cs="Times New Roman"/>
                <w:spacing w:val="-2"/>
                <w:szCs w:val="20"/>
              </w:rPr>
              <w:t>-</w:t>
            </w:r>
            <w:r>
              <w:rPr>
                <w:rFonts w:eastAsia="Times New Roman" w:cs="Times New Roman"/>
                <w:szCs w:val="20"/>
              </w:rPr>
              <w:t>EN</w:t>
            </w:r>
            <w:r>
              <w:rPr>
                <w:rFonts w:eastAsia="Times New Roman" w:cs="Times New Roman"/>
                <w:spacing w:val="-6"/>
                <w:szCs w:val="20"/>
              </w:rPr>
              <w:t xml:space="preserve"> </w:t>
            </w:r>
            <w:r>
              <w:rPr>
                <w:rFonts w:eastAsia="Times New Roman" w:cs="Times New Roman"/>
                <w:spacing w:val="1"/>
                <w:szCs w:val="20"/>
              </w:rPr>
              <w:t>109</w:t>
            </w:r>
            <w:r>
              <w:rPr>
                <w:rFonts w:eastAsia="Times New Roman" w:cs="Times New Roman"/>
                <w:spacing w:val="2"/>
                <w:szCs w:val="20"/>
              </w:rPr>
              <w:t>7</w:t>
            </w:r>
            <w:r>
              <w:rPr>
                <w:rFonts w:eastAsia="Times New Roman" w:cs="Times New Roman"/>
                <w:spacing w:val="-2"/>
                <w:szCs w:val="20"/>
              </w:rPr>
              <w:t>-</w:t>
            </w:r>
            <w:r>
              <w:rPr>
                <w:rFonts w:eastAsia="Times New Roman" w:cs="Times New Roman"/>
                <w:spacing w:val="1"/>
                <w:szCs w:val="20"/>
              </w:rPr>
              <w:t>3:</w:t>
            </w:r>
          </w:p>
        </w:tc>
        <w:tc>
          <w:tcPr>
            <w:tcW w:w="2579"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1"/>
                <w:szCs w:val="20"/>
              </w:rPr>
              <w:t>d</w:t>
            </w:r>
            <w:r>
              <w:rPr>
                <w:rFonts w:eastAsia="Times New Roman" w:cs="Times New Roman"/>
                <w:szCs w:val="20"/>
              </w:rPr>
              <w:t>e</w:t>
            </w:r>
            <w:r>
              <w:rPr>
                <w:rFonts w:eastAsia="Times New Roman" w:cs="Times New Roman"/>
                <w:spacing w:val="-1"/>
                <w:szCs w:val="20"/>
              </w:rPr>
              <w:t>k</w:t>
            </w:r>
            <w:r>
              <w:rPr>
                <w:rFonts w:eastAsia="Times New Roman" w:cs="Times New Roman"/>
                <w:szCs w:val="20"/>
              </w:rPr>
              <w:t>la</w:t>
            </w:r>
            <w:r>
              <w:rPr>
                <w:rFonts w:eastAsia="Times New Roman" w:cs="Times New Roman"/>
                <w:spacing w:val="1"/>
                <w:szCs w:val="20"/>
              </w:rPr>
              <w:t>r</w:t>
            </w:r>
            <w:r>
              <w:rPr>
                <w:rFonts w:eastAsia="Times New Roman" w:cs="Times New Roman"/>
                <w:spacing w:val="3"/>
                <w:szCs w:val="20"/>
              </w:rPr>
              <w:t>o</w:t>
            </w:r>
            <w:r>
              <w:rPr>
                <w:rFonts w:eastAsia="Times New Roman" w:cs="Times New Roman"/>
                <w:spacing w:val="-5"/>
                <w:szCs w:val="20"/>
              </w:rPr>
              <w:t>w</w:t>
            </w:r>
            <w:r>
              <w:rPr>
                <w:rFonts w:eastAsia="Times New Roman" w:cs="Times New Roman"/>
                <w:spacing w:val="3"/>
                <w:szCs w:val="20"/>
              </w:rPr>
              <w:t>a</w:t>
            </w:r>
            <w:r>
              <w:rPr>
                <w:rFonts w:eastAsia="Times New Roman" w:cs="Times New Roman"/>
                <w:spacing w:val="-1"/>
                <w:szCs w:val="20"/>
              </w:rPr>
              <w:t>n</w:t>
            </w:r>
            <w:r>
              <w:rPr>
                <w:rFonts w:eastAsia="Times New Roman" w:cs="Times New Roman"/>
                <w:szCs w:val="20"/>
              </w:rPr>
              <w:t>a</w:t>
            </w:r>
            <w:r>
              <w:rPr>
                <w:rFonts w:eastAsia="Times New Roman" w:cs="Times New Roman"/>
                <w:spacing w:val="-9"/>
                <w:szCs w:val="20"/>
              </w:rPr>
              <w:t xml:space="preserve"> </w:t>
            </w:r>
            <w:r>
              <w:rPr>
                <w:rFonts w:eastAsia="Times New Roman" w:cs="Times New Roman"/>
                <w:spacing w:val="1"/>
                <w:w w:val="99"/>
                <w:szCs w:val="20"/>
              </w:rPr>
              <w:t>pr</w:t>
            </w:r>
            <w:r>
              <w:rPr>
                <w:rFonts w:eastAsia="Times New Roman" w:cs="Times New Roman"/>
                <w:w w:val="99"/>
                <w:szCs w:val="20"/>
              </w:rPr>
              <w:t>z</w:t>
            </w:r>
            <w:r>
              <w:rPr>
                <w:rFonts w:eastAsia="Times New Roman" w:cs="Times New Roman"/>
                <w:spacing w:val="1"/>
                <w:w w:val="99"/>
                <w:szCs w:val="20"/>
              </w:rPr>
              <w:t>e</w:t>
            </w:r>
            <w:r>
              <w:rPr>
                <w:rFonts w:eastAsia="Times New Roman" w:cs="Times New Roman"/>
                <w:w w:val="99"/>
                <w:szCs w:val="20"/>
              </w:rPr>
              <w:t>z</w:t>
            </w:r>
          </w:p>
          <w:p w:rsidR="00B77F00" w:rsidRDefault="00865FA3">
            <w:pPr>
              <w:pStyle w:val="Standard"/>
              <w:rPr>
                <w:szCs w:val="20"/>
              </w:rPr>
            </w:pPr>
            <w:r>
              <w:rPr>
                <w:rFonts w:eastAsia="Times New Roman" w:cs="Times New Roman"/>
                <w:spacing w:val="1"/>
                <w:w w:val="99"/>
                <w:szCs w:val="20"/>
              </w:rPr>
              <w:t>prod</w:t>
            </w:r>
            <w:r>
              <w:rPr>
                <w:rFonts w:eastAsia="Times New Roman" w:cs="Times New Roman"/>
                <w:spacing w:val="-1"/>
                <w:w w:val="99"/>
                <w:szCs w:val="20"/>
              </w:rPr>
              <w:t>u</w:t>
            </w:r>
            <w:r>
              <w:rPr>
                <w:rFonts w:eastAsia="Times New Roman" w:cs="Times New Roman"/>
                <w:w w:val="99"/>
                <w:szCs w:val="20"/>
              </w:rPr>
              <w:t>c</w:t>
            </w:r>
            <w:r>
              <w:rPr>
                <w:rFonts w:eastAsia="Times New Roman" w:cs="Times New Roman"/>
                <w:spacing w:val="1"/>
                <w:w w:val="99"/>
                <w:szCs w:val="20"/>
              </w:rPr>
              <w:t>e</w:t>
            </w:r>
            <w:r>
              <w:rPr>
                <w:rFonts w:eastAsia="Times New Roman" w:cs="Times New Roman"/>
                <w:spacing w:val="-1"/>
                <w:w w:val="99"/>
                <w:szCs w:val="20"/>
              </w:rPr>
              <w:t>n</w:t>
            </w:r>
            <w:r>
              <w:rPr>
                <w:rFonts w:eastAsia="Times New Roman" w:cs="Times New Roman"/>
                <w:w w:val="99"/>
                <w:szCs w:val="20"/>
              </w:rPr>
              <w:t>ta</w:t>
            </w:r>
          </w:p>
        </w:tc>
      </w:tr>
      <w:tr w:rsidR="00B77F00">
        <w:tblPrEx>
          <w:tblCellMar>
            <w:top w:w="0" w:type="dxa"/>
            <w:bottom w:w="0" w:type="dxa"/>
          </w:tblCellMar>
        </w:tblPrEx>
        <w:trPr>
          <w:cantSplit/>
        </w:trPr>
        <w:tc>
          <w:tcPr>
            <w:tcW w:w="644"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spacing w:val="1"/>
                <w:szCs w:val="20"/>
              </w:rPr>
            </w:pPr>
            <w:r>
              <w:rPr>
                <w:rFonts w:eastAsia="Times New Roman" w:cs="Times New Roman"/>
                <w:spacing w:val="1"/>
                <w:szCs w:val="20"/>
              </w:rPr>
              <w:t>10</w:t>
            </w:r>
          </w:p>
        </w:tc>
        <w:tc>
          <w:tcPr>
            <w:tcW w:w="641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Nasią</w:t>
            </w:r>
            <w:r>
              <w:rPr>
                <w:rFonts w:eastAsia="Times New Roman" w:cs="Times New Roman"/>
                <w:spacing w:val="1"/>
                <w:szCs w:val="20"/>
              </w:rPr>
              <w:t>k</w:t>
            </w:r>
            <w:r>
              <w:rPr>
                <w:rFonts w:eastAsia="Times New Roman" w:cs="Times New Roman"/>
                <w:szCs w:val="20"/>
              </w:rPr>
              <w:t>l</w:t>
            </w:r>
            <w:r>
              <w:rPr>
                <w:rFonts w:eastAsia="Times New Roman" w:cs="Times New Roman"/>
                <w:spacing w:val="2"/>
                <w:szCs w:val="20"/>
              </w:rPr>
              <w:t>i</w:t>
            </w:r>
            <w:r>
              <w:rPr>
                <w:rFonts w:eastAsia="Times New Roman" w:cs="Times New Roman"/>
                <w:spacing w:val="-2"/>
                <w:szCs w:val="20"/>
              </w:rPr>
              <w:t>w</w:t>
            </w:r>
            <w:r>
              <w:rPr>
                <w:rFonts w:eastAsia="Times New Roman" w:cs="Times New Roman"/>
                <w:spacing w:val="1"/>
                <w:szCs w:val="20"/>
              </w:rPr>
              <w:t>o</w:t>
            </w:r>
            <w:r>
              <w:rPr>
                <w:rFonts w:eastAsia="Times New Roman" w:cs="Times New Roman"/>
                <w:spacing w:val="-1"/>
                <w:szCs w:val="20"/>
              </w:rPr>
              <w:t>ś</w:t>
            </w:r>
            <w:r>
              <w:rPr>
                <w:rFonts w:eastAsia="Times New Roman" w:cs="Times New Roman"/>
                <w:szCs w:val="20"/>
              </w:rPr>
              <w:t>ć</w:t>
            </w:r>
            <w:r>
              <w:rPr>
                <w:rFonts w:eastAsia="Times New Roman" w:cs="Times New Roman"/>
                <w:spacing w:val="-8"/>
                <w:szCs w:val="20"/>
              </w:rPr>
              <w:t xml:space="preserve"> </w:t>
            </w:r>
            <w:r>
              <w:rPr>
                <w:rFonts w:eastAsia="Times New Roman" w:cs="Times New Roman"/>
                <w:spacing w:val="-2"/>
                <w:szCs w:val="20"/>
              </w:rPr>
              <w:t>w</w:t>
            </w:r>
            <w:r>
              <w:rPr>
                <w:rFonts w:eastAsia="Times New Roman" w:cs="Times New Roman"/>
                <w:szCs w:val="20"/>
              </w:rPr>
              <w:t>e</w:t>
            </w:r>
            <w:r>
              <w:rPr>
                <w:rFonts w:eastAsia="Times New Roman" w:cs="Times New Roman"/>
                <w:spacing w:val="1"/>
                <w:szCs w:val="20"/>
              </w:rPr>
              <w:t>d</w:t>
            </w:r>
            <w:r>
              <w:rPr>
                <w:rFonts w:eastAsia="Times New Roman" w:cs="Times New Roman"/>
                <w:spacing w:val="2"/>
                <w:szCs w:val="20"/>
              </w:rPr>
              <w:t>ł</w:t>
            </w:r>
            <w:r>
              <w:rPr>
                <w:rFonts w:eastAsia="Times New Roman" w:cs="Times New Roman"/>
                <w:spacing w:val="-1"/>
                <w:szCs w:val="20"/>
              </w:rPr>
              <w:t>u</w:t>
            </w:r>
            <w:r>
              <w:rPr>
                <w:rFonts w:eastAsia="Times New Roman" w:cs="Times New Roman"/>
                <w:szCs w:val="20"/>
              </w:rPr>
              <w:t>g</w:t>
            </w:r>
            <w:r>
              <w:rPr>
                <w:rFonts w:eastAsia="Times New Roman" w:cs="Times New Roman"/>
                <w:spacing w:val="-7"/>
                <w:szCs w:val="20"/>
              </w:rPr>
              <w:t xml:space="preserve"> </w:t>
            </w:r>
            <w:r>
              <w:rPr>
                <w:rFonts w:eastAsia="Times New Roman" w:cs="Times New Roman"/>
                <w:spacing w:val="2"/>
                <w:szCs w:val="20"/>
              </w:rPr>
              <w:t>PN</w:t>
            </w:r>
            <w:r>
              <w:rPr>
                <w:rFonts w:eastAsia="Times New Roman" w:cs="Times New Roman"/>
                <w:spacing w:val="-2"/>
                <w:szCs w:val="20"/>
              </w:rPr>
              <w:t>-</w:t>
            </w:r>
            <w:r>
              <w:rPr>
                <w:rFonts w:eastAsia="Times New Roman" w:cs="Times New Roman"/>
                <w:szCs w:val="20"/>
              </w:rPr>
              <w:t>EN</w:t>
            </w:r>
            <w:r>
              <w:rPr>
                <w:rFonts w:eastAsia="Times New Roman" w:cs="Times New Roman"/>
                <w:spacing w:val="-3"/>
                <w:szCs w:val="20"/>
              </w:rPr>
              <w:t xml:space="preserve"> </w:t>
            </w:r>
            <w:r>
              <w:rPr>
                <w:rFonts w:eastAsia="Times New Roman" w:cs="Times New Roman"/>
                <w:spacing w:val="1"/>
                <w:szCs w:val="20"/>
              </w:rPr>
              <w:t>109</w:t>
            </w:r>
            <w:r>
              <w:rPr>
                <w:rFonts w:eastAsia="Times New Roman" w:cs="Times New Roman"/>
                <w:spacing w:val="2"/>
                <w:szCs w:val="20"/>
              </w:rPr>
              <w:t>7</w:t>
            </w:r>
            <w:r>
              <w:rPr>
                <w:rFonts w:eastAsia="Times New Roman" w:cs="Times New Roman"/>
                <w:spacing w:val="-2"/>
                <w:szCs w:val="20"/>
              </w:rPr>
              <w:t>-</w:t>
            </w:r>
            <w:r>
              <w:rPr>
                <w:rFonts w:eastAsia="Times New Roman" w:cs="Times New Roman"/>
                <w:spacing w:val="1"/>
                <w:szCs w:val="20"/>
              </w:rPr>
              <w:t>6</w:t>
            </w:r>
            <w:r>
              <w:rPr>
                <w:rFonts w:eastAsia="Times New Roman" w:cs="Times New Roman"/>
                <w:szCs w:val="20"/>
              </w:rPr>
              <w:t>,</w:t>
            </w:r>
            <w:r>
              <w:rPr>
                <w:rFonts w:eastAsia="Times New Roman" w:cs="Times New Roman"/>
                <w:spacing w:val="-5"/>
                <w:szCs w:val="20"/>
              </w:rPr>
              <w:t xml:space="preserve"> </w:t>
            </w:r>
            <w:r>
              <w:rPr>
                <w:rFonts w:eastAsia="Times New Roman" w:cs="Times New Roman"/>
                <w:spacing w:val="-2"/>
                <w:szCs w:val="20"/>
              </w:rPr>
              <w:t>r</w:t>
            </w:r>
            <w:r>
              <w:rPr>
                <w:rFonts w:eastAsia="Times New Roman" w:cs="Times New Roman"/>
                <w:spacing w:val="1"/>
                <w:szCs w:val="20"/>
              </w:rPr>
              <w:t>o</w:t>
            </w:r>
            <w:r>
              <w:rPr>
                <w:rFonts w:eastAsia="Times New Roman" w:cs="Times New Roman"/>
                <w:szCs w:val="20"/>
              </w:rPr>
              <w:t>z</w:t>
            </w:r>
            <w:r>
              <w:rPr>
                <w:rFonts w:eastAsia="Times New Roman" w:cs="Times New Roman"/>
                <w:spacing w:val="1"/>
                <w:szCs w:val="20"/>
              </w:rPr>
              <w:t>d</w:t>
            </w:r>
            <w:r>
              <w:rPr>
                <w:rFonts w:eastAsia="Times New Roman" w:cs="Times New Roman"/>
                <w:szCs w:val="20"/>
              </w:rPr>
              <w:t>ział</w:t>
            </w:r>
            <w:r>
              <w:rPr>
                <w:rFonts w:eastAsia="Times New Roman" w:cs="Times New Roman"/>
                <w:spacing w:val="-5"/>
                <w:szCs w:val="20"/>
              </w:rPr>
              <w:t xml:space="preserve"> </w:t>
            </w:r>
            <w:r>
              <w:rPr>
                <w:rFonts w:eastAsia="Times New Roman" w:cs="Times New Roman"/>
                <w:spacing w:val="-1"/>
                <w:szCs w:val="20"/>
              </w:rPr>
              <w:t>7</w:t>
            </w:r>
            <w:r>
              <w:rPr>
                <w:rFonts w:eastAsia="Times New Roman" w:cs="Times New Roman"/>
                <w:szCs w:val="20"/>
              </w:rPr>
              <w:t>, 8 l</w:t>
            </w:r>
            <w:r>
              <w:rPr>
                <w:rFonts w:eastAsia="Times New Roman" w:cs="Times New Roman"/>
                <w:spacing w:val="-1"/>
                <w:szCs w:val="20"/>
              </w:rPr>
              <w:t>u</w:t>
            </w:r>
            <w:r>
              <w:rPr>
                <w:rFonts w:eastAsia="Times New Roman" w:cs="Times New Roman"/>
                <w:szCs w:val="20"/>
              </w:rPr>
              <w:t>b</w:t>
            </w:r>
            <w:r>
              <w:rPr>
                <w:rFonts w:eastAsia="Times New Roman" w:cs="Times New Roman"/>
                <w:spacing w:val="-2"/>
                <w:szCs w:val="20"/>
              </w:rPr>
              <w:t xml:space="preserve"> </w:t>
            </w:r>
            <w:r>
              <w:rPr>
                <w:rFonts w:eastAsia="Times New Roman" w:cs="Times New Roman"/>
                <w:spacing w:val="1"/>
                <w:szCs w:val="20"/>
              </w:rPr>
              <w:t>9</w:t>
            </w:r>
            <w:r>
              <w:rPr>
                <w:rFonts w:eastAsia="Times New Roman" w:cs="Times New Roman"/>
                <w:szCs w:val="20"/>
              </w:rPr>
              <w:t>:</w:t>
            </w:r>
          </w:p>
        </w:tc>
        <w:tc>
          <w:tcPr>
            <w:tcW w:w="2579"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2"/>
                <w:szCs w:val="20"/>
              </w:rPr>
              <w:t>W</w:t>
            </w:r>
            <w:r>
              <w:rPr>
                <w:rFonts w:eastAsia="Times New Roman" w:cs="Times New Roman"/>
                <w:spacing w:val="-2"/>
                <w:szCs w:val="20"/>
              </w:rPr>
              <w:t>A</w:t>
            </w:r>
            <w:r>
              <w:rPr>
                <w:rFonts w:eastAsia="Times New Roman" w:cs="Times New Roman"/>
                <w:position w:val="-5"/>
                <w:szCs w:val="20"/>
              </w:rPr>
              <w:t>24</w:t>
            </w:r>
            <w:r>
              <w:rPr>
                <w:rFonts w:eastAsia="Times New Roman" w:cs="Times New Roman"/>
                <w:spacing w:val="-4"/>
                <w:position w:val="-5"/>
                <w:szCs w:val="20"/>
              </w:rPr>
              <w:t xml:space="preserve"> </w:t>
            </w:r>
            <w:r>
              <w:rPr>
                <w:rFonts w:eastAsia="Times New Roman" w:cs="Times New Roman"/>
                <w:position w:val="-5"/>
                <w:szCs w:val="20"/>
              </w:rPr>
              <w:t>D</w:t>
            </w:r>
            <w:r>
              <w:rPr>
                <w:rFonts w:eastAsia="Times New Roman" w:cs="Times New Roman"/>
                <w:spacing w:val="2"/>
                <w:position w:val="-5"/>
                <w:szCs w:val="20"/>
              </w:rPr>
              <w:t>e</w:t>
            </w:r>
            <w:r>
              <w:rPr>
                <w:rFonts w:eastAsia="Times New Roman" w:cs="Times New Roman"/>
                <w:spacing w:val="-2"/>
                <w:position w:val="-5"/>
                <w:szCs w:val="20"/>
              </w:rPr>
              <w:t>k</w:t>
            </w:r>
            <w:r>
              <w:rPr>
                <w:rFonts w:eastAsia="Times New Roman" w:cs="Times New Roman"/>
                <w:position w:val="-5"/>
                <w:szCs w:val="20"/>
              </w:rPr>
              <w:t>larowana</w:t>
            </w:r>
          </w:p>
        </w:tc>
      </w:tr>
      <w:tr w:rsidR="00B77F00">
        <w:tblPrEx>
          <w:tblCellMar>
            <w:top w:w="0" w:type="dxa"/>
            <w:bottom w:w="0" w:type="dxa"/>
          </w:tblCellMar>
        </w:tblPrEx>
        <w:trPr>
          <w:cantSplit/>
        </w:trPr>
        <w:tc>
          <w:tcPr>
            <w:tcW w:w="644"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spacing w:val="1"/>
                <w:szCs w:val="20"/>
              </w:rPr>
            </w:pPr>
            <w:r>
              <w:rPr>
                <w:rFonts w:eastAsia="Times New Roman" w:cs="Times New Roman"/>
                <w:spacing w:val="1"/>
                <w:szCs w:val="20"/>
              </w:rPr>
              <w:t>11</w:t>
            </w:r>
          </w:p>
        </w:tc>
        <w:tc>
          <w:tcPr>
            <w:tcW w:w="641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M</w:t>
            </w:r>
            <w:r>
              <w:rPr>
                <w:rFonts w:eastAsia="Times New Roman" w:cs="Times New Roman"/>
                <w:spacing w:val="1"/>
                <w:szCs w:val="20"/>
              </w:rPr>
              <w:t>ro</w:t>
            </w:r>
            <w:r>
              <w:rPr>
                <w:rFonts w:eastAsia="Times New Roman" w:cs="Times New Roman"/>
                <w:szCs w:val="20"/>
              </w:rPr>
              <w:t>z</w:t>
            </w:r>
            <w:r>
              <w:rPr>
                <w:rFonts w:eastAsia="Times New Roman" w:cs="Times New Roman"/>
                <w:spacing w:val="1"/>
                <w:szCs w:val="20"/>
              </w:rPr>
              <w:t>oo</w:t>
            </w:r>
            <w:r>
              <w:rPr>
                <w:rFonts w:eastAsia="Times New Roman" w:cs="Times New Roman"/>
                <w:spacing w:val="-1"/>
                <w:szCs w:val="20"/>
              </w:rPr>
              <w:t>d</w:t>
            </w:r>
            <w:r>
              <w:rPr>
                <w:rFonts w:eastAsia="Times New Roman" w:cs="Times New Roman"/>
                <w:spacing w:val="1"/>
                <w:szCs w:val="20"/>
              </w:rPr>
              <w:t>por</w:t>
            </w:r>
            <w:r>
              <w:rPr>
                <w:rFonts w:eastAsia="Times New Roman" w:cs="Times New Roman"/>
                <w:spacing w:val="-1"/>
                <w:szCs w:val="20"/>
              </w:rPr>
              <w:t>n</w:t>
            </w:r>
            <w:r>
              <w:rPr>
                <w:rFonts w:eastAsia="Times New Roman" w:cs="Times New Roman"/>
                <w:spacing w:val="1"/>
                <w:szCs w:val="20"/>
              </w:rPr>
              <w:t>o</w:t>
            </w:r>
            <w:r>
              <w:rPr>
                <w:rFonts w:eastAsia="Times New Roman" w:cs="Times New Roman"/>
                <w:spacing w:val="-1"/>
                <w:szCs w:val="20"/>
              </w:rPr>
              <w:t>ś</w:t>
            </w:r>
            <w:r>
              <w:rPr>
                <w:rFonts w:eastAsia="Times New Roman" w:cs="Times New Roman"/>
                <w:szCs w:val="20"/>
              </w:rPr>
              <w:t>ć</w:t>
            </w:r>
            <w:r>
              <w:rPr>
                <w:rFonts w:eastAsia="Times New Roman" w:cs="Times New Roman"/>
                <w:spacing w:val="-13"/>
                <w:szCs w:val="20"/>
              </w:rPr>
              <w:t xml:space="preserve"> </w:t>
            </w:r>
            <w:r>
              <w:rPr>
                <w:rFonts w:eastAsia="Times New Roman" w:cs="Times New Roman"/>
                <w:spacing w:val="-5"/>
                <w:szCs w:val="20"/>
              </w:rPr>
              <w:t>w</w:t>
            </w:r>
            <w:r>
              <w:rPr>
                <w:rFonts w:eastAsia="Times New Roman" w:cs="Times New Roman"/>
                <w:szCs w:val="20"/>
              </w:rPr>
              <w:t>e</w:t>
            </w:r>
            <w:r>
              <w:rPr>
                <w:rFonts w:eastAsia="Times New Roman" w:cs="Times New Roman"/>
                <w:spacing w:val="1"/>
                <w:szCs w:val="20"/>
              </w:rPr>
              <w:t>d</w:t>
            </w:r>
            <w:r>
              <w:rPr>
                <w:rFonts w:eastAsia="Times New Roman" w:cs="Times New Roman"/>
                <w:spacing w:val="2"/>
                <w:szCs w:val="20"/>
              </w:rPr>
              <w:t>ł</w:t>
            </w:r>
            <w:r>
              <w:rPr>
                <w:rFonts w:eastAsia="Times New Roman" w:cs="Times New Roman"/>
                <w:spacing w:val="1"/>
                <w:szCs w:val="20"/>
              </w:rPr>
              <w:t>u</w:t>
            </w:r>
            <w:r>
              <w:rPr>
                <w:rFonts w:eastAsia="Times New Roman" w:cs="Times New Roman"/>
                <w:szCs w:val="20"/>
              </w:rPr>
              <w:t>g</w:t>
            </w:r>
            <w:r>
              <w:rPr>
                <w:rFonts w:eastAsia="Times New Roman" w:cs="Times New Roman"/>
                <w:spacing w:val="-7"/>
                <w:szCs w:val="20"/>
              </w:rPr>
              <w:t xml:space="preserve"> </w:t>
            </w:r>
            <w:r>
              <w:rPr>
                <w:rFonts w:eastAsia="Times New Roman" w:cs="Times New Roman"/>
                <w:spacing w:val="2"/>
                <w:szCs w:val="20"/>
              </w:rPr>
              <w:t>P</w:t>
            </w:r>
            <w:r>
              <w:rPr>
                <w:rFonts w:eastAsia="Times New Roman" w:cs="Times New Roman"/>
                <w:spacing w:val="3"/>
                <w:szCs w:val="20"/>
              </w:rPr>
              <w:t>N</w:t>
            </w:r>
            <w:r>
              <w:rPr>
                <w:rFonts w:eastAsia="Times New Roman" w:cs="Times New Roman"/>
                <w:spacing w:val="1"/>
                <w:szCs w:val="20"/>
              </w:rPr>
              <w:t>-</w:t>
            </w:r>
            <w:r>
              <w:rPr>
                <w:rFonts w:eastAsia="Times New Roman" w:cs="Times New Roman"/>
                <w:szCs w:val="20"/>
              </w:rPr>
              <w:t>EN</w:t>
            </w:r>
            <w:r>
              <w:rPr>
                <w:rFonts w:eastAsia="Times New Roman" w:cs="Times New Roman"/>
                <w:spacing w:val="-6"/>
                <w:szCs w:val="20"/>
              </w:rPr>
              <w:t xml:space="preserve"> </w:t>
            </w:r>
            <w:r>
              <w:rPr>
                <w:rFonts w:eastAsia="Times New Roman" w:cs="Times New Roman"/>
                <w:spacing w:val="1"/>
                <w:szCs w:val="20"/>
              </w:rPr>
              <w:t>136</w:t>
            </w:r>
            <w:r>
              <w:rPr>
                <w:rFonts w:eastAsia="Times New Roman" w:cs="Times New Roman"/>
                <w:spacing w:val="2"/>
                <w:szCs w:val="20"/>
              </w:rPr>
              <w:t>7</w:t>
            </w:r>
            <w:r>
              <w:rPr>
                <w:rFonts w:eastAsia="Times New Roman" w:cs="Times New Roman"/>
                <w:spacing w:val="-2"/>
                <w:szCs w:val="20"/>
              </w:rPr>
              <w:t>-</w:t>
            </w:r>
            <w:r>
              <w:rPr>
                <w:rFonts w:eastAsia="Times New Roman" w:cs="Times New Roman"/>
                <w:spacing w:val="1"/>
                <w:szCs w:val="20"/>
              </w:rPr>
              <w:t>6</w:t>
            </w:r>
            <w:r>
              <w:rPr>
                <w:rFonts w:eastAsia="Times New Roman" w:cs="Times New Roman"/>
                <w:szCs w:val="20"/>
              </w:rPr>
              <w:t>,w</w:t>
            </w:r>
            <w:r>
              <w:rPr>
                <w:rFonts w:eastAsia="Times New Roman" w:cs="Times New Roman"/>
                <w:spacing w:val="-12"/>
                <w:szCs w:val="20"/>
              </w:rPr>
              <w:t xml:space="preserve"> </w:t>
            </w:r>
            <w:r>
              <w:rPr>
                <w:rFonts w:eastAsia="Times New Roman" w:cs="Times New Roman"/>
                <w:szCs w:val="20"/>
              </w:rPr>
              <w:t>1 %</w:t>
            </w:r>
            <w:r>
              <w:rPr>
                <w:rFonts w:eastAsia="Times New Roman" w:cs="Times New Roman"/>
                <w:spacing w:val="-2"/>
                <w:szCs w:val="20"/>
              </w:rPr>
              <w:t xml:space="preserve"> </w:t>
            </w:r>
            <w:r>
              <w:rPr>
                <w:rFonts w:eastAsia="Times New Roman" w:cs="Times New Roman"/>
                <w:szCs w:val="20"/>
              </w:rPr>
              <w:t>N</w:t>
            </w:r>
            <w:r>
              <w:rPr>
                <w:rFonts w:eastAsia="Times New Roman" w:cs="Times New Roman"/>
                <w:spacing w:val="1"/>
                <w:szCs w:val="20"/>
              </w:rPr>
              <w:t>aC</w:t>
            </w:r>
            <w:r>
              <w:rPr>
                <w:rFonts w:eastAsia="Times New Roman" w:cs="Times New Roman"/>
                <w:szCs w:val="20"/>
              </w:rPr>
              <w:t xml:space="preserve">l; </w:t>
            </w:r>
            <w:r>
              <w:rPr>
                <w:rFonts w:eastAsia="Times New Roman" w:cs="Times New Roman"/>
                <w:spacing w:val="-1"/>
                <w:szCs w:val="20"/>
              </w:rPr>
              <w:t>k</w:t>
            </w:r>
            <w:r>
              <w:rPr>
                <w:rFonts w:eastAsia="Times New Roman" w:cs="Times New Roman"/>
                <w:szCs w:val="20"/>
              </w:rPr>
              <w:t>ate</w:t>
            </w:r>
            <w:r>
              <w:rPr>
                <w:rFonts w:eastAsia="Times New Roman" w:cs="Times New Roman"/>
                <w:spacing w:val="-1"/>
                <w:szCs w:val="20"/>
              </w:rPr>
              <w:t>g</w:t>
            </w:r>
            <w:r>
              <w:rPr>
                <w:rFonts w:eastAsia="Times New Roman" w:cs="Times New Roman"/>
                <w:spacing w:val="1"/>
                <w:szCs w:val="20"/>
              </w:rPr>
              <w:t>or</w:t>
            </w:r>
            <w:r>
              <w:rPr>
                <w:rFonts w:eastAsia="Times New Roman" w:cs="Times New Roman"/>
                <w:szCs w:val="20"/>
              </w:rPr>
              <w:t>ia</w:t>
            </w:r>
            <w:r>
              <w:rPr>
                <w:rFonts w:eastAsia="Times New Roman" w:cs="Times New Roman"/>
                <w:spacing w:val="-4"/>
                <w:szCs w:val="20"/>
              </w:rPr>
              <w:t xml:space="preserve"> </w:t>
            </w:r>
            <w:r>
              <w:rPr>
                <w:rFonts w:eastAsia="Times New Roman" w:cs="Times New Roman"/>
                <w:spacing w:val="-1"/>
                <w:szCs w:val="20"/>
              </w:rPr>
              <w:t>n</w:t>
            </w:r>
            <w:r>
              <w:rPr>
                <w:rFonts w:eastAsia="Times New Roman" w:cs="Times New Roman"/>
                <w:szCs w:val="20"/>
              </w:rPr>
              <w:t>ie</w:t>
            </w:r>
            <w:r>
              <w:rPr>
                <w:rFonts w:eastAsia="Times New Roman" w:cs="Times New Roman"/>
                <w:spacing w:val="1"/>
                <w:szCs w:val="20"/>
              </w:rPr>
              <w:t xml:space="preserve"> </w:t>
            </w:r>
            <w:r>
              <w:rPr>
                <w:rFonts w:eastAsia="Times New Roman" w:cs="Times New Roman"/>
                <w:spacing w:val="-2"/>
                <w:szCs w:val="20"/>
              </w:rPr>
              <w:t>w</w:t>
            </w:r>
            <w:r>
              <w:rPr>
                <w:rFonts w:eastAsia="Times New Roman" w:cs="Times New Roman"/>
                <w:spacing w:val="-1"/>
                <w:szCs w:val="20"/>
              </w:rPr>
              <w:t>y</w:t>
            </w:r>
            <w:r>
              <w:rPr>
                <w:rFonts w:eastAsia="Times New Roman" w:cs="Times New Roman"/>
                <w:spacing w:val="3"/>
                <w:szCs w:val="20"/>
              </w:rPr>
              <w:t>ż</w:t>
            </w:r>
            <w:r>
              <w:rPr>
                <w:rFonts w:eastAsia="Times New Roman" w:cs="Times New Roman"/>
                <w:spacing w:val="-1"/>
                <w:szCs w:val="20"/>
              </w:rPr>
              <w:t>s</w:t>
            </w:r>
            <w:r>
              <w:rPr>
                <w:rFonts w:eastAsia="Times New Roman" w:cs="Times New Roman"/>
                <w:szCs w:val="20"/>
              </w:rPr>
              <w:t>za</w:t>
            </w:r>
            <w:r>
              <w:rPr>
                <w:rFonts w:eastAsia="Times New Roman" w:cs="Times New Roman"/>
                <w:spacing w:val="-5"/>
                <w:szCs w:val="20"/>
              </w:rPr>
              <w:t xml:space="preserve"> </w:t>
            </w:r>
            <w:r>
              <w:rPr>
                <w:rFonts w:eastAsia="Times New Roman" w:cs="Times New Roman"/>
                <w:spacing w:val="-1"/>
                <w:szCs w:val="20"/>
              </w:rPr>
              <w:t>n</w:t>
            </w:r>
            <w:r>
              <w:rPr>
                <w:rFonts w:eastAsia="Times New Roman" w:cs="Times New Roman"/>
                <w:szCs w:val="20"/>
              </w:rPr>
              <w:t>i</w:t>
            </w:r>
            <w:r>
              <w:rPr>
                <w:rFonts w:eastAsia="Times New Roman" w:cs="Times New Roman"/>
                <w:spacing w:val="2"/>
                <w:szCs w:val="20"/>
              </w:rPr>
              <w:t>ż</w:t>
            </w:r>
            <w:r>
              <w:rPr>
                <w:rFonts w:eastAsia="Times New Roman" w:cs="Times New Roman"/>
                <w:szCs w:val="20"/>
              </w:rPr>
              <w:t>:</w:t>
            </w:r>
          </w:p>
        </w:tc>
        <w:tc>
          <w:tcPr>
            <w:tcW w:w="2579"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i/>
                <w:spacing w:val="1"/>
                <w:position w:val="3"/>
                <w:szCs w:val="20"/>
              </w:rPr>
              <w:t>F</w:t>
            </w:r>
            <w:r>
              <w:rPr>
                <w:rFonts w:eastAsia="Times New Roman" w:cs="Times New Roman"/>
                <w:szCs w:val="20"/>
              </w:rPr>
              <w:t>NaCl</w:t>
            </w:r>
            <w:r>
              <w:rPr>
                <w:rFonts w:eastAsia="Times New Roman" w:cs="Times New Roman"/>
                <w:spacing w:val="14"/>
                <w:szCs w:val="20"/>
              </w:rPr>
              <w:t xml:space="preserve"> </w:t>
            </w:r>
            <w:r>
              <w:rPr>
                <w:rFonts w:eastAsia="Times New Roman" w:cs="Times New Roman"/>
                <w:w w:val="99"/>
                <w:position w:val="3"/>
                <w:szCs w:val="20"/>
              </w:rPr>
              <w:t>7</w:t>
            </w:r>
          </w:p>
        </w:tc>
      </w:tr>
      <w:tr w:rsidR="00B77F00">
        <w:tblPrEx>
          <w:tblCellMar>
            <w:top w:w="0" w:type="dxa"/>
            <w:bottom w:w="0" w:type="dxa"/>
          </w:tblCellMar>
        </w:tblPrEx>
        <w:trPr>
          <w:cantSplit/>
        </w:trPr>
        <w:tc>
          <w:tcPr>
            <w:tcW w:w="644"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spacing w:val="1"/>
                <w:szCs w:val="20"/>
              </w:rPr>
            </w:pPr>
            <w:r>
              <w:rPr>
                <w:rFonts w:eastAsia="Times New Roman" w:cs="Times New Roman"/>
                <w:spacing w:val="1"/>
                <w:szCs w:val="20"/>
              </w:rPr>
              <w:t>12</w:t>
            </w:r>
          </w:p>
        </w:tc>
        <w:tc>
          <w:tcPr>
            <w:tcW w:w="641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w:t>
            </w:r>
            <w:r>
              <w:rPr>
                <w:rFonts w:eastAsia="Times New Roman" w:cs="Times New Roman"/>
                <w:spacing w:val="1"/>
                <w:szCs w:val="20"/>
              </w:rPr>
              <w:t>Z</w:t>
            </w:r>
            <w:r>
              <w:rPr>
                <w:rFonts w:eastAsia="Times New Roman" w:cs="Times New Roman"/>
                <w:spacing w:val="-1"/>
                <w:szCs w:val="20"/>
              </w:rPr>
              <w:t>g</w:t>
            </w:r>
            <w:r>
              <w:rPr>
                <w:rFonts w:eastAsia="Times New Roman" w:cs="Times New Roman"/>
                <w:spacing w:val="1"/>
                <w:szCs w:val="20"/>
              </w:rPr>
              <w:t>or</w:t>
            </w:r>
            <w:r>
              <w:rPr>
                <w:rFonts w:eastAsia="Times New Roman" w:cs="Times New Roman"/>
                <w:szCs w:val="20"/>
              </w:rPr>
              <w:t>z</w:t>
            </w:r>
            <w:r>
              <w:rPr>
                <w:rFonts w:eastAsia="Times New Roman" w:cs="Times New Roman"/>
                <w:spacing w:val="1"/>
                <w:szCs w:val="20"/>
              </w:rPr>
              <w:t>e</w:t>
            </w:r>
            <w:r>
              <w:rPr>
                <w:rFonts w:eastAsia="Times New Roman" w:cs="Times New Roman"/>
                <w:szCs w:val="20"/>
              </w:rPr>
              <w:t>l</w:t>
            </w:r>
            <w:r>
              <w:rPr>
                <w:rFonts w:eastAsia="Times New Roman" w:cs="Times New Roman"/>
                <w:spacing w:val="-7"/>
                <w:szCs w:val="20"/>
              </w:rPr>
              <w:t xml:space="preserve"> </w:t>
            </w:r>
            <w:r>
              <w:rPr>
                <w:rFonts w:eastAsia="Times New Roman" w:cs="Times New Roman"/>
                <w:szCs w:val="20"/>
              </w:rPr>
              <w:t>sł</w:t>
            </w:r>
            <w:r>
              <w:rPr>
                <w:rFonts w:eastAsia="Times New Roman" w:cs="Times New Roman"/>
                <w:spacing w:val="1"/>
                <w:szCs w:val="20"/>
              </w:rPr>
              <w:t>o</w:t>
            </w:r>
            <w:r>
              <w:rPr>
                <w:rFonts w:eastAsia="Times New Roman" w:cs="Times New Roman"/>
                <w:spacing w:val="-1"/>
                <w:szCs w:val="20"/>
              </w:rPr>
              <w:t>n</w:t>
            </w:r>
            <w:r>
              <w:rPr>
                <w:rFonts w:eastAsia="Times New Roman" w:cs="Times New Roman"/>
                <w:szCs w:val="20"/>
              </w:rPr>
              <w:t>e</w:t>
            </w:r>
            <w:r>
              <w:rPr>
                <w:rFonts w:eastAsia="Times New Roman" w:cs="Times New Roman"/>
                <w:spacing w:val="1"/>
                <w:szCs w:val="20"/>
              </w:rPr>
              <w:t>c</w:t>
            </w:r>
            <w:r>
              <w:rPr>
                <w:rFonts w:eastAsia="Times New Roman" w:cs="Times New Roman"/>
                <w:spacing w:val="3"/>
                <w:szCs w:val="20"/>
              </w:rPr>
              <w:t>z</w:t>
            </w:r>
            <w:r>
              <w:rPr>
                <w:rFonts w:eastAsia="Times New Roman" w:cs="Times New Roman"/>
                <w:spacing w:val="-1"/>
                <w:szCs w:val="20"/>
              </w:rPr>
              <w:t>n</w:t>
            </w:r>
            <w:r>
              <w:rPr>
                <w:rFonts w:eastAsia="Times New Roman" w:cs="Times New Roman"/>
                <w:szCs w:val="20"/>
              </w:rPr>
              <w:t>a”</w:t>
            </w:r>
            <w:r>
              <w:rPr>
                <w:rFonts w:eastAsia="Times New Roman" w:cs="Times New Roman"/>
                <w:spacing w:val="-8"/>
                <w:szCs w:val="20"/>
              </w:rPr>
              <w:t xml:space="preserve"> </w:t>
            </w:r>
            <w:r>
              <w:rPr>
                <w:rFonts w:eastAsia="Times New Roman" w:cs="Times New Roman"/>
                <w:spacing w:val="1"/>
                <w:szCs w:val="20"/>
              </w:rPr>
              <w:t>b</w:t>
            </w:r>
            <w:r>
              <w:rPr>
                <w:rFonts w:eastAsia="Times New Roman" w:cs="Times New Roman"/>
                <w:szCs w:val="20"/>
              </w:rPr>
              <w:t>a</w:t>
            </w:r>
            <w:r>
              <w:rPr>
                <w:rFonts w:eastAsia="Times New Roman" w:cs="Times New Roman"/>
                <w:spacing w:val="1"/>
                <w:szCs w:val="20"/>
              </w:rPr>
              <w:t>z</w:t>
            </w:r>
            <w:r>
              <w:rPr>
                <w:rFonts w:eastAsia="Times New Roman" w:cs="Times New Roman"/>
                <w:szCs w:val="20"/>
              </w:rPr>
              <w:t>altu</w:t>
            </w:r>
            <w:r>
              <w:rPr>
                <w:rFonts w:eastAsia="Times New Roman" w:cs="Times New Roman"/>
                <w:spacing w:val="-5"/>
                <w:szCs w:val="20"/>
              </w:rPr>
              <w:t xml:space="preserve"> </w:t>
            </w:r>
            <w:r>
              <w:rPr>
                <w:rFonts w:eastAsia="Times New Roman" w:cs="Times New Roman"/>
                <w:spacing w:val="-2"/>
                <w:szCs w:val="20"/>
              </w:rPr>
              <w:t>w</w:t>
            </w:r>
            <w:r>
              <w:rPr>
                <w:rFonts w:eastAsia="Times New Roman" w:cs="Times New Roman"/>
                <w:szCs w:val="20"/>
              </w:rPr>
              <w:t>e</w:t>
            </w:r>
            <w:r>
              <w:rPr>
                <w:rFonts w:eastAsia="Times New Roman" w:cs="Times New Roman"/>
                <w:spacing w:val="1"/>
                <w:szCs w:val="20"/>
              </w:rPr>
              <w:t>d</w:t>
            </w:r>
            <w:r>
              <w:rPr>
                <w:rFonts w:eastAsia="Times New Roman" w:cs="Times New Roman"/>
                <w:spacing w:val="2"/>
                <w:szCs w:val="20"/>
              </w:rPr>
              <w:t>ł</w:t>
            </w:r>
            <w:r>
              <w:rPr>
                <w:rFonts w:eastAsia="Times New Roman" w:cs="Times New Roman"/>
                <w:spacing w:val="-1"/>
                <w:szCs w:val="20"/>
              </w:rPr>
              <w:t>u</w:t>
            </w:r>
            <w:r>
              <w:rPr>
                <w:rFonts w:eastAsia="Times New Roman" w:cs="Times New Roman"/>
                <w:szCs w:val="20"/>
              </w:rPr>
              <w:t xml:space="preserve">g </w:t>
            </w:r>
            <w:r>
              <w:rPr>
                <w:rFonts w:eastAsia="Times New Roman" w:cs="Times New Roman"/>
                <w:spacing w:val="2"/>
                <w:szCs w:val="20"/>
              </w:rPr>
              <w:t>P</w:t>
            </w:r>
            <w:r>
              <w:rPr>
                <w:rFonts w:eastAsia="Times New Roman" w:cs="Times New Roman"/>
                <w:szCs w:val="20"/>
              </w:rPr>
              <w:t>N</w:t>
            </w:r>
            <w:r>
              <w:rPr>
                <w:rFonts w:eastAsia="Times New Roman" w:cs="Times New Roman"/>
                <w:spacing w:val="-2"/>
                <w:szCs w:val="20"/>
              </w:rPr>
              <w:t>-</w:t>
            </w:r>
            <w:r>
              <w:rPr>
                <w:rFonts w:eastAsia="Times New Roman" w:cs="Times New Roman"/>
                <w:szCs w:val="20"/>
              </w:rPr>
              <w:t>EN</w:t>
            </w:r>
            <w:r>
              <w:rPr>
                <w:rFonts w:eastAsia="Times New Roman" w:cs="Times New Roman"/>
                <w:spacing w:val="-6"/>
                <w:szCs w:val="20"/>
              </w:rPr>
              <w:t xml:space="preserve"> </w:t>
            </w:r>
            <w:r>
              <w:rPr>
                <w:rFonts w:eastAsia="Times New Roman" w:cs="Times New Roman"/>
                <w:spacing w:val="1"/>
                <w:szCs w:val="20"/>
              </w:rPr>
              <w:t>136</w:t>
            </w:r>
            <w:r>
              <w:rPr>
                <w:rFonts w:eastAsia="Times New Roman" w:cs="Times New Roman"/>
                <w:spacing w:val="2"/>
                <w:szCs w:val="20"/>
              </w:rPr>
              <w:t>7</w:t>
            </w:r>
            <w:r>
              <w:rPr>
                <w:rFonts w:eastAsia="Times New Roman" w:cs="Times New Roman"/>
                <w:spacing w:val="-2"/>
                <w:szCs w:val="20"/>
              </w:rPr>
              <w:t>-</w:t>
            </w:r>
            <w:r>
              <w:rPr>
                <w:rFonts w:eastAsia="Times New Roman" w:cs="Times New Roman"/>
                <w:spacing w:val="1"/>
                <w:szCs w:val="20"/>
              </w:rPr>
              <w:t>3</w:t>
            </w:r>
            <w:r>
              <w:rPr>
                <w:rFonts w:eastAsia="Times New Roman" w:cs="Times New Roman"/>
                <w:szCs w:val="20"/>
              </w:rPr>
              <w:t>;</w:t>
            </w:r>
            <w:r>
              <w:rPr>
                <w:rFonts w:eastAsia="Times New Roman" w:cs="Times New Roman"/>
                <w:spacing w:val="-6"/>
                <w:szCs w:val="20"/>
              </w:rPr>
              <w:t xml:space="preserve"> </w:t>
            </w:r>
            <w:r>
              <w:rPr>
                <w:rFonts w:eastAsia="Times New Roman" w:cs="Times New Roman"/>
                <w:spacing w:val="-2"/>
                <w:szCs w:val="20"/>
              </w:rPr>
              <w:t>w</w:t>
            </w:r>
            <w:r>
              <w:rPr>
                <w:rFonts w:eastAsia="Times New Roman" w:cs="Times New Roman"/>
                <w:spacing w:val="1"/>
                <w:szCs w:val="20"/>
              </w:rPr>
              <w:t>y</w:t>
            </w:r>
            <w:r>
              <w:rPr>
                <w:rFonts w:eastAsia="Times New Roman" w:cs="Times New Roman"/>
                <w:spacing w:val="-1"/>
                <w:szCs w:val="20"/>
              </w:rPr>
              <w:t>m</w:t>
            </w:r>
            <w:r>
              <w:rPr>
                <w:rFonts w:eastAsia="Times New Roman" w:cs="Times New Roman"/>
                <w:spacing w:val="3"/>
                <w:szCs w:val="20"/>
              </w:rPr>
              <w:t>a</w:t>
            </w:r>
            <w:r>
              <w:rPr>
                <w:rFonts w:eastAsia="Times New Roman" w:cs="Times New Roman"/>
                <w:spacing w:val="-1"/>
                <w:szCs w:val="20"/>
              </w:rPr>
              <w:t>g</w:t>
            </w:r>
            <w:r>
              <w:rPr>
                <w:rFonts w:eastAsia="Times New Roman" w:cs="Times New Roman"/>
                <w:szCs w:val="20"/>
              </w:rPr>
              <w:t>a</w:t>
            </w:r>
            <w:r>
              <w:rPr>
                <w:rFonts w:eastAsia="Times New Roman" w:cs="Times New Roman"/>
                <w:spacing w:val="-1"/>
                <w:szCs w:val="20"/>
              </w:rPr>
              <w:t>n</w:t>
            </w:r>
            <w:r>
              <w:rPr>
                <w:rFonts w:eastAsia="Times New Roman" w:cs="Times New Roman"/>
                <w:szCs w:val="20"/>
              </w:rPr>
              <w:t>a</w:t>
            </w:r>
            <w:r>
              <w:rPr>
                <w:rFonts w:eastAsia="Times New Roman" w:cs="Times New Roman"/>
                <w:spacing w:val="-6"/>
                <w:szCs w:val="20"/>
              </w:rPr>
              <w:t xml:space="preserve"> </w:t>
            </w:r>
            <w:r>
              <w:rPr>
                <w:rFonts w:eastAsia="Times New Roman" w:cs="Times New Roman"/>
                <w:spacing w:val="-1"/>
                <w:szCs w:val="20"/>
              </w:rPr>
              <w:t>k</w:t>
            </w:r>
            <w:r>
              <w:rPr>
                <w:rFonts w:eastAsia="Times New Roman" w:cs="Times New Roman"/>
                <w:spacing w:val="3"/>
                <w:szCs w:val="20"/>
              </w:rPr>
              <w:t>a</w:t>
            </w:r>
            <w:r>
              <w:rPr>
                <w:rFonts w:eastAsia="Times New Roman" w:cs="Times New Roman"/>
                <w:szCs w:val="20"/>
              </w:rPr>
              <w:t>te</w:t>
            </w:r>
            <w:r>
              <w:rPr>
                <w:rFonts w:eastAsia="Times New Roman" w:cs="Times New Roman"/>
                <w:spacing w:val="-1"/>
                <w:szCs w:val="20"/>
              </w:rPr>
              <w:t>g</w:t>
            </w:r>
            <w:r>
              <w:rPr>
                <w:rFonts w:eastAsia="Times New Roman" w:cs="Times New Roman"/>
                <w:spacing w:val="1"/>
                <w:szCs w:val="20"/>
              </w:rPr>
              <w:t>or</w:t>
            </w:r>
            <w:r>
              <w:rPr>
                <w:rFonts w:eastAsia="Times New Roman" w:cs="Times New Roman"/>
                <w:szCs w:val="20"/>
              </w:rPr>
              <w:t>ia:</w:t>
            </w:r>
          </w:p>
        </w:tc>
        <w:tc>
          <w:tcPr>
            <w:tcW w:w="2579"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i/>
                <w:spacing w:val="1"/>
                <w:w w:val="99"/>
                <w:szCs w:val="20"/>
              </w:rPr>
              <w:t>SB</w:t>
            </w:r>
            <w:r>
              <w:rPr>
                <w:rFonts w:eastAsia="Times New Roman" w:cs="Times New Roman"/>
                <w:w w:val="99"/>
                <w:position w:val="-5"/>
                <w:szCs w:val="20"/>
              </w:rPr>
              <w:t>LA</w:t>
            </w:r>
          </w:p>
        </w:tc>
      </w:tr>
      <w:tr w:rsidR="00B77F00">
        <w:tblPrEx>
          <w:tblCellMar>
            <w:top w:w="0" w:type="dxa"/>
            <w:bottom w:w="0" w:type="dxa"/>
          </w:tblCellMar>
        </w:tblPrEx>
        <w:trPr>
          <w:cantSplit/>
        </w:trPr>
        <w:tc>
          <w:tcPr>
            <w:tcW w:w="644"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spacing w:val="1"/>
                <w:szCs w:val="20"/>
              </w:rPr>
            </w:pPr>
            <w:r>
              <w:rPr>
                <w:rFonts w:eastAsia="Times New Roman" w:cs="Times New Roman"/>
                <w:spacing w:val="1"/>
                <w:szCs w:val="20"/>
              </w:rPr>
              <w:t>13</w:t>
            </w:r>
          </w:p>
        </w:tc>
        <w:tc>
          <w:tcPr>
            <w:tcW w:w="641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S</w:t>
            </w:r>
            <w:r>
              <w:rPr>
                <w:rFonts w:eastAsia="Times New Roman" w:cs="Times New Roman"/>
                <w:spacing w:val="-2"/>
                <w:szCs w:val="20"/>
              </w:rPr>
              <w:t>k</w:t>
            </w:r>
            <w:r>
              <w:rPr>
                <w:rFonts w:eastAsia="Times New Roman" w:cs="Times New Roman"/>
                <w:szCs w:val="20"/>
              </w:rPr>
              <w:t>ład</w:t>
            </w:r>
            <w:r>
              <w:rPr>
                <w:rFonts w:eastAsia="Times New Roman" w:cs="Times New Roman"/>
                <w:spacing w:val="-4"/>
                <w:szCs w:val="20"/>
              </w:rPr>
              <w:t xml:space="preserve"> </w:t>
            </w:r>
            <w:r>
              <w:rPr>
                <w:rFonts w:eastAsia="Times New Roman" w:cs="Times New Roman"/>
                <w:szCs w:val="20"/>
              </w:rPr>
              <w:t>c</w:t>
            </w:r>
            <w:r>
              <w:rPr>
                <w:rFonts w:eastAsia="Times New Roman" w:cs="Times New Roman"/>
                <w:spacing w:val="-1"/>
                <w:szCs w:val="20"/>
              </w:rPr>
              <w:t>h</w:t>
            </w:r>
            <w:r>
              <w:rPr>
                <w:rFonts w:eastAsia="Times New Roman" w:cs="Times New Roman"/>
                <w:spacing w:val="3"/>
                <w:szCs w:val="20"/>
              </w:rPr>
              <w:t>e</w:t>
            </w:r>
            <w:r>
              <w:rPr>
                <w:rFonts w:eastAsia="Times New Roman" w:cs="Times New Roman"/>
                <w:spacing w:val="-1"/>
                <w:szCs w:val="20"/>
              </w:rPr>
              <w:t>m</w:t>
            </w:r>
            <w:r>
              <w:rPr>
                <w:rFonts w:eastAsia="Times New Roman" w:cs="Times New Roman"/>
                <w:szCs w:val="20"/>
              </w:rPr>
              <w:t>ic</w:t>
            </w:r>
            <w:r>
              <w:rPr>
                <w:rFonts w:eastAsia="Times New Roman" w:cs="Times New Roman"/>
                <w:spacing w:val="3"/>
                <w:szCs w:val="20"/>
              </w:rPr>
              <w:t>z</w:t>
            </w:r>
            <w:r>
              <w:rPr>
                <w:rFonts w:eastAsia="Times New Roman" w:cs="Times New Roman"/>
                <w:spacing w:val="1"/>
                <w:szCs w:val="20"/>
              </w:rPr>
              <w:t>n</w:t>
            </w:r>
            <w:r>
              <w:rPr>
                <w:rFonts w:eastAsia="Times New Roman" w:cs="Times New Roman"/>
                <w:szCs w:val="20"/>
              </w:rPr>
              <w:t>y</w:t>
            </w:r>
            <w:r>
              <w:rPr>
                <w:rFonts w:eastAsia="Times New Roman" w:cs="Times New Roman"/>
                <w:spacing w:val="-11"/>
                <w:szCs w:val="20"/>
              </w:rPr>
              <w:t xml:space="preserve"> </w:t>
            </w:r>
            <w:r>
              <w:rPr>
                <w:rFonts w:eastAsia="Times New Roman" w:cs="Times New Roman"/>
                <w:szCs w:val="20"/>
              </w:rPr>
              <w:t>–</w:t>
            </w:r>
            <w:r>
              <w:rPr>
                <w:rFonts w:eastAsia="Times New Roman" w:cs="Times New Roman"/>
                <w:spacing w:val="3"/>
                <w:szCs w:val="20"/>
              </w:rPr>
              <w:t xml:space="preserve"> </w:t>
            </w:r>
            <w:r>
              <w:rPr>
                <w:rFonts w:eastAsia="Times New Roman" w:cs="Times New Roman"/>
                <w:spacing w:val="-1"/>
                <w:szCs w:val="20"/>
              </w:rPr>
              <w:t>u</w:t>
            </w:r>
            <w:r>
              <w:rPr>
                <w:rFonts w:eastAsia="Times New Roman" w:cs="Times New Roman"/>
                <w:spacing w:val="1"/>
                <w:szCs w:val="20"/>
              </w:rPr>
              <w:t>pro</w:t>
            </w:r>
            <w:r>
              <w:rPr>
                <w:rFonts w:eastAsia="Times New Roman" w:cs="Times New Roman"/>
                <w:spacing w:val="-1"/>
                <w:szCs w:val="20"/>
              </w:rPr>
              <w:t>s</w:t>
            </w:r>
            <w:r>
              <w:rPr>
                <w:rFonts w:eastAsia="Times New Roman" w:cs="Times New Roman"/>
                <w:szCs w:val="20"/>
              </w:rPr>
              <w:t>z</w:t>
            </w:r>
            <w:r>
              <w:rPr>
                <w:rFonts w:eastAsia="Times New Roman" w:cs="Times New Roman"/>
                <w:spacing w:val="1"/>
                <w:szCs w:val="20"/>
              </w:rPr>
              <w:t>c</w:t>
            </w:r>
            <w:r>
              <w:rPr>
                <w:rFonts w:eastAsia="Times New Roman" w:cs="Times New Roman"/>
                <w:szCs w:val="20"/>
              </w:rPr>
              <w:t>z</w:t>
            </w:r>
            <w:r>
              <w:rPr>
                <w:rFonts w:eastAsia="Times New Roman" w:cs="Times New Roman"/>
                <w:spacing w:val="1"/>
                <w:szCs w:val="20"/>
              </w:rPr>
              <w:t>on</w:t>
            </w:r>
            <w:r>
              <w:rPr>
                <w:rFonts w:eastAsia="Times New Roman" w:cs="Times New Roman"/>
                <w:szCs w:val="20"/>
              </w:rPr>
              <w:t>y</w:t>
            </w:r>
            <w:r>
              <w:rPr>
                <w:rFonts w:eastAsia="Times New Roman" w:cs="Times New Roman"/>
                <w:spacing w:val="-13"/>
                <w:szCs w:val="20"/>
              </w:rPr>
              <w:t xml:space="preserve"> </w:t>
            </w:r>
            <w:r>
              <w:rPr>
                <w:rFonts w:eastAsia="Times New Roman" w:cs="Times New Roman"/>
                <w:spacing w:val="1"/>
                <w:szCs w:val="20"/>
              </w:rPr>
              <w:t>op</w:t>
            </w:r>
            <w:r>
              <w:rPr>
                <w:rFonts w:eastAsia="Times New Roman" w:cs="Times New Roman"/>
                <w:szCs w:val="20"/>
              </w:rPr>
              <w:t>is</w:t>
            </w:r>
            <w:r>
              <w:rPr>
                <w:rFonts w:eastAsia="Times New Roman" w:cs="Times New Roman"/>
                <w:spacing w:val="-4"/>
                <w:szCs w:val="20"/>
              </w:rPr>
              <w:t xml:space="preserve"> </w:t>
            </w:r>
            <w:r>
              <w:rPr>
                <w:rFonts w:eastAsia="Times New Roman" w:cs="Times New Roman"/>
                <w:spacing w:val="1"/>
                <w:szCs w:val="20"/>
              </w:rPr>
              <w:t>p</w:t>
            </w:r>
            <w:r>
              <w:rPr>
                <w:rFonts w:eastAsia="Times New Roman" w:cs="Times New Roman"/>
                <w:szCs w:val="20"/>
              </w:rPr>
              <w:t>et</w:t>
            </w:r>
            <w:r>
              <w:rPr>
                <w:rFonts w:eastAsia="Times New Roman" w:cs="Times New Roman"/>
                <w:spacing w:val="1"/>
                <w:szCs w:val="20"/>
              </w:rPr>
              <w:t>ro</w:t>
            </w:r>
            <w:r>
              <w:rPr>
                <w:rFonts w:eastAsia="Times New Roman" w:cs="Times New Roman"/>
                <w:spacing w:val="-1"/>
                <w:szCs w:val="20"/>
              </w:rPr>
              <w:t>g</w:t>
            </w:r>
            <w:r>
              <w:rPr>
                <w:rFonts w:eastAsia="Times New Roman" w:cs="Times New Roman"/>
                <w:spacing w:val="1"/>
                <w:szCs w:val="20"/>
              </w:rPr>
              <w:t>r</w:t>
            </w:r>
            <w:r>
              <w:rPr>
                <w:rFonts w:eastAsia="Times New Roman" w:cs="Times New Roman"/>
                <w:szCs w:val="20"/>
              </w:rPr>
              <w:t>a</w:t>
            </w:r>
            <w:r>
              <w:rPr>
                <w:rFonts w:eastAsia="Times New Roman" w:cs="Times New Roman"/>
                <w:spacing w:val="-1"/>
                <w:szCs w:val="20"/>
              </w:rPr>
              <w:t>f</w:t>
            </w:r>
            <w:r>
              <w:rPr>
                <w:rFonts w:eastAsia="Times New Roman" w:cs="Times New Roman"/>
                <w:szCs w:val="20"/>
              </w:rPr>
              <w:t>ic</w:t>
            </w:r>
            <w:r>
              <w:rPr>
                <w:rFonts w:eastAsia="Times New Roman" w:cs="Times New Roman"/>
                <w:spacing w:val="3"/>
                <w:szCs w:val="20"/>
              </w:rPr>
              <w:t>z</w:t>
            </w:r>
            <w:r>
              <w:rPr>
                <w:rFonts w:eastAsia="Times New Roman" w:cs="Times New Roman"/>
                <w:spacing w:val="1"/>
                <w:szCs w:val="20"/>
              </w:rPr>
              <w:t>n</w:t>
            </w:r>
            <w:r>
              <w:rPr>
                <w:rFonts w:eastAsia="Times New Roman" w:cs="Times New Roman"/>
                <w:szCs w:val="20"/>
              </w:rPr>
              <w:t>y</w:t>
            </w:r>
            <w:r>
              <w:rPr>
                <w:rFonts w:eastAsia="Times New Roman" w:cs="Times New Roman"/>
                <w:spacing w:val="-11"/>
                <w:szCs w:val="20"/>
              </w:rPr>
              <w:t xml:space="preserve"> </w:t>
            </w:r>
            <w:r>
              <w:rPr>
                <w:rFonts w:eastAsia="Times New Roman" w:cs="Times New Roman"/>
                <w:spacing w:val="-2"/>
                <w:szCs w:val="20"/>
              </w:rPr>
              <w:t>w</w:t>
            </w:r>
            <w:r>
              <w:rPr>
                <w:rFonts w:eastAsia="Times New Roman" w:cs="Times New Roman"/>
                <w:szCs w:val="20"/>
              </w:rPr>
              <w:t>e</w:t>
            </w:r>
            <w:r>
              <w:rPr>
                <w:rFonts w:eastAsia="Times New Roman" w:cs="Times New Roman"/>
                <w:spacing w:val="1"/>
                <w:szCs w:val="20"/>
              </w:rPr>
              <w:t>d</w:t>
            </w:r>
            <w:r>
              <w:rPr>
                <w:rFonts w:eastAsia="Times New Roman" w:cs="Times New Roman"/>
                <w:szCs w:val="20"/>
              </w:rPr>
              <w:t>ł</w:t>
            </w:r>
            <w:r>
              <w:rPr>
                <w:rFonts w:eastAsia="Times New Roman" w:cs="Times New Roman"/>
                <w:spacing w:val="1"/>
                <w:szCs w:val="20"/>
              </w:rPr>
              <w:t>u</w:t>
            </w:r>
            <w:r>
              <w:rPr>
                <w:rFonts w:eastAsia="Times New Roman" w:cs="Times New Roman"/>
                <w:szCs w:val="20"/>
              </w:rPr>
              <w:t xml:space="preserve">g </w:t>
            </w:r>
            <w:r>
              <w:rPr>
                <w:rFonts w:eastAsia="Times New Roman" w:cs="Times New Roman"/>
                <w:spacing w:val="2"/>
                <w:szCs w:val="20"/>
              </w:rPr>
              <w:t>P</w:t>
            </w:r>
            <w:r>
              <w:rPr>
                <w:rFonts w:eastAsia="Times New Roman" w:cs="Times New Roman"/>
                <w:szCs w:val="20"/>
              </w:rPr>
              <w:t>N</w:t>
            </w:r>
            <w:r>
              <w:rPr>
                <w:rFonts w:eastAsia="Times New Roman" w:cs="Times New Roman"/>
                <w:spacing w:val="-2"/>
                <w:szCs w:val="20"/>
              </w:rPr>
              <w:t>-</w:t>
            </w:r>
            <w:r>
              <w:rPr>
                <w:rFonts w:eastAsia="Times New Roman" w:cs="Times New Roman"/>
                <w:szCs w:val="20"/>
              </w:rPr>
              <w:t>EN</w:t>
            </w:r>
            <w:r>
              <w:rPr>
                <w:rFonts w:eastAsia="Times New Roman" w:cs="Times New Roman"/>
                <w:spacing w:val="-6"/>
                <w:szCs w:val="20"/>
              </w:rPr>
              <w:t xml:space="preserve"> </w:t>
            </w:r>
            <w:r>
              <w:rPr>
                <w:rFonts w:eastAsia="Times New Roman" w:cs="Times New Roman"/>
                <w:spacing w:val="1"/>
                <w:szCs w:val="20"/>
              </w:rPr>
              <w:t>93</w:t>
            </w:r>
            <w:r>
              <w:rPr>
                <w:rFonts w:eastAsia="Times New Roman" w:cs="Times New Roman"/>
                <w:spacing w:val="2"/>
                <w:szCs w:val="20"/>
              </w:rPr>
              <w:t>2</w:t>
            </w:r>
            <w:r>
              <w:rPr>
                <w:rFonts w:eastAsia="Times New Roman" w:cs="Times New Roman"/>
                <w:spacing w:val="-2"/>
                <w:szCs w:val="20"/>
              </w:rPr>
              <w:t>-</w:t>
            </w:r>
            <w:r>
              <w:rPr>
                <w:rFonts w:eastAsia="Times New Roman" w:cs="Times New Roman"/>
                <w:szCs w:val="20"/>
              </w:rPr>
              <w:t>3</w:t>
            </w:r>
          </w:p>
        </w:tc>
        <w:tc>
          <w:tcPr>
            <w:tcW w:w="2579"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1"/>
                <w:szCs w:val="20"/>
              </w:rPr>
              <w:t>d</w:t>
            </w:r>
            <w:r>
              <w:rPr>
                <w:rFonts w:eastAsia="Times New Roman" w:cs="Times New Roman"/>
                <w:szCs w:val="20"/>
              </w:rPr>
              <w:t>e</w:t>
            </w:r>
            <w:r>
              <w:rPr>
                <w:rFonts w:eastAsia="Times New Roman" w:cs="Times New Roman"/>
                <w:spacing w:val="-1"/>
                <w:szCs w:val="20"/>
              </w:rPr>
              <w:t>k</w:t>
            </w:r>
            <w:r>
              <w:rPr>
                <w:rFonts w:eastAsia="Times New Roman" w:cs="Times New Roman"/>
                <w:szCs w:val="20"/>
              </w:rPr>
              <w:t>la</w:t>
            </w:r>
            <w:r>
              <w:rPr>
                <w:rFonts w:eastAsia="Times New Roman" w:cs="Times New Roman"/>
                <w:spacing w:val="1"/>
                <w:szCs w:val="20"/>
              </w:rPr>
              <w:t>r</w:t>
            </w:r>
            <w:r>
              <w:rPr>
                <w:rFonts w:eastAsia="Times New Roman" w:cs="Times New Roman"/>
                <w:spacing w:val="3"/>
                <w:szCs w:val="20"/>
              </w:rPr>
              <w:t>o</w:t>
            </w:r>
            <w:r>
              <w:rPr>
                <w:rFonts w:eastAsia="Times New Roman" w:cs="Times New Roman"/>
                <w:spacing w:val="-5"/>
                <w:szCs w:val="20"/>
              </w:rPr>
              <w:t>w</w:t>
            </w:r>
            <w:r>
              <w:rPr>
                <w:rFonts w:eastAsia="Times New Roman" w:cs="Times New Roman"/>
                <w:spacing w:val="3"/>
                <w:szCs w:val="20"/>
              </w:rPr>
              <w:t>a</w:t>
            </w:r>
            <w:r>
              <w:rPr>
                <w:rFonts w:eastAsia="Times New Roman" w:cs="Times New Roman"/>
                <w:spacing w:val="1"/>
                <w:szCs w:val="20"/>
              </w:rPr>
              <w:t>n</w:t>
            </w:r>
            <w:r>
              <w:rPr>
                <w:rFonts w:eastAsia="Times New Roman" w:cs="Times New Roman"/>
                <w:szCs w:val="20"/>
              </w:rPr>
              <w:t>y</w:t>
            </w:r>
            <w:r>
              <w:rPr>
                <w:rFonts w:eastAsia="Times New Roman" w:cs="Times New Roman"/>
                <w:spacing w:val="-13"/>
                <w:szCs w:val="20"/>
              </w:rPr>
              <w:t xml:space="preserve"> </w:t>
            </w:r>
            <w:r>
              <w:rPr>
                <w:rFonts w:eastAsia="Times New Roman" w:cs="Times New Roman"/>
                <w:spacing w:val="1"/>
                <w:w w:val="99"/>
                <w:szCs w:val="20"/>
              </w:rPr>
              <w:t>pr</w:t>
            </w:r>
            <w:r>
              <w:rPr>
                <w:rFonts w:eastAsia="Times New Roman" w:cs="Times New Roman"/>
                <w:w w:val="99"/>
                <w:szCs w:val="20"/>
              </w:rPr>
              <w:t>z</w:t>
            </w:r>
            <w:r>
              <w:rPr>
                <w:rFonts w:eastAsia="Times New Roman" w:cs="Times New Roman"/>
                <w:spacing w:val="1"/>
                <w:w w:val="99"/>
                <w:szCs w:val="20"/>
              </w:rPr>
              <w:t>e</w:t>
            </w:r>
            <w:r>
              <w:rPr>
                <w:rFonts w:eastAsia="Times New Roman" w:cs="Times New Roman"/>
                <w:w w:val="99"/>
                <w:szCs w:val="20"/>
              </w:rPr>
              <w:t xml:space="preserve">z </w:t>
            </w:r>
            <w:r>
              <w:rPr>
                <w:rFonts w:eastAsia="Times New Roman" w:cs="Times New Roman"/>
                <w:spacing w:val="1"/>
                <w:w w:val="99"/>
                <w:szCs w:val="20"/>
              </w:rPr>
              <w:t>prod</w:t>
            </w:r>
            <w:r>
              <w:rPr>
                <w:rFonts w:eastAsia="Times New Roman" w:cs="Times New Roman"/>
                <w:spacing w:val="-1"/>
                <w:w w:val="99"/>
                <w:szCs w:val="20"/>
              </w:rPr>
              <w:t>u</w:t>
            </w:r>
            <w:r>
              <w:rPr>
                <w:rFonts w:eastAsia="Times New Roman" w:cs="Times New Roman"/>
                <w:w w:val="99"/>
                <w:szCs w:val="20"/>
              </w:rPr>
              <w:t>c</w:t>
            </w:r>
            <w:r>
              <w:rPr>
                <w:rFonts w:eastAsia="Times New Roman" w:cs="Times New Roman"/>
                <w:spacing w:val="1"/>
                <w:w w:val="99"/>
                <w:szCs w:val="20"/>
              </w:rPr>
              <w:t>e</w:t>
            </w:r>
            <w:r>
              <w:rPr>
                <w:rFonts w:eastAsia="Times New Roman" w:cs="Times New Roman"/>
                <w:spacing w:val="-1"/>
                <w:w w:val="99"/>
                <w:szCs w:val="20"/>
              </w:rPr>
              <w:t>n</w:t>
            </w:r>
            <w:r>
              <w:rPr>
                <w:rFonts w:eastAsia="Times New Roman" w:cs="Times New Roman"/>
                <w:w w:val="99"/>
                <w:szCs w:val="20"/>
              </w:rPr>
              <w:t>ta</w:t>
            </w:r>
          </w:p>
        </w:tc>
      </w:tr>
      <w:tr w:rsidR="00B77F00">
        <w:tblPrEx>
          <w:tblCellMar>
            <w:top w:w="0" w:type="dxa"/>
            <w:bottom w:w="0" w:type="dxa"/>
          </w:tblCellMar>
        </w:tblPrEx>
        <w:trPr>
          <w:cantSplit/>
        </w:trPr>
        <w:tc>
          <w:tcPr>
            <w:tcW w:w="644"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spacing w:val="1"/>
                <w:szCs w:val="20"/>
              </w:rPr>
            </w:pPr>
            <w:r>
              <w:rPr>
                <w:rFonts w:eastAsia="Times New Roman" w:cs="Times New Roman"/>
                <w:spacing w:val="1"/>
                <w:szCs w:val="20"/>
              </w:rPr>
              <w:t>14</w:t>
            </w:r>
          </w:p>
        </w:tc>
        <w:tc>
          <w:tcPr>
            <w:tcW w:w="641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G</w:t>
            </w:r>
            <w:r>
              <w:rPr>
                <w:rFonts w:eastAsia="Times New Roman" w:cs="Times New Roman"/>
                <w:spacing w:val="1"/>
                <w:szCs w:val="20"/>
              </w:rPr>
              <w:t>r</w:t>
            </w:r>
            <w:r>
              <w:rPr>
                <w:rFonts w:eastAsia="Times New Roman" w:cs="Times New Roman"/>
                <w:spacing w:val="-1"/>
                <w:szCs w:val="20"/>
              </w:rPr>
              <w:t>u</w:t>
            </w:r>
            <w:r>
              <w:rPr>
                <w:rFonts w:eastAsia="Times New Roman" w:cs="Times New Roman"/>
                <w:spacing w:val="1"/>
                <w:szCs w:val="20"/>
              </w:rPr>
              <w:t>b</w:t>
            </w:r>
            <w:r>
              <w:rPr>
                <w:rFonts w:eastAsia="Times New Roman" w:cs="Times New Roman"/>
                <w:szCs w:val="20"/>
              </w:rPr>
              <w:t>e</w:t>
            </w:r>
            <w:r>
              <w:rPr>
                <w:rFonts w:eastAsia="Times New Roman" w:cs="Times New Roman"/>
                <w:spacing w:val="-4"/>
                <w:szCs w:val="20"/>
              </w:rPr>
              <w:t xml:space="preserve"> </w:t>
            </w:r>
            <w:r>
              <w:rPr>
                <w:rFonts w:eastAsia="Times New Roman" w:cs="Times New Roman"/>
                <w:szCs w:val="20"/>
              </w:rPr>
              <w:t>z</w:t>
            </w:r>
            <w:r>
              <w:rPr>
                <w:rFonts w:eastAsia="Times New Roman" w:cs="Times New Roman"/>
                <w:spacing w:val="1"/>
                <w:szCs w:val="20"/>
              </w:rPr>
              <w:t>a</w:t>
            </w:r>
            <w:r>
              <w:rPr>
                <w:rFonts w:eastAsia="Times New Roman" w:cs="Times New Roman"/>
                <w:spacing w:val="-1"/>
                <w:szCs w:val="20"/>
              </w:rPr>
              <w:t>n</w:t>
            </w:r>
            <w:r>
              <w:rPr>
                <w:rFonts w:eastAsia="Times New Roman" w:cs="Times New Roman"/>
                <w:szCs w:val="20"/>
              </w:rPr>
              <w:t>iec</w:t>
            </w:r>
            <w:r>
              <w:rPr>
                <w:rFonts w:eastAsia="Times New Roman" w:cs="Times New Roman"/>
                <w:spacing w:val="3"/>
                <w:szCs w:val="20"/>
              </w:rPr>
              <w:t>z</w:t>
            </w:r>
            <w:r>
              <w:rPr>
                <w:rFonts w:eastAsia="Times New Roman" w:cs="Times New Roman"/>
                <w:spacing w:val="-1"/>
                <w:szCs w:val="20"/>
              </w:rPr>
              <w:t>ys</w:t>
            </w:r>
            <w:r>
              <w:rPr>
                <w:rFonts w:eastAsia="Times New Roman" w:cs="Times New Roman"/>
                <w:szCs w:val="20"/>
              </w:rPr>
              <w:t>z</w:t>
            </w:r>
            <w:r>
              <w:rPr>
                <w:rFonts w:eastAsia="Times New Roman" w:cs="Times New Roman"/>
                <w:spacing w:val="1"/>
                <w:szCs w:val="20"/>
              </w:rPr>
              <w:t>c</w:t>
            </w:r>
            <w:r>
              <w:rPr>
                <w:rFonts w:eastAsia="Times New Roman" w:cs="Times New Roman"/>
                <w:szCs w:val="20"/>
              </w:rPr>
              <w:t>z</w:t>
            </w:r>
            <w:r>
              <w:rPr>
                <w:rFonts w:eastAsia="Times New Roman" w:cs="Times New Roman"/>
                <w:spacing w:val="3"/>
                <w:szCs w:val="20"/>
              </w:rPr>
              <w:t>e</w:t>
            </w:r>
            <w:r>
              <w:rPr>
                <w:rFonts w:eastAsia="Times New Roman" w:cs="Times New Roman"/>
                <w:spacing w:val="-1"/>
                <w:szCs w:val="20"/>
              </w:rPr>
              <w:t>n</w:t>
            </w:r>
            <w:r>
              <w:rPr>
                <w:rFonts w:eastAsia="Times New Roman" w:cs="Times New Roman"/>
                <w:szCs w:val="20"/>
              </w:rPr>
              <w:t>ia</w:t>
            </w:r>
            <w:r>
              <w:rPr>
                <w:rFonts w:eastAsia="Times New Roman" w:cs="Times New Roman"/>
                <w:spacing w:val="-14"/>
                <w:szCs w:val="20"/>
              </w:rPr>
              <w:t xml:space="preserve"> </w:t>
            </w:r>
            <w:r>
              <w:rPr>
                <w:rFonts w:eastAsia="Times New Roman" w:cs="Times New Roman"/>
                <w:szCs w:val="20"/>
              </w:rPr>
              <w:t>le</w:t>
            </w:r>
            <w:r>
              <w:rPr>
                <w:rFonts w:eastAsia="Times New Roman" w:cs="Times New Roman"/>
                <w:spacing w:val="1"/>
                <w:szCs w:val="20"/>
              </w:rPr>
              <w:t>k</w:t>
            </w:r>
            <w:r>
              <w:rPr>
                <w:rFonts w:eastAsia="Times New Roman" w:cs="Times New Roman"/>
                <w:spacing w:val="-1"/>
                <w:szCs w:val="20"/>
              </w:rPr>
              <w:t>k</w:t>
            </w:r>
            <w:r>
              <w:rPr>
                <w:rFonts w:eastAsia="Times New Roman" w:cs="Times New Roman"/>
                <w:spacing w:val="2"/>
                <w:szCs w:val="20"/>
              </w:rPr>
              <w:t>i</w:t>
            </w:r>
            <w:r>
              <w:rPr>
                <w:rFonts w:eastAsia="Times New Roman" w:cs="Times New Roman"/>
                <w:szCs w:val="20"/>
              </w:rPr>
              <w:t>e</w:t>
            </w:r>
            <w:r>
              <w:rPr>
                <w:rFonts w:eastAsia="Times New Roman" w:cs="Times New Roman"/>
                <w:spacing w:val="-2"/>
                <w:szCs w:val="20"/>
              </w:rPr>
              <w:t xml:space="preserve"> </w:t>
            </w:r>
            <w:r>
              <w:rPr>
                <w:rFonts w:eastAsia="Times New Roman" w:cs="Times New Roman"/>
                <w:spacing w:val="-5"/>
                <w:szCs w:val="20"/>
              </w:rPr>
              <w:t>w</w:t>
            </w:r>
            <w:r>
              <w:rPr>
                <w:rFonts w:eastAsia="Times New Roman" w:cs="Times New Roman"/>
                <w:szCs w:val="20"/>
              </w:rPr>
              <w:t>e</w:t>
            </w:r>
            <w:r>
              <w:rPr>
                <w:rFonts w:eastAsia="Times New Roman" w:cs="Times New Roman"/>
                <w:spacing w:val="1"/>
                <w:szCs w:val="20"/>
              </w:rPr>
              <w:t>d</w:t>
            </w:r>
            <w:r>
              <w:rPr>
                <w:rFonts w:eastAsia="Times New Roman" w:cs="Times New Roman"/>
                <w:szCs w:val="20"/>
              </w:rPr>
              <w:t>ł</w:t>
            </w:r>
            <w:r>
              <w:rPr>
                <w:rFonts w:eastAsia="Times New Roman" w:cs="Times New Roman"/>
                <w:spacing w:val="1"/>
                <w:szCs w:val="20"/>
              </w:rPr>
              <w:t>u</w:t>
            </w:r>
            <w:r>
              <w:rPr>
                <w:rFonts w:eastAsia="Times New Roman" w:cs="Times New Roman"/>
                <w:szCs w:val="20"/>
              </w:rPr>
              <w:t>g</w:t>
            </w:r>
            <w:r>
              <w:rPr>
                <w:rFonts w:eastAsia="Times New Roman" w:cs="Times New Roman"/>
                <w:spacing w:val="-7"/>
                <w:szCs w:val="20"/>
              </w:rPr>
              <w:t xml:space="preserve"> </w:t>
            </w:r>
            <w:r>
              <w:rPr>
                <w:rFonts w:eastAsia="Times New Roman" w:cs="Times New Roman"/>
                <w:spacing w:val="2"/>
                <w:szCs w:val="20"/>
              </w:rPr>
              <w:t>P</w:t>
            </w:r>
            <w:r>
              <w:rPr>
                <w:rFonts w:eastAsia="Times New Roman" w:cs="Times New Roman"/>
                <w:spacing w:val="3"/>
                <w:szCs w:val="20"/>
              </w:rPr>
              <w:t>N</w:t>
            </w:r>
            <w:r>
              <w:rPr>
                <w:rFonts w:eastAsia="Times New Roman" w:cs="Times New Roman"/>
                <w:spacing w:val="-2"/>
                <w:szCs w:val="20"/>
              </w:rPr>
              <w:t>-</w:t>
            </w:r>
            <w:r>
              <w:rPr>
                <w:rFonts w:eastAsia="Times New Roman" w:cs="Times New Roman"/>
                <w:szCs w:val="20"/>
              </w:rPr>
              <w:t>EN</w:t>
            </w:r>
            <w:r>
              <w:rPr>
                <w:rFonts w:eastAsia="Times New Roman" w:cs="Times New Roman"/>
                <w:spacing w:val="-6"/>
                <w:szCs w:val="20"/>
              </w:rPr>
              <w:t xml:space="preserve"> </w:t>
            </w:r>
            <w:r>
              <w:rPr>
                <w:rFonts w:eastAsia="Times New Roman" w:cs="Times New Roman"/>
                <w:spacing w:val="1"/>
                <w:szCs w:val="20"/>
              </w:rPr>
              <w:t>174</w:t>
            </w:r>
            <w:r>
              <w:rPr>
                <w:rFonts w:eastAsia="Times New Roman" w:cs="Times New Roman"/>
                <w:spacing w:val="3"/>
                <w:szCs w:val="20"/>
              </w:rPr>
              <w:t>4</w:t>
            </w:r>
            <w:r>
              <w:rPr>
                <w:rFonts w:eastAsia="Times New Roman" w:cs="Times New Roman"/>
                <w:spacing w:val="-2"/>
                <w:szCs w:val="20"/>
              </w:rPr>
              <w:t>-</w:t>
            </w:r>
            <w:r>
              <w:rPr>
                <w:rFonts w:eastAsia="Times New Roman" w:cs="Times New Roman"/>
                <w:spacing w:val="1"/>
                <w:szCs w:val="20"/>
              </w:rPr>
              <w:t>1</w:t>
            </w:r>
            <w:r>
              <w:rPr>
                <w:rFonts w:eastAsia="Times New Roman" w:cs="Times New Roman"/>
                <w:szCs w:val="20"/>
              </w:rPr>
              <w:t>,</w:t>
            </w:r>
            <w:r>
              <w:rPr>
                <w:rFonts w:eastAsia="Times New Roman" w:cs="Times New Roman"/>
                <w:spacing w:val="-5"/>
                <w:szCs w:val="20"/>
              </w:rPr>
              <w:t xml:space="preserve"> </w:t>
            </w:r>
            <w:r>
              <w:rPr>
                <w:rFonts w:eastAsia="Times New Roman" w:cs="Times New Roman"/>
                <w:spacing w:val="1"/>
                <w:szCs w:val="20"/>
              </w:rPr>
              <w:t>p</w:t>
            </w:r>
            <w:r>
              <w:rPr>
                <w:rFonts w:eastAsia="Times New Roman" w:cs="Times New Roman"/>
                <w:szCs w:val="20"/>
              </w:rPr>
              <w:t xml:space="preserve">. </w:t>
            </w:r>
            <w:r>
              <w:rPr>
                <w:rFonts w:eastAsia="Times New Roman" w:cs="Times New Roman"/>
                <w:spacing w:val="1"/>
                <w:szCs w:val="20"/>
              </w:rPr>
              <w:t>14</w:t>
            </w:r>
            <w:r>
              <w:rPr>
                <w:rFonts w:eastAsia="Times New Roman" w:cs="Times New Roman"/>
                <w:szCs w:val="20"/>
              </w:rPr>
              <w:t>.</w:t>
            </w:r>
            <w:r>
              <w:rPr>
                <w:rFonts w:eastAsia="Times New Roman" w:cs="Times New Roman"/>
                <w:spacing w:val="1"/>
                <w:szCs w:val="20"/>
              </w:rPr>
              <w:t>2</w:t>
            </w:r>
            <w:r>
              <w:rPr>
                <w:rFonts w:eastAsia="Times New Roman" w:cs="Times New Roman"/>
                <w:szCs w:val="20"/>
              </w:rPr>
              <w:t>;</w:t>
            </w:r>
            <w:r>
              <w:rPr>
                <w:rFonts w:eastAsia="Times New Roman" w:cs="Times New Roman"/>
                <w:spacing w:val="-3"/>
                <w:szCs w:val="20"/>
              </w:rPr>
              <w:t xml:space="preserve"> </w:t>
            </w:r>
            <w:r>
              <w:rPr>
                <w:rFonts w:eastAsia="Times New Roman" w:cs="Times New Roman"/>
                <w:spacing w:val="-1"/>
                <w:szCs w:val="20"/>
              </w:rPr>
              <w:t>k</w:t>
            </w:r>
            <w:r>
              <w:rPr>
                <w:rFonts w:eastAsia="Times New Roman" w:cs="Times New Roman"/>
                <w:szCs w:val="20"/>
              </w:rPr>
              <w:t>ate</w:t>
            </w:r>
            <w:r>
              <w:rPr>
                <w:rFonts w:eastAsia="Times New Roman" w:cs="Times New Roman"/>
                <w:spacing w:val="-1"/>
                <w:szCs w:val="20"/>
              </w:rPr>
              <w:t>g</w:t>
            </w:r>
            <w:r>
              <w:rPr>
                <w:rFonts w:eastAsia="Times New Roman" w:cs="Times New Roman"/>
                <w:spacing w:val="1"/>
                <w:szCs w:val="20"/>
              </w:rPr>
              <w:t>or</w:t>
            </w:r>
            <w:r>
              <w:rPr>
                <w:rFonts w:eastAsia="Times New Roman" w:cs="Times New Roman"/>
                <w:szCs w:val="20"/>
              </w:rPr>
              <w:t>ia</w:t>
            </w:r>
            <w:r>
              <w:rPr>
                <w:rFonts w:eastAsia="Times New Roman" w:cs="Times New Roman"/>
                <w:spacing w:val="-7"/>
                <w:szCs w:val="20"/>
              </w:rPr>
              <w:t xml:space="preserve"> </w:t>
            </w:r>
            <w:r>
              <w:rPr>
                <w:rFonts w:eastAsia="Times New Roman" w:cs="Times New Roman"/>
                <w:spacing w:val="-1"/>
                <w:szCs w:val="20"/>
              </w:rPr>
              <w:t>n</w:t>
            </w:r>
            <w:r>
              <w:rPr>
                <w:rFonts w:eastAsia="Times New Roman" w:cs="Times New Roman"/>
                <w:szCs w:val="20"/>
              </w:rPr>
              <w:t>ie</w:t>
            </w:r>
            <w:r>
              <w:rPr>
                <w:rFonts w:eastAsia="Times New Roman" w:cs="Times New Roman"/>
                <w:spacing w:val="1"/>
                <w:szCs w:val="20"/>
              </w:rPr>
              <w:t xml:space="preserve"> </w:t>
            </w:r>
            <w:r>
              <w:rPr>
                <w:rFonts w:eastAsia="Times New Roman" w:cs="Times New Roman"/>
                <w:spacing w:val="-2"/>
                <w:szCs w:val="20"/>
              </w:rPr>
              <w:t>w</w:t>
            </w:r>
            <w:r>
              <w:rPr>
                <w:rFonts w:eastAsia="Times New Roman" w:cs="Times New Roman"/>
                <w:spacing w:val="-1"/>
                <w:szCs w:val="20"/>
              </w:rPr>
              <w:t>y</w:t>
            </w:r>
            <w:r>
              <w:rPr>
                <w:rFonts w:eastAsia="Times New Roman" w:cs="Times New Roman"/>
                <w:spacing w:val="3"/>
                <w:szCs w:val="20"/>
              </w:rPr>
              <w:t>ż</w:t>
            </w:r>
            <w:r>
              <w:rPr>
                <w:rFonts w:eastAsia="Times New Roman" w:cs="Times New Roman"/>
                <w:spacing w:val="-1"/>
                <w:szCs w:val="20"/>
              </w:rPr>
              <w:t>s</w:t>
            </w:r>
            <w:r>
              <w:rPr>
                <w:rFonts w:eastAsia="Times New Roman" w:cs="Times New Roman"/>
                <w:szCs w:val="20"/>
              </w:rPr>
              <w:t>za</w:t>
            </w:r>
            <w:r>
              <w:rPr>
                <w:rFonts w:eastAsia="Times New Roman" w:cs="Times New Roman"/>
                <w:spacing w:val="-5"/>
                <w:szCs w:val="20"/>
              </w:rPr>
              <w:t xml:space="preserve"> </w:t>
            </w:r>
            <w:r>
              <w:rPr>
                <w:rFonts w:eastAsia="Times New Roman" w:cs="Times New Roman"/>
                <w:spacing w:val="-1"/>
                <w:szCs w:val="20"/>
              </w:rPr>
              <w:t>n</w:t>
            </w:r>
            <w:r>
              <w:rPr>
                <w:rFonts w:eastAsia="Times New Roman" w:cs="Times New Roman"/>
                <w:szCs w:val="20"/>
              </w:rPr>
              <w:t>i</w:t>
            </w:r>
            <w:r>
              <w:rPr>
                <w:rFonts w:eastAsia="Times New Roman" w:cs="Times New Roman"/>
                <w:spacing w:val="2"/>
                <w:szCs w:val="20"/>
              </w:rPr>
              <w:t>ż</w:t>
            </w:r>
            <w:r>
              <w:rPr>
                <w:rFonts w:eastAsia="Times New Roman" w:cs="Times New Roman"/>
                <w:szCs w:val="20"/>
              </w:rPr>
              <w:t>:</w:t>
            </w:r>
          </w:p>
        </w:tc>
        <w:tc>
          <w:tcPr>
            <w:tcW w:w="2579"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i/>
                <w:szCs w:val="20"/>
              </w:rPr>
              <w:t>m</w:t>
            </w:r>
            <w:r>
              <w:rPr>
                <w:rFonts w:eastAsia="Times New Roman" w:cs="Times New Roman"/>
                <w:spacing w:val="-2"/>
                <w:position w:val="-5"/>
                <w:szCs w:val="20"/>
              </w:rPr>
              <w:t>L</w:t>
            </w:r>
            <w:r>
              <w:rPr>
                <w:rFonts w:eastAsia="Times New Roman" w:cs="Times New Roman"/>
                <w:spacing w:val="2"/>
                <w:position w:val="-5"/>
                <w:szCs w:val="20"/>
              </w:rPr>
              <w:t>P</w:t>
            </w:r>
            <w:r>
              <w:rPr>
                <w:rFonts w:eastAsia="Times New Roman" w:cs="Times New Roman"/>
                <w:position w:val="-5"/>
                <w:szCs w:val="20"/>
              </w:rPr>
              <w:t>C</w:t>
            </w:r>
            <w:r>
              <w:rPr>
                <w:rFonts w:eastAsia="Times New Roman" w:cs="Times New Roman"/>
                <w:spacing w:val="14"/>
                <w:position w:val="-5"/>
                <w:szCs w:val="20"/>
              </w:rPr>
              <w:t xml:space="preserve"> </w:t>
            </w:r>
            <w:r>
              <w:rPr>
                <w:rFonts w:eastAsia="Times New Roman" w:cs="Times New Roman"/>
                <w:spacing w:val="1"/>
                <w:szCs w:val="20"/>
              </w:rPr>
              <w:t>0</w:t>
            </w:r>
            <w:r>
              <w:rPr>
                <w:rFonts w:eastAsia="Times New Roman" w:cs="Times New Roman"/>
                <w:szCs w:val="20"/>
              </w:rPr>
              <w:t>,1</w:t>
            </w:r>
          </w:p>
        </w:tc>
      </w:tr>
      <w:tr w:rsidR="00B77F00">
        <w:tblPrEx>
          <w:tblCellMar>
            <w:top w:w="0" w:type="dxa"/>
            <w:bottom w:w="0" w:type="dxa"/>
          </w:tblCellMar>
        </w:tblPrEx>
        <w:trPr>
          <w:cantSplit/>
        </w:trPr>
        <w:tc>
          <w:tcPr>
            <w:tcW w:w="644"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spacing w:val="1"/>
                <w:szCs w:val="20"/>
              </w:rPr>
            </w:pPr>
            <w:r>
              <w:rPr>
                <w:rFonts w:eastAsia="Times New Roman" w:cs="Times New Roman"/>
                <w:spacing w:val="1"/>
                <w:szCs w:val="20"/>
              </w:rPr>
              <w:t>15</w:t>
            </w:r>
          </w:p>
        </w:tc>
        <w:tc>
          <w:tcPr>
            <w:tcW w:w="641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1"/>
                <w:szCs w:val="20"/>
              </w:rPr>
              <w:t>R</w:t>
            </w:r>
            <w:r>
              <w:rPr>
                <w:rFonts w:eastAsia="Times New Roman" w:cs="Times New Roman"/>
                <w:spacing w:val="1"/>
                <w:szCs w:val="20"/>
              </w:rPr>
              <w:t>o</w:t>
            </w:r>
            <w:r>
              <w:rPr>
                <w:rFonts w:eastAsia="Times New Roman" w:cs="Times New Roman"/>
                <w:szCs w:val="20"/>
              </w:rPr>
              <w:t>z</w:t>
            </w:r>
            <w:r>
              <w:rPr>
                <w:rFonts w:eastAsia="Times New Roman" w:cs="Times New Roman"/>
                <w:spacing w:val="1"/>
                <w:szCs w:val="20"/>
              </w:rPr>
              <w:t>p</w:t>
            </w:r>
            <w:r>
              <w:rPr>
                <w:rFonts w:eastAsia="Times New Roman" w:cs="Times New Roman"/>
                <w:szCs w:val="20"/>
              </w:rPr>
              <w:t>ad</w:t>
            </w:r>
            <w:r>
              <w:rPr>
                <w:rFonts w:eastAsia="Times New Roman" w:cs="Times New Roman"/>
                <w:spacing w:val="-4"/>
                <w:szCs w:val="20"/>
              </w:rPr>
              <w:t xml:space="preserve"> </w:t>
            </w:r>
            <w:r>
              <w:rPr>
                <w:rFonts w:eastAsia="Times New Roman" w:cs="Times New Roman"/>
                <w:spacing w:val="-1"/>
                <w:szCs w:val="20"/>
              </w:rPr>
              <w:t>k</w:t>
            </w:r>
            <w:r>
              <w:rPr>
                <w:rFonts w:eastAsia="Times New Roman" w:cs="Times New Roman"/>
                <w:spacing w:val="1"/>
                <w:szCs w:val="20"/>
              </w:rPr>
              <w:t>r</w:t>
            </w:r>
            <w:r>
              <w:rPr>
                <w:rFonts w:eastAsia="Times New Roman" w:cs="Times New Roman"/>
                <w:szCs w:val="20"/>
              </w:rPr>
              <w:t>z</w:t>
            </w:r>
            <w:r>
              <w:rPr>
                <w:rFonts w:eastAsia="Times New Roman" w:cs="Times New Roman"/>
                <w:spacing w:val="3"/>
                <w:szCs w:val="20"/>
              </w:rPr>
              <w:t>e</w:t>
            </w:r>
            <w:r>
              <w:rPr>
                <w:rFonts w:eastAsia="Times New Roman" w:cs="Times New Roman"/>
                <w:spacing w:val="-4"/>
                <w:szCs w:val="20"/>
              </w:rPr>
              <w:t>m</w:t>
            </w:r>
            <w:r>
              <w:rPr>
                <w:rFonts w:eastAsia="Times New Roman" w:cs="Times New Roman"/>
                <w:szCs w:val="20"/>
              </w:rPr>
              <w:t>ia</w:t>
            </w:r>
            <w:r>
              <w:rPr>
                <w:rFonts w:eastAsia="Times New Roman" w:cs="Times New Roman"/>
                <w:spacing w:val="-1"/>
                <w:szCs w:val="20"/>
              </w:rPr>
              <w:t>n</w:t>
            </w:r>
            <w:r>
              <w:rPr>
                <w:rFonts w:eastAsia="Times New Roman" w:cs="Times New Roman"/>
                <w:spacing w:val="3"/>
                <w:szCs w:val="20"/>
              </w:rPr>
              <w:t>o</w:t>
            </w:r>
            <w:r>
              <w:rPr>
                <w:rFonts w:eastAsia="Times New Roman" w:cs="Times New Roman"/>
                <w:szCs w:val="20"/>
              </w:rPr>
              <w:t>wy</w:t>
            </w:r>
            <w:r>
              <w:rPr>
                <w:rFonts w:eastAsia="Times New Roman" w:cs="Times New Roman"/>
                <w:spacing w:val="-12"/>
                <w:szCs w:val="20"/>
              </w:rPr>
              <w:t xml:space="preserve"> </w:t>
            </w:r>
            <w:r>
              <w:rPr>
                <w:rFonts w:eastAsia="Times New Roman" w:cs="Times New Roman"/>
                <w:szCs w:val="20"/>
              </w:rPr>
              <w:t>ż</w:t>
            </w:r>
            <w:r>
              <w:rPr>
                <w:rFonts w:eastAsia="Times New Roman" w:cs="Times New Roman"/>
                <w:spacing w:val="-1"/>
                <w:szCs w:val="20"/>
              </w:rPr>
              <w:t>u</w:t>
            </w:r>
            <w:r>
              <w:rPr>
                <w:rFonts w:eastAsia="Times New Roman" w:cs="Times New Roman"/>
                <w:spacing w:val="3"/>
                <w:szCs w:val="20"/>
              </w:rPr>
              <w:t>ż</w:t>
            </w:r>
            <w:r>
              <w:rPr>
                <w:rFonts w:eastAsia="Times New Roman" w:cs="Times New Roman"/>
                <w:szCs w:val="20"/>
              </w:rPr>
              <w:t>la</w:t>
            </w:r>
            <w:r>
              <w:rPr>
                <w:rFonts w:eastAsia="Times New Roman" w:cs="Times New Roman"/>
                <w:spacing w:val="-1"/>
                <w:szCs w:val="20"/>
              </w:rPr>
              <w:t xml:space="preserve"> </w:t>
            </w:r>
            <w:r>
              <w:rPr>
                <w:rFonts w:eastAsia="Times New Roman" w:cs="Times New Roman"/>
                <w:szCs w:val="20"/>
              </w:rPr>
              <w:t>wiel</w:t>
            </w:r>
            <w:r>
              <w:rPr>
                <w:rFonts w:eastAsia="Times New Roman" w:cs="Times New Roman"/>
                <w:spacing w:val="-1"/>
                <w:szCs w:val="20"/>
              </w:rPr>
              <w:t>k</w:t>
            </w:r>
            <w:r>
              <w:rPr>
                <w:rFonts w:eastAsia="Times New Roman" w:cs="Times New Roman"/>
                <w:spacing w:val="1"/>
                <w:szCs w:val="20"/>
              </w:rPr>
              <w:t>op</w:t>
            </w:r>
            <w:r>
              <w:rPr>
                <w:rFonts w:eastAsia="Times New Roman" w:cs="Times New Roman"/>
                <w:szCs w:val="20"/>
              </w:rPr>
              <w:t>iec</w:t>
            </w:r>
            <w:r>
              <w:rPr>
                <w:rFonts w:eastAsia="Times New Roman" w:cs="Times New Roman"/>
                <w:spacing w:val="4"/>
                <w:szCs w:val="20"/>
              </w:rPr>
              <w:t>o</w:t>
            </w:r>
            <w:r>
              <w:rPr>
                <w:rFonts w:eastAsia="Times New Roman" w:cs="Times New Roman"/>
                <w:spacing w:val="-5"/>
                <w:szCs w:val="20"/>
              </w:rPr>
              <w:t>w</w:t>
            </w:r>
            <w:r>
              <w:rPr>
                <w:rFonts w:eastAsia="Times New Roman" w:cs="Times New Roman"/>
                <w:spacing w:val="3"/>
                <w:szCs w:val="20"/>
              </w:rPr>
              <w:t>e</w:t>
            </w:r>
            <w:r>
              <w:rPr>
                <w:rFonts w:eastAsia="Times New Roman" w:cs="Times New Roman"/>
                <w:spacing w:val="-1"/>
                <w:szCs w:val="20"/>
              </w:rPr>
              <w:t>g</w:t>
            </w:r>
            <w:r>
              <w:rPr>
                <w:rFonts w:eastAsia="Times New Roman" w:cs="Times New Roman"/>
                <w:szCs w:val="20"/>
              </w:rPr>
              <w:t>o</w:t>
            </w:r>
            <w:r>
              <w:rPr>
                <w:rFonts w:eastAsia="Times New Roman" w:cs="Times New Roman"/>
                <w:spacing w:val="-13"/>
                <w:szCs w:val="20"/>
              </w:rPr>
              <w:t xml:space="preserve"> </w:t>
            </w:r>
            <w:r>
              <w:rPr>
                <w:rFonts w:eastAsia="Times New Roman" w:cs="Times New Roman"/>
                <w:szCs w:val="20"/>
              </w:rPr>
              <w:t>c</w:t>
            </w:r>
            <w:r>
              <w:rPr>
                <w:rFonts w:eastAsia="Times New Roman" w:cs="Times New Roman"/>
                <w:spacing w:val="-1"/>
                <w:szCs w:val="20"/>
              </w:rPr>
              <w:t>h</w:t>
            </w:r>
            <w:r>
              <w:rPr>
                <w:rFonts w:eastAsia="Times New Roman" w:cs="Times New Roman"/>
                <w:szCs w:val="20"/>
              </w:rPr>
              <w:t>ł</w:t>
            </w:r>
            <w:r>
              <w:rPr>
                <w:rFonts w:eastAsia="Times New Roman" w:cs="Times New Roman"/>
                <w:spacing w:val="1"/>
                <w:szCs w:val="20"/>
              </w:rPr>
              <w:t>od</w:t>
            </w:r>
            <w:r>
              <w:rPr>
                <w:rFonts w:eastAsia="Times New Roman" w:cs="Times New Roman"/>
                <w:szCs w:val="20"/>
              </w:rPr>
              <w:t>z</w:t>
            </w:r>
            <w:r>
              <w:rPr>
                <w:rFonts w:eastAsia="Times New Roman" w:cs="Times New Roman"/>
                <w:spacing w:val="1"/>
                <w:szCs w:val="20"/>
              </w:rPr>
              <w:t>o</w:t>
            </w:r>
            <w:r>
              <w:rPr>
                <w:rFonts w:eastAsia="Times New Roman" w:cs="Times New Roman"/>
                <w:spacing w:val="-1"/>
                <w:szCs w:val="20"/>
              </w:rPr>
              <w:t>n</w:t>
            </w:r>
            <w:r>
              <w:rPr>
                <w:rFonts w:eastAsia="Times New Roman" w:cs="Times New Roman"/>
                <w:spacing w:val="3"/>
                <w:szCs w:val="20"/>
              </w:rPr>
              <w:t>e</w:t>
            </w:r>
            <w:r>
              <w:rPr>
                <w:rFonts w:eastAsia="Times New Roman" w:cs="Times New Roman"/>
                <w:spacing w:val="-1"/>
                <w:szCs w:val="20"/>
              </w:rPr>
              <w:t>g</w:t>
            </w:r>
            <w:r>
              <w:rPr>
                <w:rFonts w:eastAsia="Times New Roman" w:cs="Times New Roman"/>
                <w:szCs w:val="20"/>
              </w:rPr>
              <w:t xml:space="preserve">o </w:t>
            </w:r>
            <w:r>
              <w:rPr>
                <w:rFonts w:eastAsia="Times New Roman" w:cs="Times New Roman"/>
                <w:spacing w:val="1"/>
                <w:szCs w:val="20"/>
              </w:rPr>
              <w:t>p</w:t>
            </w:r>
            <w:r>
              <w:rPr>
                <w:rFonts w:eastAsia="Times New Roman" w:cs="Times New Roman"/>
                <w:spacing w:val="3"/>
                <w:szCs w:val="20"/>
              </w:rPr>
              <w:t>o</w:t>
            </w:r>
            <w:r>
              <w:rPr>
                <w:rFonts w:eastAsia="Times New Roman" w:cs="Times New Roman"/>
                <w:spacing w:val="-5"/>
                <w:szCs w:val="20"/>
              </w:rPr>
              <w:t>w</w:t>
            </w:r>
            <w:r>
              <w:rPr>
                <w:rFonts w:eastAsia="Times New Roman" w:cs="Times New Roman"/>
                <w:szCs w:val="20"/>
              </w:rPr>
              <w:t>iet</w:t>
            </w:r>
            <w:r>
              <w:rPr>
                <w:rFonts w:eastAsia="Times New Roman" w:cs="Times New Roman"/>
                <w:spacing w:val="1"/>
                <w:szCs w:val="20"/>
              </w:rPr>
              <w:t>r</w:t>
            </w:r>
            <w:r>
              <w:rPr>
                <w:rFonts w:eastAsia="Times New Roman" w:cs="Times New Roman"/>
                <w:szCs w:val="20"/>
              </w:rPr>
              <w:t>z</w:t>
            </w:r>
            <w:r>
              <w:rPr>
                <w:rFonts w:eastAsia="Times New Roman" w:cs="Times New Roman"/>
                <w:spacing w:val="3"/>
                <w:szCs w:val="20"/>
              </w:rPr>
              <w:t>e</w:t>
            </w:r>
            <w:r>
              <w:rPr>
                <w:rFonts w:eastAsia="Times New Roman" w:cs="Times New Roman"/>
                <w:szCs w:val="20"/>
              </w:rPr>
              <w:t>m</w:t>
            </w:r>
            <w:r>
              <w:rPr>
                <w:rFonts w:eastAsia="Times New Roman" w:cs="Times New Roman"/>
                <w:spacing w:val="-10"/>
                <w:szCs w:val="20"/>
              </w:rPr>
              <w:t xml:space="preserve"> </w:t>
            </w:r>
            <w:r>
              <w:rPr>
                <w:rFonts w:eastAsia="Times New Roman" w:cs="Times New Roman"/>
                <w:spacing w:val="-2"/>
                <w:szCs w:val="20"/>
              </w:rPr>
              <w:t>w</w:t>
            </w:r>
            <w:r>
              <w:rPr>
                <w:rFonts w:eastAsia="Times New Roman" w:cs="Times New Roman"/>
                <w:szCs w:val="20"/>
              </w:rPr>
              <w:t>e</w:t>
            </w:r>
            <w:r>
              <w:rPr>
                <w:rFonts w:eastAsia="Times New Roman" w:cs="Times New Roman"/>
                <w:spacing w:val="1"/>
                <w:szCs w:val="20"/>
              </w:rPr>
              <w:t>d</w:t>
            </w:r>
            <w:r>
              <w:rPr>
                <w:rFonts w:eastAsia="Times New Roman" w:cs="Times New Roman"/>
                <w:spacing w:val="2"/>
                <w:szCs w:val="20"/>
              </w:rPr>
              <w:t>ł</w:t>
            </w:r>
            <w:r>
              <w:rPr>
                <w:rFonts w:eastAsia="Times New Roman" w:cs="Times New Roman"/>
                <w:spacing w:val="1"/>
                <w:szCs w:val="20"/>
              </w:rPr>
              <w:t>u</w:t>
            </w:r>
            <w:r>
              <w:rPr>
                <w:rFonts w:eastAsia="Times New Roman" w:cs="Times New Roman"/>
                <w:szCs w:val="20"/>
              </w:rPr>
              <w:t>g</w:t>
            </w:r>
            <w:r>
              <w:rPr>
                <w:rFonts w:eastAsia="Times New Roman" w:cs="Times New Roman"/>
                <w:spacing w:val="-7"/>
                <w:szCs w:val="20"/>
              </w:rPr>
              <w:t xml:space="preserve"> </w:t>
            </w:r>
            <w:r>
              <w:rPr>
                <w:rFonts w:eastAsia="Times New Roman" w:cs="Times New Roman"/>
                <w:spacing w:val="2"/>
                <w:szCs w:val="20"/>
              </w:rPr>
              <w:t>P</w:t>
            </w:r>
            <w:r>
              <w:rPr>
                <w:rFonts w:eastAsia="Times New Roman" w:cs="Times New Roman"/>
                <w:spacing w:val="3"/>
                <w:szCs w:val="20"/>
              </w:rPr>
              <w:t>N</w:t>
            </w:r>
            <w:r>
              <w:rPr>
                <w:rFonts w:eastAsia="Times New Roman" w:cs="Times New Roman"/>
                <w:spacing w:val="-2"/>
                <w:szCs w:val="20"/>
              </w:rPr>
              <w:t>-</w:t>
            </w:r>
            <w:r>
              <w:rPr>
                <w:rFonts w:eastAsia="Times New Roman" w:cs="Times New Roman"/>
                <w:szCs w:val="20"/>
              </w:rPr>
              <w:t>EN</w:t>
            </w:r>
            <w:r>
              <w:rPr>
                <w:rFonts w:eastAsia="Times New Roman" w:cs="Times New Roman"/>
                <w:spacing w:val="-6"/>
                <w:szCs w:val="20"/>
              </w:rPr>
              <w:t xml:space="preserve"> </w:t>
            </w:r>
            <w:r>
              <w:rPr>
                <w:rFonts w:eastAsia="Times New Roman" w:cs="Times New Roman"/>
                <w:spacing w:val="1"/>
                <w:szCs w:val="20"/>
              </w:rPr>
              <w:t>174</w:t>
            </w:r>
            <w:r>
              <w:rPr>
                <w:rFonts w:eastAsia="Times New Roman" w:cs="Times New Roman"/>
                <w:spacing w:val="2"/>
                <w:szCs w:val="20"/>
              </w:rPr>
              <w:t>4</w:t>
            </w:r>
            <w:r>
              <w:rPr>
                <w:rFonts w:eastAsia="Times New Roman" w:cs="Times New Roman"/>
                <w:spacing w:val="-2"/>
                <w:szCs w:val="20"/>
              </w:rPr>
              <w:t>-</w:t>
            </w:r>
            <w:r>
              <w:rPr>
                <w:rFonts w:eastAsia="Times New Roman" w:cs="Times New Roman"/>
                <w:spacing w:val="1"/>
                <w:szCs w:val="20"/>
              </w:rPr>
              <w:t>1</w:t>
            </w:r>
            <w:r>
              <w:rPr>
                <w:rFonts w:eastAsia="Times New Roman" w:cs="Times New Roman"/>
                <w:szCs w:val="20"/>
              </w:rPr>
              <w:t>,</w:t>
            </w:r>
            <w:r>
              <w:rPr>
                <w:rFonts w:eastAsia="Times New Roman" w:cs="Times New Roman"/>
                <w:spacing w:val="-5"/>
                <w:szCs w:val="20"/>
              </w:rPr>
              <w:t xml:space="preserve"> </w:t>
            </w:r>
            <w:r>
              <w:rPr>
                <w:rFonts w:eastAsia="Times New Roman" w:cs="Times New Roman"/>
                <w:spacing w:val="1"/>
                <w:szCs w:val="20"/>
              </w:rPr>
              <w:t>p</w:t>
            </w:r>
            <w:r>
              <w:rPr>
                <w:rFonts w:eastAsia="Times New Roman" w:cs="Times New Roman"/>
                <w:szCs w:val="20"/>
              </w:rPr>
              <w:t>.</w:t>
            </w:r>
            <w:r>
              <w:rPr>
                <w:rFonts w:eastAsia="Times New Roman" w:cs="Times New Roman"/>
                <w:spacing w:val="-3"/>
                <w:szCs w:val="20"/>
              </w:rPr>
              <w:t xml:space="preserve"> </w:t>
            </w:r>
            <w:r>
              <w:rPr>
                <w:rFonts w:eastAsia="Times New Roman" w:cs="Times New Roman"/>
                <w:spacing w:val="1"/>
                <w:szCs w:val="20"/>
              </w:rPr>
              <w:t>19</w:t>
            </w:r>
            <w:r>
              <w:rPr>
                <w:rFonts w:eastAsia="Times New Roman" w:cs="Times New Roman"/>
                <w:spacing w:val="-2"/>
                <w:szCs w:val="20"/>
              </w:rPr>
              <w:t>.</w:t>
            </w:r>
            <w:r>
              <w:rPr>
                <w:rFonts w:eastAsia="Times New Roman" w:cs="Times New Roman"/>
                <w:spacing w:val="1"/>
                <w:szCs w:val="20"/>
              </w:rPr>
              <w:t>1</w:t>
            </w:r>
            <w:r>
              <w:rPr>
                <w:rFonts w:eastAsia="Times New Roman" w:cs="Times New Roman"/>
                <w:szCs w:val="20"/>
              </w:rPr>
              <w:t>:</w:t>
            </w:r>
          </w:p>
        </w:tc>
        <w:tc>
          <w:tcPr>
            <w:tcW w:w="2579"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w</w:t>
            </w:r>
            <w:r>
              <w:rPr>
                <w:rFonts w:eastAsia="Times New Roman" w:cs="Times New Roman"/>
                <w:spacing w:val="1"/>
                <w:szCs w:val="20"/>
              </w:rPr>
              <w:t>y</w:t>
            </w:r>
            <w:r>
              <w:rPr>
                <w:rFonts w:eastAsia="Times New Roman" w:cs="Times New Roman"/>
                <w:spacing w:val="-1"/>
                <w:szCs w:val="20"/>
              </w:rPr>
              <w:t>m</w:t>
            </w:r>
            <w:r>
              <w:rPr>
                <w:rFonts w:eastAsia="Times New Roman" w:cs="Times New Roman"/>
                <w:szCs w:val="20"/>
              </w:rPr>
              <w:t>a</w:t>
            </w:r>
            <w:r>
              <w:rPr>
                <w:rFonts w:eastAsia="Times New Roman" w:cs="Times New Roman"/>
                <w:spacing w:val="-1"/>
                <w:szCs w:val="20"/>
              </w:rPr>
              <w:t>g</w:t>
            </w:r>
            <w:r>
              <w:rPr>
                <w:rFonts w:eastAsia="Times New Roman" w:cs="Times New Roman"/>
                <w:spacing w:val="3"/>
                <w:szCs w:val="20"/>
              </w:rPr>
              <w:t>a</w:t>
            </w:r>
            <w:r>
              <w:rPr>
                <w:rFonts w:eastAsia="Times New Roman" w:cs="Times New Roman"/>
                <w:spacing w:val="-1"/>
                <w:szCs w:val="20"/>
              </w:rPr>
              <w:t>n</w:t>
            </w:r>
            <w:r>
              <w:rPr>
                <w:rFonts w:eastAsia="Times New Roman" w:cs="Times New Roman"/>
                <w:szCs w:val="20"/>
              </w:rPr>
              <w:t>a</w:t>
            </w:r>
            <w:r>
              <w:rPr>
                <w:rFonts w:eastAsia="Times New Roman" w:cs="Times New Roman"/>
                <w:spacing w:val="-8"/>
                <w:szCs w:val="20"/>
              </w:rPr>
              <w:t xml:space="preserve"> </w:t>
            </w:r>
            <w:r>
              <w:rPr>
                <w:rFonts w:eastAsia="Times New Roman" w:cs="Times New Roman"/>
                <w:spacing w:val="1"/>
                <w:szCs w:val="20"/>
              </w:rPr>
              <w:t>odpor</w:t>
            </w:r>
            <w:r>
              <w:rPr>
                <w:rFonts w:eastAsia="Times New Roman" w:cs="Times New Roman"/>
                <w:spacing w:val="-1"/>
                <w:szCs w:val="20"/>
              </w:rPr>
              <w:t>n</w:t>
            </w:r>
            <w:r>
              <w:rPr>
                <w:rFonts w:eastAsia="Times New Roman" w:cs="Times New Roman"/>
                <w:spacing w:val="1"/>
                <w:szCs w:val="20"/>
              </w:rPr>
              <w:t>o</w:t>
            </w:r>
            <w:r>
              <w:rPr>
                <w:rFonts w:eastAsia="Times New Roman" w:cs="Times New Roman"/>
                <w:spacing w:val="-1"/>
                <w:szCs w:val="20"/>
              </w:rPr>
              <w:t>ś</w:t>
            </w:r>
            <w:r>
              <w:rPr>
                <w:rFonts w:eastAsia="Times New Roman" w:cs="Times New Roman"/>
                <w:szCs w:val="20"/>
              </w:rPr>
              <w:t>ć</w:t>
            </w:r>
          </w:p>
        </w:tc>
      </w:tr>
      <w:tr w:rsidR="00B77F00">
        <w:tblPrEx>
          <w:tblCellMar>
            <w:top w:w="0" w:type="dxa"/>
            <w:bottom w:w="0" w:type="dxa"/>
          </w:tblCellMar>
        </w:tblPrEx>
        <w:trPr>
          <w:cantSplit/>
        </w:trPr>
        <w:tc>
          <w:tcPr>
            <w:tcW w:w="644"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spacing w:val="1"/>
                <w:szCs w:val="20"/>
              </w:rPr>
            </w:pPr>
            <w:r>
              <w:rPr>
                <w:rFonts w:eastAsia="Times New Roman" w:cs="Times New Roman"/>
                <w:spacing w:val="1"/>
                <w:szCs w:val="20"/>
              </w:rPr>
              <w:t>16</w:t>
            </w:r>
          </w:p>
        </w:tc>
        <w:tc>
          <w:tcPr>
            <w:tcW w:w="641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1"/>
                <w:szCs w:val="20"/>
              </w:rPr>
              <w:t>R</w:t>
            </w:r>
            <w:r>
              <w:rPr>
                <w:rFonts w:eastAsia="Times New Roman" w:cs="Times New Roman"/>
                <w:spacing w:val="1"/>
                <w:szCs w:val="20"/>
              </w:rPr>
              <w:t>o</w:t>
            </w:r>
            <w:r>
              <w:rPr>
                <w:rFonts w:eastAsia="Times New Roman" w:cs="Times New Roman"/>
                <w:szCs w:val="20"/>
              </w:rPr>
              <w:t>z</w:t>
            </w:r>
            <w:r>
              <w:rPr>
                <w:rFonts w:eastAsia="Times New Roman" w:cs="Times New Roman"/>
                <w:spacing w:val="1"/>
                <w:szCs w:val="20"/>
              </w:rPr>
              <w:t>p</w:t>
            </w:r>
            <w:r>
              <w:rPr>
                <w:rFonts w:eastAsia="Times New Roman" w:cs="Times New Roman"/>
                <w:szCs w:val="20"/>
              </w:rPr>
              <w:t>ad</w:t>
            </w:r>
            <w:r>
              <w:rPr>
                <w:rFonts w:eastAsia="Times New Roman" w:cs="Times New Roman"/>
                <w:spacing w:val="-4"/>
                <w:szCs w:val="20"/>
              </w:rPr>
              <w:t xml:space="preserve"> </w:t>
            </w:r>
            <w:r>
              <w:rPr>
                <w:rFonts w:eastAsia="Times New Roman" w:cs="Times New Roman"/>
                <w:szCs w:val="20"/>
              </w:rPr>
              <w:t>ż</w:t>
            </w:r>
            <w:r>
              <w:rPr>
                <w:rFonts w:eastAsia="Times New Roman" w:cs="Times New Roman"/>
                <w:spacing w:val="1"/>
                <w:szCs w:val="20"/>
              </w:rPr>
              <w:t>e</w:t>
            </w:r>
            <w:r>
              <w:rPr>
                <w:rFonts w:eastAsia="Times New Roman" w:cs="Times New Roman"/>
                <w:szCs w:val="20"/>
              </w:rPr>
              <w:t>laz</w:t>
            </w:r>
            <w:r>
              <w:rPr>
                <w:rFonts w:eastAsia="Times New Roman" w:cs="Times New Roman"/>
                <w:spacing w:val="2"/>
                <w:szCs w:val="20"/>
              </w:rPr>
              <w:t>o</w:t>
            </w:r>
            <w:r>
              <w:rPr>
                <w:rFonts w:eastAsia="Times New Roman" w:cs="Times New Roman"/>
                <w:spacing w:val="-2"/>
                <w:szCs w:val="20"/>
              </w:rPr>
              <w:t>w</w:t>
            </w:r>
            <w:r>
              <w:rPr>
                <w:rFonts w:eastAsia="Times New Roman" w:cs="Times New Roman"/>
                <w:szCs w:val="20"/>
              </w:rPr>
              <w:t>y</w:t>
            </w:r>
            <w:r>
              <w:rPr>
                <w:rFonts w:eastAsia="Times New Roman" w:cs="Times New Roman"/>
                <w:spacing w:val="-9"/>
                <w:szCs w:val="20"/>
              </w:rPr>
              <w:t xml:space="preserve"> </w:t>
            </w:r>
            <w:r>
              <w:rPr>
                <w:rFonts w:eastAsia="Times New Roman" w:cs="Times New Roman"/>
                <w:spacing w:val="3"/>
                <w:szCs w:val="20"/>
              </w:rPr>
              <w:t>ż</w:t>
            </w:r>
            <w:r>
              <w:rPr>
                <w:rFonts w:eastAsia="Times New Roman" w:cs="Times New Roman"/>
                <w:spacing w:val="-1"/>
                <w:szCs w:val="20"/>
              </w:rPr>
              <w:t>u</w:t>
            </w:r>
            <w:r>
              <w:rPr>
                <w:rFonts w:eastAsia="Times New Roman" w:cs="Times New Roman"/>
                <w:szCs w:val="20"/>
              </w:rPr>
              <w:t>żla</w:t>
            </w:r>
            <w:r>
              <w:rPr>
                <w:rFonts w:eastAsia="Times New Roman" w:cs="Times New Roman"/>
                <w:spacing w:val="-1"/>
                <w:szCs w:val="20"/>
              </w:rPr>
              <w:t xml:space="preserve"> </w:t>
            </w:r>
            <w:r>
              <w:rPr>
                <w:rFonts w:eastAsia="Times New Roman" w:cs="Times New Roman"/>
                <w:spacing w:val="-2"/>
                <w:szCs w:val="20"/>
              </w:rPr>
              <w:t>w</w:t>
            </w:r>
            <w:r>
              <w:rPr>
                <w:rFonts w:eastAsia="Times New Roman" w:cs="Times New Roman"/>
                <w:szCs w:val="20"/>
              </w:rPr>
              <w:t>ie</w:t>
            </w:r>
            <w:r>
              <w:rPr>
                <w:rFonts w:eastAsia="Times New Roman" w:cs="Times New Roman"/>
                <w:spacing w:val="2"/>
                <w:szCs w:val="20"/>
              </w:rPr>
              <w:t>l</w:t>
            </w:r>
            <w:r>
              <w:rPr>
                <w:rFonts w:eastAsia="Times New Roman" w:cs="Times New Roman"/>
                <w:spacing w:val="1"/>
                <w:szCs w:val="20"/>
              </w:rPr>
              <w:t>kop</w:t>
            </w:r>
            <w:r>
              <w:rPr>
                <w:rFonts w:eastAsia="Times New Roman" w:cs="Times New Roman"/>
                <w:szCs w:val="20"/>
              </w:rPr>
              <w:t>iec</w:t>
            </w:r>
            <w:r>
              <w:rPr>
                <w:rFonts w:eastAsia="Times New Roman" w:cs="Times New Roman"/>
                <w:spacing w:val="2"/>
                <w:szCs w:val="20"/>
              </w:rPr>
              <w:t>o</w:t>
            </w:r>
            <w:r>
              <w:rPr>
                <w:rFonts w:eastAsia="Times New Roman" w:cs="Times New Roman"/>
                <w:spacing w:val="-5"/>
                <w:szCs w:val="20"/>
              </w:rPr>
              <w:t>w</w:t>
            </w:r>
            <w:r>
              <w:rPr>
                <w:rFonts w:eastAsia="Times New Roman" w:cs="Times New Roman"/>
                <w:spacing w:val="3"/>
                <w:szCs w:val="20"/>
              </w:rPr>
              <w:t>e</w:t>
            </w:r>
            <w:r>
              <w:rPr>
                <w:rFonts w:eastAsia="Times New Roman" w:cs="Times New Roman"/>
                <w:spacing w:val="-1"/>
                <w:szCs w:val="20"/>
              </w:rPr>
              <w:t>g</w:t>
            </w:r>
            <w:r>
              <w:rPr>
                <w:rFonts w:eastAsia="Times New Roman" w:cs="Times New Roman"/>
                <w:szCs w:val="20"/>
              </w:rPr>
              <w:t>o</w:t>
            </w:r>
            <w:r>
              <w:rPr>
                <w:rFonts w:eastAsia="Times New Roman" w:cs="Times New Roman"/>
                <w:spacing w:val="-13"/>
                <w:szCs w:val="20"/>
              </w:rPr>
              <w:t xml:space="preserve"> </w:t>
            </w:r>
            <w:r>
              <w:rPr>
                <w:rFonts w:eastAsia="Times New Roman" w:cs="Times New Roman"/>
                <w:szCs w:val="20"/>
              </w:rPr>
              <w:t>c</w:t>
            </w:r>
            <w:r>
              <w:rPr>
                <w:rFonts w:eastAsia="Times New Roman" w:cs="Times New Roman"/>
                <w:spacing w:val="-1"/>
                <w:szCs w:val="20"/>
              </w:rPr>
              <w:t>h</w:t>
            </w:r>
            <w:r>
              <w:rPr>
                <w:rFonts w:eastAsia="Times New Roman" w:cs="Times New Roman"/>
                <w:szCs w:val="20"/>
              </w:rPr>
              <w:t>ł</w:t>
            </w:r>
            <w:r>
              <w:rPr>
                <w:rFonts w:eastAsia="Times New Roman" w:cs="Times New Roman"/>
                <w:spacing w:val="1"/>
                <w:szCs w:val="20"/>
              </w:rPr>
              <w:t>od</w:t>
            </w:r>
            <w:r>
              <w:rPr>
                <w:rFonts w:eastAsia="Times New Roman" w:cs="Times New Roman"/>
                <w:szCs w:val="20"/>
              </w:rPr>
              <w:t>z</w:t>
            </w:r>
            <w:r>
              <w:rPr>
                <w:rFonts w:eastAsia="Times New Roman" w:cs="Times New Roman"/>
                <w:spacing w:val="1"/>
                <w:szCs w:val="20"/>
              </w:rPr>
              <w:t>o</w:t>
            </w:r>
            <w:r>
              <w:rPr>
                <w:rFonts w:eastAsia="Times New Roman" w:cs="Times New Roman"/>
                <w:spacing w:val="-1"/>
                <w:szCs w:val="20"/>
              </w:rPr>
              <w:t>n</w:t>
            </w:r>
            <w:r>
              <w:rPr>
                <w:rFonts w:eastAsia="Times New Roman" w:cs="Times New Roman"/>
                <w:spacing w:val="3"/>
                <w:szCs w:val="20"/>
              </w:rPr>
              <w:t>e</w:t>
            </w:r>
            <w:r>
              <w:rPr>
                <w:rFonts w:eastAsia="Times New Roman" w:cs="Times New Roman"/>
                <w:spacing w:val="-1"/>
                <w:szCs w:val="20"/>
              </w:rPr>
              <w:t>g</w:t>
            </w:r>
            <w:r>
              <w:rPr>
                <w:rFonts w:eastAsia="Times New Roman" w:cs="Times New Roman"/>
                <w:szCs w:val="20"/>
              </w:rPr>
              <w:t xml:space="preserve">o </w:t>
            </w:r>
            <w:r>
              <w:rPr>
                <w:rFonts w:eastAsia="Times New Roman" w:cs="Times New Roman"/>
                <w:spacing w:val="1"/>
                <w:szCs w:val="20"/>
              </w:rPr>
              <w:t>p</w:t>
            </w:r>
            <w:r>
              <w:rPr>
                <w:rFonts w:eastAsia="Times New Roman" w:cs="Times New Roman"/>
                <w:spacing w:val="3"/>
                <w:szCs w:val="20"/>
              </w:rPr>
              <w:t>o</w:t>
            </w:r>
            <w:r>
              <w:rPr>
                <w:rFonts w:eastAsia="Times New Roman" w:cs="Times New Roman"/>
                <w:spacing w:val="-5"/>
                <w:szCs w:val="20"/>
              </w:rPr>
              <w:t>w</w:t>
            </w:r>
            <w:r>
              <w:rPr>
                <w:rFonts w:eastAsia="Times New Roman" w:cs="Times New Roman"/>
                <w:szCs w:val="20"/>
              </w:rPr>
              <w:t>iet</w:t>
            </w:r>
            <w:r>
              <w:rPr>
                <w:rFonts w:eastAsia="Times New Roman" w:cs="Times New Roman"/>
                <w:spacing w:val="1"/>
                <w:szCs w:val="20"/>
              </w:rPr>
              <w:t>r</w:t>
            </w:r>
            <w:r>
              <w:rPr>
                <w:rFonts w:eastAsia="Times New Roman" w:cs="Times New Roman"/>
                <w:szCs w:val="20"/>
              </w:rPr>
              <w:t>z</w:t>
            </w:r>
            <w:r>
              <w:rPr>
                <w:rFonts w:eastAsia="Times New Roman" w:cs="Times New Roman"/>
                <w:spacing w:val="3"/>
                <w:szCs w:val="20"/>
              </w:rPr>
              <w:t>e</w:t>
            </w:r>
            <w:r>
              <w:rPr>
                <w:rFonts w:eastAsia="Times New Roman" w:cs="Times New Roman"/>
                <w:szCs w:val="20"/>
              </w:rPr>
              <w:t>m</w:t>
            </w:r>
            <w:r>
              <w:rPr>
                <w:rFonts w:eastAsia="Times New Roman" w:cs="Times New Roman"/>
                <w:spacing w:val="-10"/>
                <w:szCs w:val="20"/>
              </w:rPr>
              <w:t xml:space="preserve"> </w:t>
            </w:r>
            <w:r>
              <w:rPr>
                <w:rFonts w:eastAsia="Times New Roman" w:cs="Times New Roman"/>
                <w:spacing w:val="-2"/>
                <w:szCs w:val="20"/>
              </w:rPr>
              <w:t>w</w:t>
            </w:r>
            <w:r>
              <w:rPr>
                <w:rFonts w:eastAsia="Times New Roman" w:cs="Times New Roman"/>
                <w:szCs w:val="20"/>
              </w:rPr>
              <w:t>e</w:t>
            </w:r>
            <w:r>
              <w:rPr>
                <w:rFonts w:eastAsia="Times New Roman" w:cs="Times New Roman"/>
                <w:spacing w:val="1"/>
                <w:szCs w:val="20"/>
              </w:rPr>
              <w:t>d</w:t>
            </w:r>
            <w:r>
              <w:rPr>
                <w:rFonts w:eastAsia="Times New Roman" w:cs="Times New Roman"/>
                <w:spacing w:val="2"/>
                <w:szCs w:val="20"/>
              </w:rPr>
              <w:t>ł</w:t>
            </w:r>
            <w:r>
              <w:rPr>
                <w:rFonts w:eastAsia="Times New Roman" w:cs="Times New Roman"/>
                <w:spacing w:val="1"/>
                <w:szCs w:val="20"/>
              </w:rPr>
              <w:t>u</w:t>
            </w:r>
            <w:r>
              <w:rPr>
                <w:rFonts w:eastAsia="Times New Roman" w:cs="Times New Roman"/>
                <w:szCs w:val="20"/>
              </w:rPr>
              <w:t>g</w:t>
            </w:r>
            <w:r>
              <w:rPr>
                <w:rFonts w:eastAsia="Times New Roman" w:cs="Times New Roman"/>
                <w:spacing w:val="-7"/>
                <w:szCs w:val="20"/>
              </w:rPr>
              <w:t xml:space="preserve"> </w:t>
            </w:r>
            <w:r>
              <w:rPr>
                <w:rFonts w:eastAsia="Times New Roman" w:cs="Times New Roman"/>
                <w:spacing w:val="2"/>
                <w:szCs w:val="20"/>
              </w:rPr>
              <w:t>P</w:t>
            </w:r>
            <w:r>
              <w:rPr>
                <w:rFonts w:eastAsia="Times New Roman" w:cs="Times New Roman"/>
                <w:spacing w:val="3"/>
                <w:szCs w:val="20"/>
              </w:rPr>
              <w:t>N</w:t>
            </w:r>
            <w:r>
              <w:rPr>
                <w:rFonts w:eastAsia="Times New Roman" w:cs="Times New Roman"/>
                <w:spacing w:val="-2"/>
                <w:szCs w:val="20"/>
              </w:rPr>
              <w:t>-</w:t>
            </w:r>
            <w:r>
              <w:rPr>
                <w:rFonts w:eastAsia="Times New Roman" w:cs="Times New Roman"/>
                <w:szCs w:val="20"/>
              </w:rPr>
              <w:t>EN</w:t>
            </w:r>
            <w:r>
              <w:rPr>
                <w:rFonts w:eastAsia="Times New Roman" w:cs="Times New Roman"/>
                <w:spacing w:val="-6"/>
                <w:szCs w:val="20"/>
              </w:rPr>
              <w:t xml:space="preserve"> </w:t>
            </w:r>
            <w:r>
              <w:rPr>
                <w:rFonts w:eastAsia="Times New Roman" w:cs="Times New Roman"/>
                <w:spacing w:val="1"/>
                <w:szCs w:val="20"/>
              </w:rPr>
              <w:t>174</w:t>
            </w:r>
            <w:r>
              <w:rPr>
                <w:rFonts w:eastAsia="Times New Roman" w:cs="Times New Roman"/>
                <w:spacing w:val="2"/>
                <w:szCs w:val="20"/>
              </w:rPr>
              <w:t>4</w:t>
            </w:r>
            <w:r>
              <w:rPr>
                <w:rFonts w:eastAsia="Times New Roman" w:cs="Times New Roman"/>
                <w:spacing w:val="-2"/>
                <w:szCs w:val="20"/>
              </w:rPr>
              <w:t>-</w:t>
            </w:r>
            <w:r>
              <w:rPr>
                <w:rFonts w:eastAsia="Times New Roman" w:cs="Times New Roman"/>
                <w:spacing w:val="1"/>
                <w:szCs w:val="20"/>
              </w:rPr>
              <w:t>1</w:t>
            </w:r>
            <w:r>
              <w:rPr>
                <w:rFonts w:eastAsia="Times New Roman" w:cs="Times New Roman"/>
                <w:szCs w:val="20"/>
              </w:rPr>
              <w:t>,</w:t>
            </w:r>
            <w:r>
              <w:rPr>
                <w:rFonts w:eastAsia="Times New Roman" w:cs="Times New Roman"/>
                <w:spacing w:val="-5"/>
                <w:szCs w:val="20"/>
              </w:rPr>
              <w:t xml:space="preserve"> </w:t>
            </w:r>
            <w:r>
              <w:rPr>
                <w:rFonts w:eastAsia="Times New Roman" w:cs="Times New Roman"/>
                <w:spacing w:val="1"/>
                <w:szCs w:val="20"/>
              </w:rPr>
              <w:t>p</w:t>
            </w:r>
            <w:r>
              <w:rPr>
                <w:rFonts w:eastAsia="Times New Roman" w:cs="Times New Roman"/>
                <w:szCs w:val="20"/>
              </w:rPr>
              <w:t>.</w:t>
            </w:r>
            <w:r>
              <w:rPr>
                <w:rFonts w:eastAsia="Times New Roman" w:cs="Times New Roman"/>
                <w:spacing w:val="-3"/>
                <w:szCs w:val="20"/>
              </w:rPr>
              <w:t xml:space="preserve"> </w:t>
            </w:r>
            <w:r>
              <w:rPr>
                <w:rFonts w:eastAsia="Times New Roman" w:cs="Times New Roman"/>
                <w:spacing w:val="1"/>
                <w:szCs w:val="20"/>
              </w:rPr>
              <w:t>19</w:t>
            </w:r>
            <w:r>
              <w:rPr>
                <w:rFonts w:eastAsia="Times New Roman" w:cs="Times New Roman"/>
                <w:spacing w:val="-2"/>
                <w:szCs w:val="20"/>
              </w:rPr>
              <w:t>.</w:t>
            </w:r>
            <w:r>
              <w:rPr>
                <w:rFonts w:eastAsia="Times New Roman" w:cs="Times New Roman"/>
                <w:spacing w:val="1"/>
                <w:szCs w:val="20"/>
              </w:rPr>
              <w:t>2</w:t>
            </w:r>
            <w:r>
              <w:rPr>
                <w:rFonts w:eastAsia="Times New Roman" w:cs="Times New Roman"/>
                <w:szCs w:val="20"/>
              </w:rPr>
              <w:t>:</w:t>
            </w:r>
          </w:p>
        </w:tc>
        <w:tc>
          <w:tcPr>
            <w:tcW w:w="2579"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w</w:t>
            </w:r>
            <w:r>
              <w:rPr>
                <w:rFonts w:eastAsia="Times New Roman" w:cs="Times New Roman"/>
                <w:spacing w:val="1"/>
                <w:szCs w:val="20"/>
              </w:rPr>
              <w:t>y</w:t>
            </w:r>
            <w:r>
              <w:rPr>
                <w:rFonts w:eastAsia="Times New Roman" w:cs="Times New Roman"/>
                <w:spacing w:val="-1"/>
                <w:szCs w:val="20"/>
              </w:rPr>
              <w:t>m</w:t>
            </w:r>
            <w:r>
              <w:rPr>
                <w:rFonts w:eastAsia="Times New Roman" w:cs="Times New Roman"/>
                <w:szCs w:val="20"/>
              </w:rPr>
              <w:t>a</w:t>
            </w:r>
            <w:r>
              <w:rPr>
                <w:rFonts w:eastAsia="Times New Roman" w:cs="Times New Roman"/>
                <w:spacing w:val="-1"/>
                <w:szCs w:val="20"/>
              </w:rPr>
              <w:t>g</w:t>
            </w:r>
            <w:r>
              <w:rPr>
                <w:rFonts w:eastAsia="Times New Roman" w:cs="Times New Roman"/>
                <w:spacing w:val="3"/>
                <w:szCs w:val="20"/>
              </w:rPr>
              <w:t>a</w:t>
            </w:r>
            <w:r>
              <w:rPr>
                <w:rFonts w:eastAsia="Times New Roman" w:cs="Times New Roman"/>
                <w:spacing w:val="-1"/>
                <w:szCs w:val="20"/>
              </w:rPr>
              <w:t>n</w:t>
            </w:r>
            <w:r>
              <w:rPr>
                <w:rFonts w:eastAsia="Times New Roman" w:cs="Times New Roman"/>
                <w:szCs w:val="20"/>
              </w:rPr>
              <w:t>a</w:t>
            </w:r>
            <w:r>
              <w:rPr>
                <w:rFonts w:eastAsia="Times New Roman" w:cs="Times New Roman"/>
                <w:spacing w:val="-8"/>
                <w:szCs w:val="20"/>
              </w:rPr>
              <w:t xml:space="preserve"> </w:t>
            </w:r>
            <w:r>
              <w:rPr>
                <w:rFonts w:eastAsia="Times New Roman" w:cs="Times New Roman"/>
                <w:spacing w:val="1"/>
                <w:szCs w:val="20"/>
              </w:rPr>
              <w:t>odpor</w:t>
            </w:r>
            <w:r>
              <w:rPr>
                <w:rFonts w:eastAsia="Times New Roman" w:cs="Times New Roman"/>
                <w:spacing w:val="-1"/>
                <w:szCs w:val="20"/>
              </w:rPr>
              <w:t>n</w:t>
            </w:r>
            <w:r>
              <w:rPr>
                <w:rFonts w:eastAsia="Times New Roman" w:cs="Times New Roman"/>
                <w:spacing w:val="1"/>
                <w:szCs w:val="20"/>
              </w:rPr>
              <w:t>o</w:t>
            </w:r>
            <w:r>
              <w:rPr>
                <w:rFonts w:eastAsia="Times New Roman" w:cs="Times New Roman"/>
                <w:spacing w:val="-1"/>
                <w:szCs w:val="20"/>
              </w:rPr>
              <w:t>ś</w:t>
            </w:r>
            <w:r>
              <w:rPr>
                <w:rFonts w:eastAsia="Times New Roman" w:cs="Times New Roman"/>
                <w:szCs w:val="20"/>
              </w:rPr>
              <w:t>ć</w:t>
            </w:r>
          </w:p>
        </w:tc>
      </w:tr>
      <w:tr w:rsidR="00B77F00">
        <w:tblPrEx>
          <w:tblCellMar>
            <w:top w:w="0" w:type="dxa"/>
            <w:bottom w:w="0" w:type="dxa"/>
          </w:tblCellMar>
        </w:tblPrEx>
        <w:trPr>
          <w:cantSplit/>
        </w:trPr>
        <w:tc>
          <w:tcPr>
            <w:tcW w:w="644"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spacing w:val="1"/>
                <w:szCs w:val="20"/>
              </w:rPr>
            </w:pPr>
            <w:r>
              <w:rPr>
                <w:rFonts w:eastAsia="Times New Roman" w:cs="Times New Roman"/>
                <w:spacing w:val="1"/>
                <w:szCs w:val="20"/>
              </w:rPr>
              <w:t>17</w:t>
            </w:r>
          </w:p>
        </w:tc>
        <w:tc>
          <w:tcPr>
            <w:tcW w:w="641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Stał</w:t>
            </w:r>
            <w:r>
              <w:rPr>
                <w:rFonts w:eastAsia="Times New Roman" w:cs="Times New Roman"/>
                <w:spacing w:val="1"/>
                <w:szCs w:val="20"/>
              </w:rPr>
              <w:t>o</w:t>
            </w:r>
            <w:r>
              <w:rPr>
                <w:rFonts w:eastAsia="Times New Roman" w:cs="Times New Roman"/>
                <w:spacing w:val="-1"/>
                <w:szCs w:val="20"/>
              </w:rPr>
              <w:t>ś</w:t>
            </w:r>
            <w:r>
              <w:rPr>
                <w:rFonts w:eastAsia="Times New Roman" w:cs="Times New Roman"/>
                <w:szCs w:val="20"/>
              </w:rPr>
              <w:t>ć</w:t>
            </w:r>
            <w:r>
              <w:rPr>
                <w:rFonts w:eastAsia="Times New Roman" w:cs="Times New Roman"/>
                <w:spacing w:val="-5"/>
                <w:szCs w:val="20"/>
              </w:rPr>
              <w:t xml:space="preserve"> </w:t>
            </w:r>
            <w:r>
              <w:rPr>
                <w:rFonts w:eastAsia="Times New Roman" w:cs="Times New Roman"/>
                <w:spacing w:val="1"/>
                <w:szCs w:val="20"/>
              </w:rPr>
              <w:t>ob</w:t>
            </w:r>
            <w:r>
              <w:rPr>
                <w:rFonts w:eastAsia="Times New Roman" w:cs="Times New Roman"/>
                <w:spacing w:val="2"/>
                <w:szCs w:val="20"/>
              </w:rPr>
              <w:t>j</w:t>
            </w:r>
            <w:r>
              <w:rPr>
                <w:rFonts w:eastAsia="Times New Roman" w:cs="Times New Roman"/>
                <w:szCs w:val="20"/>
              </w:rPr>
              <w:t>ęt</w:t>
            </w:r>
            <w:r>
              <w:rPr>
                <w:rFonts w:eastAsia="Times New Roman" w:cs="Times New Roman"/>
                <w:spacing w:val="1"/>
                <w:szCs w:val="20"/>
              </w:rPr>
              <w:t>o</w:t>
            </w:r>
            <w:r>
              <w:rPr>
                <w:rFonts w:eastAsia="Times New Roman" w:cs="Times New Roman"/>
                <w:spacing w:val="-1"/>
                <w:szCs w:val="20"/>
              </w:rPr>
              <w:t>ś</w:t>
            </w:r>
            <w:r>
              <w:rPr>
                <w:rFonts w:eastAsia="Times New Roman" w:cs="Times New Roman"/>
                <w:szCs w:val="20"/>
              </w:rPr>
              <w:t>ci</w:t>
            </w:r>
            <w:r>
              <w:rPr>
                <w:rFonts w:eastAsia="Times New Roman" w:cs="Times New Roman"/>
                <w:spacing w:val="-7"/>
                <w:szCs w:val="20"/>
              </w:rPr>
              <w:t xml:space="preserve"> </w:t>
            </w:r>
            <w:r>
              <w:rPr>
                <w:rFonts w:eastAsia="Times New Roman" w:cs="Times New Roman"/>
                <w:spacing w:val="-1"/>
                <w:szCs w:val="20"/>
              </w:rPr>
              <w:t>k</w:t>
            </w:r>
            <w:r>
              <w:rPr>
                <w:rFonts w:eastAsia="Times New Roman" w:cs="Times New Roman"/>
                <w:spacing w:val="1"/>
                <w:szCs w:val="20"/>
              </w:rPr>
              <w:t>r</w:t>
            </w:r>
            <w:r>
              <w:rPr>
                <w:rFonts w:eastAsia="Times New Roman" w:cs="Times New Roman"/>
                <w:spacing w:val="-1"/>
                <w:szCs w:val="20"/>
              </w:rPr>
              <w:t>us</w:t>
            </w:r>
            <w:r>
              <w:rPr>
                <w:rFonts w:eastAsia="Times New Roman" w:cs="Times New Roman"/>
                <w:spacing w:val="3"/>
                <w:szCs w:val="20"/>
              </w:rPr>
              <w:t>z</w:t>
            </w:r>
            <w:r>
              <w:rPr>
                <w:rFonts w:eastAsia="Times New Roman" w:cs="Times New Roman"/>
                <w:spacing w:val="1"/>
                <w:szCs w:val="20"/>
              </w:rPr>
              <w:t>y</w:t>
            </w:r>
            <w:r>
              <w:rPr>
                <w:rFonts w:eastAsia="Times New Roman" w:cs="Times New Roman"/>
                <w:spacing w:val="-2"/>
                <w:szCs w:val="20"/>
              </w:rPr>
              <w:t>w</w:t>
            </w:r>
            <w:r>
              <w:rPr>
                <w:rFonts w:eastAsia="Times New Roman" w:cs="Times New Roman"/>
                <w:szCs w:val="20"/>
              </w:rPr>
              <w:t>a</w:t>
            </w:r>
            <w:r>
              <w:rPr>
                <w:rFonts w:eastAsia="Times New Roman" w:cs="Times New Roman"/>
                <w:spacing w:val="-7"/>
                <w:szCs w:val="20"/>
              </w:rPr>
              <w:t xml:space="preserve"> </w:t>
            </w:r>
            <w:r>
              <w:rPr>
                <w:rFonts w:eastAsia="Times New Roman" w:cs="Times New Roman"/>
                <w:szCs w:val="20"/>
              </w:rPr>
              <w:t>z ż</w:t>
            </w:r>
            <w:r>
              <w:rPr>
                <w:rFonts w:eastAsia="Times New Roman" w:cs="Times New Roman"/>
                <w:spacing w:val="-1"/>
                <w:szCs w:val="20"/>
              </w:rPr>
              <w:t>u</w:t>
            </w:r>
            <w:r>
              <w:rPr>
                <w:rFonts w:eastAsia="Times New Roman" w:cs="Times New Roman"/>
                <w:szCs w:val="20"/>
              </w:rPr>
              <w:t>żla</w:t>
            </w:r>
            <w:r>
              <w:rPr>
                <w:rFonts w:eastAsia="Times New Roman" w:cs="Times New Roman"/>
                <w:spacing w:val="-3"/>
                <w:szCs w:val="20"/>
              </w:rPr>
              <w:t xml:space="preserve"> </w:t>
            </w:r>
            <w:r>
              <w:rPr>
                <w:rFonts w:eastAsia="Times New Roman" w:cs="Times New Roman"/>
                <w:spacing w:val="-1"/>
                <w:szCs w:val="20"/>
              </w:rPr>
              <w:t>s</w:t>
            </w:r>
            <w:r>
              <w:rPr>
                <w:rFonts w:eastAsia="Times New Roman" w:cs="Times New Roman"/>
                <w:szCs w:val="20"/>
              </w:rPr>
              <w:t>tal</w:t>
            </w:r>
            <w:r>
              <w:rPr>
                <w:rFonts w:eastAsia="Times New Roman" w:cs="Times New Roman"/>
                <w:spacing w:val="3"/>
                <w:szCs w:val="20"/>
              </w:rPr>
              <w:t>o</w:t>
            </w:r>
            <w:r>
              <w:rPr>
                <w:rFonts w:eastAsia="Times New Roman" w:cs="Times New Roman"/>
                <w:spacing w:val="-2"/>
                <w:szCs w:val="20"/>
              </w:rPr>
              <w:t>w</w:t>
            </w:r>
            <w:r>
              <w:rPr>
                <w:rFonts w:eastAsia="Times New Roman" w:cs="Times New Roman"/>
                <w:spacing w:val="1"/>
                <w:szCs w:val="20"/>
              </w:rPr>
              <w:t>n</w:t>
            </w:r>
            <w:r>
              <w:rPr>
                <w:rFonts w:eastAsia="Times New Roman" w:cs="Times New Roman"/>
                <w:szCs w:val="20"/>
              </w:rPr>
              <w:t>icz</w:t>
            </w:r>
            <w:r>
              <w:rPr>
                <w:rFonts w:eastAsia="Times New Roman" w:cs="Times New Roman"/>
                <w:spacing w:val="3"/>
                <w:szCs w:val="20"/>
              </w:rPr>
              <w:t>e</w:t>
            </w:r>
            <w:r>
              <w:rPr>
                <w:rFonts w:eastAsia="Times New Roman" w:cs="Times New Roman"/>
                <w:spacing w:val="-1"/>
                <w:szCs w:val="20"/>
              </w:rPr>
              <w:t>g</w:t>
            </w:r>
            <w:r>
              <w:rPr>
                <w:rFonts w:eastAsia="Times New Roman" w:cs="Times New Roman"/>
                <w:szCs w:val="20"/>
              </w:rPr>
              <w:t>o</w:t>
            </w:r>
            <w:r>
              <w:rPr>
                <w:rFonts w:eastAsia="Times New Roman" w:cs="Times New Roman"/>
                <w:spacing w:val="-7"/>
                <w:szCs w:val="20"/>
              </w:rPr>
              <w:t xml:space="preserve"> </w:t>
            </w:r>
            <w:r>
              <w:rPr>
                <w:rFonts w:eastAsia="Times New Roman" w:cs="Times New Roman"/>
                <w:spacing w:val="-5"/>
                <w:szCs w:val="20"/>
              </w:rPr>
              <w:t>w</w:t>
            </w:r>
            <w:r>
              <w:rPr>
                <w:rFonts w:eastAsia="Times New Roman" w:cs="Times New Roman"/>
                <w:szCs w:val="20"/>
              </w:rPr>
              <w:t>e</w:t>
            </w:r>
            <w:r>
              <w:rPr>
                <w:rFonts w:eastAsia="Times New Roman" w:cs="Times New Roman"/>
                <w:spacing w:val="1"/>
                <w:szCs w:val="20"/>
              </w:rPr>
              <w:t>d</w:t>
            </w:r>
            <w:r>
              <w:rPr>
                <w:rFonts w:eastAsia="Times New Roman" w:cs="Times New Roman"/>
                <w:spacing w:val="2"/>
                <w:szCs w:val="20"/>
              </w:rPr>
              <w:t>ł</w:t>
            </w:r>
            <w:r>
              <w:rPr>
                <w:rFonts w:eastAsia="Times New Roman" w:cs="Times New Roman"/>
                <w:spacing w:val="1"/>
                <w:szCs w:val="20"/>
              </w:rPr>
              <w:t>u</w:t>
            </w:r>
            <w:r>
              <w:rPr>
                <w:rFonts w:eastAsia="Times New Roman" w:cs="Times New Roman"/>
                <w:szCs w:val="20"/>
              </w:rPr>
              <w:t xml:space="preserve">g </w:t>
            </w:r>
            <w:r>
              <w:rPr>
                <w:rFonts w:eastAsia="Times New Roman" w:cs="Times New Roman"/>
                <w:spacing w:val="2"/>
                <w:szCs w:val="20"/>
              </w:rPr>
              <w:t>P</w:t>
            </w:r>
            <w:r>
              <w:rPr>
                <w:rFonts w:eastAsia="Times New Roman" w:cs="Times New Roman"/>
                <w:szCs w:val="20"/>
              </w:rPr>
              <w:t>N</w:t>
            </w:r>
            <w:r>
              <w:rPr>
                <w:rFonts w:eastAsia="Times New Roman" w:cs="Times New Roman"/>
                <w:spacing w:val="-2"/>
                <w:szCs w:val="20"/>
              </w:rPr>
              <w:t>-</w:t>
            </w:r>
            <w:r>
              <w:rPr>
                <w:rFonts w:eastAsia="Times New Roman" w:cs="Times New Roman"/>
                <w:szCs w:val="20"/>
              </w:rPr>
              <w:t>EN</w:t>
            </w:r>
            <w:r>
              <w:rPr>
                <w:rFonts w:eastAsia="Times New Roman" w:cs="Times New Roman"/>
                <w:spacing w:val="-6"/>
                <w:szCs w:val="20"/>
              </w:rPr>
              <w:t xml:space="preserve"> </w:t>
            </w:r>
            <w:r>
              <w:rPr>
                <w:rFonts w:eastAsia="Times New Roman" w:cs="Times New Roman"/>
                <w:spacing w:val="1"/>
                <w:szCs w:val="20"/>
              </w:rPr>
              <w:t>174</w:t>
            </w:r>
            <w:r>
              <w:rPr>
                <w:rFonts w:eastAsia="Times New Roman" w:cs="Times New Roman"/>
                <w:spacing w:val="2"/>
                <w:szCs w:val="20"/>
              </w:rPr>
              <w:t>4</w:t>
            </w:r>
            <w:r>
              <w:rPr>
                <w:rFonts w:eastAsia="Times New Roman" w:cs="Times New Roman"/>
                <w:spacing w:val="-2"/>
                <w:szCs w:val="20"/>
              </w:rPr>
              <w:t>-</w:t>
            </w:r>
            <w:r>
              <w:rPr>
                <w:rFonts w:eastAsia="Times New Roman" w:cs="Times New Roman"/>
                <w:spacing w:val="1"/>
                <w:szCs w:val="20"/>
              </w:rPr>
              <w:t>1p</w:t>
            </w:r>
            <w:r>
              <w:rPr>
                <w:rFonts w:eastAsia="Times New Roman" w:cs="Times New Roman"/>
                <w:szCs w:val="20"/>
              </w:rPr>
              <w:t>.</w:t>
            </w:r>
            <w:r>
              <w:rPr>
                <w:rFonts w:eastAsia="Times New Roman" w:cs="Times New Roman"/>
                <w:spacing w:val="-8"/>
                <w:szCs w:val="20"/>
              </w:rPr>
              <w:t xml:space="preserve"> </w:t>
            </w:r>
            <w:r>
              <w:rPr>
                <w:rFonts w:eastAsia="Times New Roman" w:cs="Times New Roman"/>
                <w:spacing w:val="1"/>
                <w:szCs w:val="20"/>
              </w:rPr>
              <w:t>19</w:t>
            </w:r>
            <w:r>
              <w:rPr>
                <w:rFonts w:eastAsia="Times New Roman" w:cs="Times New Roman"/>
                <w:szCs w:val="20"/>
              </w:rPr>
              <w:t>.</w:t>
            </w:r>
            <w:r>
              <w:rPr>
                <w:rFonts w:eastAsia="Times New Roman" w:cs="Times New Roman"/>
                <w:spacing w:val="1"/>
                <w:szCs w:val="20"/>
              </w:rPr>
              <w:t>3</w:t>
            </w:r>
            <w:r>
              <w:rPr>
                <w:rFonts w:eastAsia="Times New Roman" w:cs="Times New Roman"/>
                <w:szCs w:val="20"/>
              </w:rPr>
              <w:t>;</w:t>
            </w:r>
            <w:r>
              <w:rPr>
                <w:rFonts w:eastAsia="Times New Roman" w:cs="Times New Roman"/>
                <w:spacing w:val="-6"/>
                <w:szCs w:val="20"/>
              </w:rPr>
              <w:t xml:space="preserve"> </w:t>
            </w:r>
            <w:r>
              <w:rPr>
                <w:rFonts w:eastAsia="Times New Roman" w:cs="Times New Roman"/>
                <w:spacing w:val="-1"/>
                <w:szCs w:val="20"/>
              </w:rPr>
              <w:t>k</w:t>
            </w:r>
            <w:r>
              <w:rPr>
                <w:rFonts w:eastAsia="Times New Roman" w:cs="Times New Roman"/>
                <w:szCs w:val="20"/>
              </w:rPr>
              <w:t>ate</w:t>
            </w:r>
            <w:r>
              <w:rPr>
                <w:rFonts w:eastAsia="Times New Roman" w:cs="Times New Roman"/>
                <w:spacing w:val="-1"/>
                <w:szCs w:val="20"/>
              </w:rPr>
              <w:t>g</w:t>
            </w:r>
            <w:r>
              <w:rPr>
                <w:rFonts w:eastAsia="Times New Roman" w:cs="Times New Roman"/>
                <w:spacing w:val="3"/>
                <w:szCs w:val="20"/>
              </w:rPr>
              <w:t>o</w:t>
            </w:r>
            <w:r>
              <w:rPr>
                <w:rFonts w:eastAsia="Times New Roman" w:cs="Times New Roman"/>
                <w:spacing w:val="1"/>
                <w:szCs w:val="20"/>
              </w:rPr>
              <w:t>r</w:t>
            </w:r>
            <w:r>
              <w:rPr>
                <w:rFonts w:eastAsia="Times New Roman" w:cs="Times New Roman"/>
                <w:szCs w:val="20"/>
              </w:rPr>
              <w:t>ia</w:t>
            </w:r>
            <w:r>
              <w:rPr>
                <w:rFonts w:eastAsia="Times New Roman" w:cs="Times New Roman"/>
                <w:spacing w:val="-7"/>
                <w:szCs w:val="20"/>
              </w:rPr>
              <w:t xml:space="preserve"> </w:t>
            </w:r>
            <w:r>
              <w:rPr>
                <w:rFonts w:eastAsia="Times New Roman" w:cs="Times New Roman"/>
                <w:spacing w:val="-1"/>
                <w:szCs w:val="20"/>
              </w:rPr>
              <w:t>n</w:t>
            </w:r>
            <w:r>
              <w:rPr>
                <w:rFonts w:eastAsia="Times New Roman" w:cs="Times New Roman"/>
                <w:szCs w:val="20"/>
              </w:rPr>
              <w:t>ie</w:t>
            </w:r>
            <w:r>
              <w:rPr>
                <w:rFonts w:eastAsia="Times New Roman" w:cs="Times New Roman"/>
                <w:spacing w:val="1"/>
                <w:szCs w:val="20"/>
              </w:rPr>
              <w:t xml:space="preserve"> </w:t>
            </w:r>
            <w:r>
              <w:rPr>
                <w:rFonts w:eastAsia="Times New Roman" w:cs="Times New Roman"/>
                <w:spacing w:val="-2"/>
                <w:szCs w:val="20"/>
              </w:rPr>
              <w:t>w</w:t>
            </w:r>
            <w:r>
              <w:rPr>
                <w:rFonts w:eastAsia="Times New Roman" w:cs="Times New Roman"/>
                <w:spacing w:val="-1"/>
                <w:szCs w:val="20"/>
              </w:rPr>
              <w:t>y</w:t>
            </w:r>
            <w:r>
              <w:rPr>
                <w:rFonts w:eastAsia="Times New Roman" w:cs="Times New Roman"/>
                <w:spacing w:val="3"/>
                <w:szCs w:val="20"/>
              </w:rPr>
              <w:t>ż</w:t>
            </w:r>
            <w:r>
              <w:rPr>
                <w:rFonts w:eastAsia="Times New Roman" w:cs="Times New Roman"/>
                <w:spacing w:val="-1"/>
                <w:szCs w:val="20"/>
              </w:rPr>
              <w:t>s</w:t>
            </w:r>
            <w:r>
              <w:rPr>
                <w:rFonts w:eastAsia="Times New Roman" w:cs="Times New Roman"/>
                <w:szCs w:val="20"/>
              </w:rPr>
              <w:t>za</w:t>
            </w:r>
            <w:r>
              <w:rPr>
                <w:rFonts w:eastAsia="Times New Roman" w:cs="Times New Roman"/>
                <w:spacing w:val="-5"/>
                <w:szCs w:val="20"/>
              </w:rPr>
              <w:t xml:space="preserve"> </w:t>
            </w:r>
            <w:r>
              <w:rPr>
                <w:rFonts w:eastAsia="Times New Roman" w:cs="Times New Roman"/>
                <w:spacing w:val="-1"/>
                <w:szCs w:val="20"/>
              </w:rPr>
              <w:t>n</w:t>
            </w:r>
            <w:r>
              <w:rPr>
                <w:rFonts w:eastAsia="Times New Roman" w:cs="Times New Roman"/>
                <w:szCs w:val="20"/>
              </w:rPr>
              <w:t>iż:</w:t>
            </w:r>
          </w:p>
        </w:tc>
        <w:tc>
          <w:tcPr>
            <w:tcW w:w="2579"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i/>
                <w:spacing w:val="1"/>
                <w:w w:val="99"/>
                <w:position w:val="3"/>
                <w:szCs w:val="20"/>
              </w:rPr>
              <w:t>V</w:t>
            </w:r>
            <w:r>
              <w:rPr>
                <w:rFonts w:eastAsia="Times New Roman" w:cs="Times New Roman"/>
                <w:w w:val="99"/>
                <w:szCs w:val="20"/>
              </w:rPr>
              <w:t>3</w:t>
            </w:r>
            <w:r>
              <w:rPr>
                <w:rFonts w:eastAsia="Times New Roman" w:cs="Times New Roman"/>
                <w:spacing w:val="1"/>
                <w:w w:val="99"/>
                <w:szCs w:val="20"/>
              </w:rPr>
              <w:t>,</w:t>
            </w:r>
            <w:r>
              <w:rPr>
                <w:rFonts w:eastAsia="Times New Roman" w:cs="Times New Roman"/>
                <w:w w:val="99"/>
                <w:szCs w:val="20"/>
              </w:rPr>
              <w:t>5</w:t>
            </w:r>
          </w:p>
        </w:tc>
      </w:tr>
    </w:tbl>
    <w:p w:rsidR="00B77F00" w:rsidRDefault="00865FA3">
      <w:pPr>
        <w:pStyle w:val="Standard"/>
        <w:rPr>
          <w:szCs w:val="20"/>
        </w:rPr>
      </w:pPr>
      <w:r>
        <w:rPr>
          <w:szCs w:val="20"/>
        </w:rPr>
        <w:t>Kruszywo drobne do przeciwspadku z asfaltu lanego, w zależności od kategorii obciążenia ruchem, powinno spełniać wymagania normy PN-EN 13043:2004 podane w tablicach 2 i 3 .</w:t>
      </w:r>
    </w:p>
    <w:p w:rsidR="00B77F00" w:rsidRDefault="00B77F00">
      <w:pPr>
        <w:pStyle w:val="Standard"/>
        <w:rPr>
          <w:szCs w:val="20"/>
        </w:rPr>
      </w:pPr>
    </w:p>
    <w:p w:rsidR="00B77F00" w:rsidRDefault="00865FA3">
      <w:pPr>
        <w:pStyle w:val="Standard"/>
        <w:rPr>
          <w:szCs w:val="20"/>
        </w:rPr>
      </w:pPr>
      <w:r>
        <w:rPr>
          <w:szCs w:val="20"/>
        </w:rPr>
        <w:t xml:space="preserve">Tablica 2. Wymagane właściwości kruszywa </w:t>
      </w:r>
      <w:r>
        <w:rPr>
          <w:szCs w:val="20"/>
        </w:rPr>
        <w:t>niełamanego drobnego przeciwspadku z asfaltu lanego.</w:t>
      </w:r>
    </w:p>
    <w:p w:rsidR="00B77F00" w:rsidRDefault="00B77F00">
      <w:pPr>
        <w:pStyle w:val="Standard"/>
        <w:rPr>
          <w:szCs w:val="20"/>
        </w:rPr>
      </w:pPr>
    </w:p>
    <w:tbl>
      <w:tblPr>
        <w:tblW w:w="9638" w:type="dxa"/>
        <w:tblLayout w:type="fixed"/>
        <w:tblCellMar>
          <w:left w:w="10" w:type="dxa"/>
          <w:right w:w="10" w:type="dxa"/>
        </w:tblCellMar>
        <w:tblLook w:val="0000" w:firstRow="0" w:lastRow="0" w:firstColumn="0" w:lastColumn="0" w:noHBand="0" w:noVBand="0"/>
      </w:tblPr>
      <w:tblGrid>
        <w:gridCol w:w="4104"/>
        <w:gridCol w:w="28"/>
        <w:gridCol w:w="1673"/>
        <w:gridCol w:w="31"/>
        <w:gridCol w:w="1670"/>
        <w:gridCol w:w="2132"/>
      </w:tblGrid>
      <w:tr w:rsidR="00B77F00">
        <w:tblPrEx>
          <w:tblCellMar>
            <w:top w:w="0" w:type="dxa"/>
            <w:bottom w:w="0" w:type="dxa"/>
          </w:tblCellMar>
        </w:tblPrEx>
        <w:trPr>
          <w:cantSplit/>
          <w:trHeight w:val="6"/>
          <w:tblHeader/>
        </w:trPr>
        <w:tc>
          <w:tcPr>
            <w:tcW w:w="4132" w:type="dxa"/>
            <w:gridSpan w:val="2"/>
            <w:vMerge w:val="restart"/>
            <w:tcBorders>
              <w:top w:val="single" w:sz="4" w:space="0" w:color="000001"/>
              <w:left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1"/>
                <w:szCs w:val="20"/>
              </w:rPr>
              <w:t>W</w:t>
            </w:r>
            <w:r>
              <w:rPr>
                <w:rFonts w:eastAsia="Times New Roman" w:cs="Times New Roman"/>
                <w:szCs w:val="20"/>
              </w:rPr>
              <w:t>łaśc</w:t>
            </w:r>
            <w:r>
              <w:rPr>
                <w:rFonts w:eastAsia="Times New Roman" w:cs="Times New Roman"/>
                <w:spacing w:val="2"/>
                <w:szCs w:val="20"/>
              </w:rPr>
              <w:t>i</w:t>
            </w:r>
            <w:r>
              <w:rPr>
                <w:rFonts w:eastAsia="Times New Roman" w:cs="Times New Roman"/>
                <w:spacing w:val="-5"/>
                <w:szCs w:val="20"/>
              </w:rPr>
              <w:t>w</w:t>
            </w:r>
            <w:r>
              <w:rPr>
                <w:rFonts w:eastAsia="Times New Roman" w:cs="Times New Roman"/>
                <w:spacing w:val="3"/>
                <w:szCs w:val="20"/>
              </w:rPr>
              <w:t>o</w:t>
            </w:r>
            <w:r>
              <w:rPr>
                <w:rFonts w:eastAsia="Times New Roman" w:cs="Times New Roman"/>
                <w:spacing w:val="-1"/>
                <w:szCs w:val="20"/>
              </w:rPr>
              <w:t>ś</w:t>
            </w:r>
            <w:r>
              <w:rPr>
                <w:rFonts w:eastAsia="Times New Roman" w:cs="Times New Roman"/>
                <w:szCs w:val="20"/>
              </w:rPr>
              <w:t>ci</w:t>
            </w:r>
            <w:r>
              <w:rPr>
                <w:rFonts w:eastAsia="Times New Roman" w:cs="Times New Roman"/>
                <w:spacing w:val="-10"/>
                <w:szCs w:val="20"/>
              </w:rPr>
              <w:t xml:space="preserve"> </w:t>
            </w:r>
            <w:r>
              <w:rPr>
                <w:rFonts w:eastAsia="Times New Roman" w:cs="Times New Roman"/>
                <w:spacing w:val="-1"/>
                <w:szCs w:val="20"/>
              </w:rPr>
              <w:t>k</w:t>
            </w:r>
            <w:r>
              <w:rPr>
                <w:rFonts w:eastAsia="Times New Roman" w:cs="Times New Roman"/>
                <w:spacing w:val="3"/>
                <w:szCs w:val="20"/>
              </w:rPr>
              <w:t>r</w:t>
            </w:r>
            <w:r>
              <w:rPr>
                <w:rFonts w:eastAsia="Times New Roman" w:cs="Times New Roman"/>
                <w:spacing w:val="-1"/>
                <w:szCs w:val="20"/>
              </w:rPr>
              <w:t>us</w:t>
            </w:r>
            <w:r>
              <w:rPr>
                <w:rFonts w:eastAsia="Times New Roman" w:cs="Times New Roman"/>
                <w:spacing w:val="3"/>
                <w:szCs w:val="20"/>
              </w:rPr>
              <w:t>z</w:t>
            </w:r>
            <w:r>
              <w:rPr>
                <w:rFonts w:eastAsia="Times New Roman" w:cs="Times New Roman"/>
                <w:spacing w:val="1"/>
                <w:szCs w:val="20"/>
              </w:rPr>
              <w:t>y</w:t>
            </w:r>
            <w:r>
              <w:rPr>
                <w:rFonts w:eastAsia="Times New Roman" w:cs="Times New Roman"/>
                <w:spacing w:val="-2"/>
                <w:szCs w:val="20"/>
              </w:rPr>
              <w:t>w</w:t>
            </w:r>
            <w:r>
              <w:rPr>
                <w:rFonts w:eastAsia="Times New Roman" w:cs="Times New Roman"/>
                <w:szCs w:val="20"/>
              </w:rPr>
              <w:t>a</w:t>
            </w:r>
          </w:p>
        </w:tc>
        <w:tc>
          <w:tcPr>
            <w:tcW w:w="5506" w:type="dxa"/>
            <w:gridSpan w:val="4"/>
            <w:tcBorders>
              <w:top w:val="single" w:sz="4" w:space="0" w:color="000001"/>
              <w:left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1"/>
                <w:szCs w:val="20"/>
              </w:rPr>
              <w:t>W</w:t>
            </w:r>
            <w:r>
              <w:rPr>
                <w:rFonts w:eastAsia="Times New Roman" w:cs="Times New Roman"/>
                <w:spacing w:val="-1"/>
                <w:szCs w:val="20"/>
              </w:rPr>
              <w:t>ym</w:t>
            </w:r>
            <w:r>
              <w:rPr>
                <w:rFonts w:eastAsia="Times New Roman" w:cs="Times New Roman"/>
                <w:spacing w:val="3"/>
                <w:szCs w:val="20"/>
              </w:rPr>
              <w:t>a</w:t>
            </w:r>
            <w:r>
              <w:rPr>
                <w:rFonts w:eastAsia="Times New Roman" w:cs="Times New Roman"/>
                <w:spacing w:val="-1"/>
                <w:szCs w:val="20"/>
              </w:rPr>
              <w:t>g</w:t>
            </w:r>
            <w:r>
              <w:rPr>
                <w:rFonts w:eastAsia="Times New Roman" w:cs="Times New Roman"/>
                <w:szCs w:val="20"/>
              </w:rPr>
              <w:t>a</w:t>
            </w:r>
            <w:r>
              <w:rPr>
                <w:rFonts w:eastAsia="Times New Roman" w:cs="Times New Roman"/>
                <w:spacing w:val="1"/>
                <w:szCs w:val="20"/>
              </w:rPr>
              <w:t>n</w:t>
            </w:r>
            <w:r>
              <w:rPr>
                <w:rFonts w:eastAsia="Times New Roman" w:cs="Times New Roman"/>
                <w:szCs w:val="20"/>
              </w:rPr>
              <w:t>ia</w:t>
            </w:r>
            <w:r>
              <w:rPr>
                <w:rFonts w:eastAsia="Times New Roman" w:cs="Times New Roman"/>
                <w:spacing w:val="-7"/>
                <w:szCs w:val="20"/>
              </w:rPr>
              <w:t xml:space="preserve"> </w:t>
            </w:r>
            <w:r>
              <w:rPr>
                <w:rFonts w:eastAsia="Times New Roman" w:cs="Times New Roman"/>
                <w:szCs w:val="20"/>
              </w:rPr>
              <w:t>w</w:t>
            </w:r>
            <w:r>
              <w:rPr>
                <w:rFonts w:eastAsia="Times New Roman" w:cs="Times New Roman"/>
                <w:spacing w:val="-5"/>
                <w:szCs w:val="20"/>
              </w:rPr>
              <w:t xml:space="preserve"> </w:t>
            </w:r>
            <w:r>
              <w:rPr>
                <w:rFonts w:eastAsia="Times New Roman" w:cs="Times New Roman"/>
                <w:szCs w:val="20"/>
              </w:rPr>
              <w:t>z</w:t>
            </w:r>
            <w:r>
              <w:rPr>
                <w:rFonts w:eastAsia="Times New Roman" w:cs="Times New Roman"/>
                <w:spacing w:val="3"/>
                <w:szCs w:val="20"/>
              </w:rPr>
              <w:t>a</w:t>
            </w:r>
            <w:r>
              <w:rPr>
                <w:rFonts w:eastAsia="Times New Roman" w:cs="Times New Roman"/>
                <w:szCs w:val="20"/>
              </w:rPr>
              <w:t>leż</w:t>
            </w:r>
            <w:r>
              <w:rPr>
                <w:rFonts w:eastAsia="Times New Roman" w:cs="Times New Roman"/>
                <w:spacing w:val="-1"/>
                <w:szCs w:val="20"/>
              </w:rPr>
              <w:t>n</w:t>
            </w:r>
            <w:r>
              <w:rPr>
                <w:rFonts w:eastAsia="Times New Roman" w:cs="Times New Roman"/>
                <w:spacing w:val="1"/>
                <w:szCs w:val="20"/>
              </w:rPr>
              <w:t>o</w:t>
            </w:r>
            <w:r>
              <w:rPr>
                <w:rFonts w:eastAsia="Times New Roman" w:cs="Times New Roman"/>
                <w:spacing w:val="-1"/>
                <w:szCs w:val="20"/>
              </w:rPr>
              <w:t>ś</w:t>
            </w:r>
            <w:r>
              <w:rPr>
                <w:rFonts w:eastAsia="Times New Roman" w:cs="Times New Roman"/>
                <w:spacing w:val="3"/>
                <w:szCs w:val="20"/>
              </w:rPr>
              <w:t>c</w:t>
            </w:r>
            <w:r>
              <w:rPr>
                <w:rFonts w:eastAsia="Times New Roman" w:cs="Times New Roman"/>
                <w:szCs w:val="20"/>
              </w:rPr>
              <w:t>i</w:t>
            </w:r>
            <w:r>
              <w:rPr>
                <w:rFonts w:eastAsia="Times New Roman" w:cs="Times New Roman"/>
                <w:spacing w:val="-8"/>
                <w:szCs w:val="20"/>
              </w:rPr>
              <w:t xml:space="preserve"> </w:t>
            </w:r>
            <w:r>
              <w:rPr>
                <w:rFonts w:eastAsia="Times New Roman" w:cs="Times New Roman"/>
                <w:spacing w:val="1"/>
                <w:szCs w:val="20"/>
              </w:rPr>
              <w:t>o</w:t>
            </w:r>
            <w:r>
              <w:rPr>
                <w:rFonts w:eastAsia="Times New Roman" w:cs="Times New Roman"/>
                <w:szCs w:val="20"/>
              </w:rPr>
              <w:t>d</w:t>
            </w:r>
            <w:r>
              <w:rPr>
                <w:rFonts w:eastAsia="Times New Roman" w:cs="Times New Roman"/>
                <w:spacing w:val="-1"/>
                <w:szCs w:val="20"/>
              </w:rPr>
              <w:t xml:space="preserve"> k</w:t>
            </w:r>
            <w:r>
              <w:rPr>
                <w:rFonts w:eastAsia="Times New Roman" w:cs="Times New Roman"/>
                <w:szCs w:val="20"/>
              </w:rPr>
              <w:t>ate</w:t>
            </w:r>
            <w:r>
              <w:rPr>
                <w:rFonts w:eastAsia="Times New Roman" w:cs="Times New Roman"/>
                <w:spacing w:val="-1"/>
                <w:szCs w:val="20"/>
              </w:rPr>
              <w:t>g</w:t>
            </w:r>
            <w:r>
              <w:rPr>
                <w:rFonts w:eastAsia="Times New Roman" w:cs="Times New Roman"/>
                <w:spacing w:val="1"/>
                <w:szCs w:val="20"/>
              </w:rPr>
              <w:t>or</w:t>
            </w:r>
            <w:r>
              <w:rPr>
                <w:rFonts w:eastAsia="Times New Roman" w:cs="Times New Roman"/>
                <w:szCs w:val="20"/>
              </w:rPr>
              <w:t>ii</w:t>
            </w:r>
            <w:r>
              <w:rPr>
                <w:rFonts w:eastAsia="Times New Roman" w:cs="Times New Roman"/>
                <w:spacing w:val="-7"/>
                <w:szCs w:val="20"/>
              </w:rPr>
              <w:t xml:space="preserve"> </w:t>
            </w:r>
            <w:r>
              <w:rPr>
                <w:rFonts w:eastAsia="Times New Roman" w:cs="Times New Roman"/>
                <w:spacing w:val="1"/>
                <w:szCs w:val="20"/>
              </w:rPr>
              <w:t>r</w:t>
            </w:r>
            <w:r>
              <w:rPr>
                <w:rFonts w:eastAsia="Times New Roman" w:cs="Times New Roman"/>
                <w:spacing w:val="-1"/>
                <w:szCs w:val="20"/>
              </w:rPr>
              <w:t>u</w:t>
            </w:r>
            <w:r>
              <w:rPr>
                <w:rFonts w:eastAsia="Times New Roman" w:cs="Times New Roman"/>
                <w:szCs w:val="20"/>
              </w:rPr>
              <w:t>c</w:t>
            </w:r>
            <w:r>
              <w:rPr>
                <w:rFonts w:eastAsia="Times New Roman" w:cs="Times New Roman"/>
                <w:spacing w:val="1"/>
                <w:szCs w:val="20"/>
              </w:rPr>
              <w:t>h</w:t>
            </w:r>
            <w:r>
              <w:rPr>
                <w:rFonts w:eastAsia="Times New Roman" w:cs="Times New Roman"/>
                <w:szCs w:val="20"/>
              </w:rPr>
              <w:t>u</w:t>
            </w:r>
          </w:p>
        </w:tc>
      </w:tr>
      <w:tr w:rsidR="00B77F00">
        <w:tblPrEx>
          <w:tblCellMar>
            <w:top w:w="0" w:type="dxa"/>
            <w:bottom w:w="0" w:type="dxa"/>
          </w:tblCellMar>
        </w:tblPrEx>
        <w:trPr>
          <w:cantSplit/>
          <w:tblHeader/>
        </w:trPr>
        <w:tc>
          <w:tcPr>
            <w:tcW w:w="4132" w:type="dxa"/>
            <w:gridSpan w:val="2"/>
            <w:vMerge/>
            <w:tcBorders>
              <w:top w:val="single" w:sz="4" w:space="0" w:color="000001"/>
              <w:left w:val="single" w:sz="4" w:space="0" w:color="000001"/>
              <w:right w:val="single" w:sz="4" w:space="0" w:color="000001"/>
            </w:tcBorders>
            <w:tcMar>
              <w:top w:w="0" w:type="dxa"/>
              <w:left w:w="0" w:type="dxa"/>
              <w:bottom w:w="0" w:type="dxa"/>
              <w:right w:w="0" w:type="dxa"/>
            </w:tcMar>
            <w:vAlign w:val="center"/>
          </w:tcPr>
          <w:p w:rsidR="00000000" w:rsidRDefault="00865FA3"/>
        </w:tc>
        <w:tc>
          <w:tcPr>
            <w:tcW w:w="1704" w:type="dxa"/>
            <w:gridSpan w:val="2"/>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K</w:t>
            </w:r>
            <w:r>
              <w:rPr>
                <w:rFonts w:eastAsia="Times New Roman" w:cs="Times New Roman"/>
                <w:spacing w:val="-1"/>
                <w:szCs w:val="20"/>
              </w:rPr>
              <w:t>R</w:t>
            </w:r>
            <w:r>
              <w:rPr>
                <w:rFonts w:eastAsia="Times New Roman" w:cs="Times New Roman"/>
                <w:szCs w:val="20"/>
              </w:rPr>
              <w:t>1</w:t>
            </w:r>
            <w:r>
              <w:rPr>
                <w:rFonts w:eastAsia="Times New Roman" w:cs="Times New Roman"/>
                <w:spacing w:val="-2"/>
                <w:szCs w:val="20"/>
              </w:rPr>
              <w:t xml:space="preserve"> </w:t>
            </w:r>
            <w:r>
              <w:rPr>
                <w:rFonts w:eastAsia="Symbol" w:cs="Symbol"/>
                <w:szCs w:val="20"/>
              </w:rPr>
              <w:t></w:t>
            </w:r>
            <w:r>
              <w:rPr>
                <w:rFonts w:eastAsia="Times New Roman" w:cs="Times New Roman"/>
                <w:szCs w:val="20"/>
              </w:rPr>
              <w:t xml:space="preserve"> K</w:t>
            </w:r>
            <w:r>
              <w:rPr>
                <w:rFonts w:eastAsia="Times New Roman" w:cs="Times New Roman"/>
                <w:spacing w:val="-1"/>
                <w:szCs w:val="20"/>
              </w:rPr>
              <w:t>R</w:t>
            </w:r>
            <w:r>
              <w:rPr>
                <w:rFonts w:eastAsia="Times New Roman" w:cs="Times New Roman"/>
                <w:szCs w:val="20"/>
              </w:rPr>
              <w:t>2</w:t>
            </w:r>
          </w:p>
        </w:tc>
        <w:tc>
          <w:tcPr>
            <w:tcW w:w="1670"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K</w:t>
            </w:r>
            <w:r>
              <w:rPr>
                <w:rFonts w:eastAsia="Times New Roman" w:cs="Times New Roman"/>
                <w:spacing w:val="-1"/>
                <w:szCs w:val="20"/>
              </w:rPr>
              <w:t>R</w:t>
            </w:r>
            <w:r>
              <w:rPr>
                <w:rFonts w:eastAsia="Times New Roman" w:cs="Times New Roman"/>
                <w:szCs w:val="20"/>
              </w:rPr>
              <w:t>3</w:t>
            </w:r>
            <w:r>
              <w:rPr>
                <w:rFonts w:eastAsia="Times New Roman" w:cs="Times New Roman"/>
                <w:spacing w:val="-2"/>
                <w:szCs w:val="20"/>
              </w:rPr>
              <w:t xml:space="preserve"> </w:t>
            </w:r>
            <w:r>
              <w:rPr>
                <w:rFonts w:eastAsia="Symbol" w:cs="Symbol"/>
                <w:szCs w:val="20"/>
              </w:rPr>
              <w:t></w:t>
            </w:r>
            <w:r>
              <w:rPr>
                <w:rFonts w:eastAsia="Times New Roman" w:cs="Times New Roman"/>
                <w:szCs w:val="20"/>
              </w:rPr>
              <w:t xml:space="preserve"> K</w:t>
            </w:r>
            <w:r>
              <w:rPr>
                <w:rFonts w:eastAsia="Times New Roman" w:cs="Times New Roman"/>
                <w:spacing w:val="-1"/>
                <w:szCs w:val="20"/>
              </w:rPr>
              <w:t>R</w:t>
            </w:r>
            <w:r>
              <w:rPr>
                <w:rFonts w:eastAsia="Times New Roman" w:cs="Times New Roman"/>
                <w:szCs w:val="20"/>
              </w:rPr>
              <w:t>4</w:t>
            </w:r>
          </w:p>
        </w:tc>
        <w:tc>
          <w:tcPr>
            <w:tcW w:w="2132"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K</w:t>
            </w:r>
            <w:r>
              <w:rPr>
                <w:rFonts w:eastAsia="Times New Roman" w:cs="Times New Roman"/>
                <w:spacing w:val="-1"/>
                <w:szCs w:val="20"/>
              </w:rPr>
              <w:t>R</w:t>
            </w:r>
            <w:r>
              <w:rPr>
                <w:rFonts w:eastAsia="Times New Roman" w:cs="Times New Roman"/>
                <w:szCs w:val="20"/>
              </w:rPr>
              <w:t>5</w:t>
            </w:r>
            <w:r>
              <w:rPr>
                <w:rFonts w:eastAsia="Times New Roman" w:cs="Times New Roman"/>
                <w:spacing w:val="-2"/>
                <w:szCs w:val="20"/>
              </w:rPr>
              <w:t xml:space="preserve"> </w:t>
            </w:r>
            <w:r>
              <w:rPr>
                <w:rFonts w:eastAsia="Symbol" w:cs="Symbol"/>
                <w:szCs w:val="20"/>
              </w:rPr>
              <w:t></w:t>
            </w:r>
            <w:r>
              <w:rPr>
                <w:rFonts w:eastAsia="Times New Roman" w:cs="Times New Roman"/>
                <w:szCs w:val="20"/>
              </w:rPr>
              <w:t xml:space="preserve"> K</w:t>
            </w:r>
            <w:r>
              <w:rPr>
                <w:rFonts w:eastAsia="Times New Roman" w:cs="Times New Roman"/>
                <w:spacing w:val="-1"/>
                <w:szCs w:val="20"/>
              </w:rPr>
              <w:t>R</w:t>
            </w:r>
            <w:r>
              <w:rPr>
                <w:rFonts w:eastAsia="Times New Roman" w:cs="Times New Roman"/>
                <w:szCs w:val="20"/>
              </w:rPr>
              <w:t>6</w:t>
            </w:r>
          </w:p>
        </w:tc>
      </w:tr>
      <w:tr w:rsidR="00B77F00">
        <w:tblPrEx>
          <w:tblCellMar>
            <w:top w:w="0" w:type="dxa"/>
            <w:bottom w:w="0" w:type="dxa"/>
          </w:tblCellMar>
        </w:tblPrEx>
        <w:trPr>
          <w:cantSplit/>
        </w:trPr>
        <w:tc>
          <w:tcPr>
            <w:tcW w:w="4104"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Uzi</w:t>
            </w:r>
            <w:r>
              <w:rPr>
                <w:rFonts w:eastAsia="Times New Roman" w:cs="Times New Roman"/>
                <w:spacing w:val="1"/>
                <w:szCs w:val="20"/>
              </w:rPr>
              <w:t>ar</w:t>
            </w:r>
            <w:r>
              <w:rPr>
                <w:rFonts w:eastAsia="Times New Roman" w:cs="Times New Roman"/>
                <w:spacing w:val="-1"/>
                <w:szCs w:val="20"/>
              </w:rPr>
              <w:t>n</w:t>
            </w:r>
            <w:r>
              <w:rPr>
                <w:rFonts w:eastAsia="Times New Roman" w:cs="Times New Roman"/>
                <w:szCs w:val="20"/>
              </w:rPr>
              <w:t>i</w:t>
            </w:r>
            <w:r>
              <w:rPr>
                <w:rFonts w:eastAsia="Times New Roman" w:cs="Times New Roman"/>
                <w:spacing w:val="2"/>
                <w:szCs w:val="20"/>
              </w:rPr>
              <w:t>e</w:t>
            </w:r>
            <w:r>
              <w:rPr>
                <w:rFonts w:eastAsia="Times New Roman" w:cs="Times New Roman"/>
                <w:spacing w:val="-1"/>
                <w:szCs w:val="20"/>
              </w:rPr>
              <w:t>n</w:t>
            </w:r>
            <w:r>
              <w:rPr>
                <w:rFonts w:eastAsia="Times New Roman" w:cs="Times New Roman"/>
                <w:szCs w:val="20"/>
              </w:rPr>
              <w:t>ie</w:t>
            </w:r>
            <w:r>
              <w:rPr>
                <w:rFonts w:eastAsia="Times New Roman" w:cs="Times New Roman"/>
                <w:spacing w:val="-6"/>
                <w:szCs w:val="20"/>
              </w:rPr>
              <w:t xml:space="preserve"> </w:t>
            </w:r>
            <w:r>
              <w:rPr>
                <w:rFonts w:eastAsia="Times New Roman" w:cs="Times New Roman"/>
                <w:spacing w:val="-2"/>
                <w:szCs w:val="20"/>
              </w:rPr>
              <w:t>w</w:t>
            </w:r>
            <w:r>
              <w:rPr>
                <w:rFonts w:eastAsia="Times New Roman" w:cs="Times New Roman"/>
                <w:szCs w:val="20"/>
              </w:rPr>
              <w:t>e</w:t>
            </w:r>
            <w:r>
              <w:rPr>
                <w:rFonts w:eastAsia="Times New Roman" w:cs="Times New Roman"/>
                <w:spacing w:val="1"/>
                <w:szCs w:val="20"/>
              </w:rPr>
              <w:t>d</w:t>
            </w:r>
            <w:r>
              <w:rPr>
                <w:rFonts w:eastAsia="Times New Roman" w:cs="Times New Roman"/>
                <w:szCs w:val="20"/>
              </w:rPr>
              <w:t>ł</w:t>
            </w:r>
            <w:r>
              <w:rPr>
                <w:rFonts w:eastAsia="Times New Roman" w:cs="Times New Roman"/>
                <w:spacing w:val="1"/>
                <w:szCs w:val="20"/>
              </w:rPr>
              <w:t>u</w:t>
            </w:r>
            <w:r>
              <w:rPr>
                <w:rFonts w:eastAsia="Times New Roman" w:cs="Times New Roman"/>
                <w:szCs w:val="20"/>
              </w:rPr>
              <w:t>g</w:t>
            </w:r>
            <w:r>
              <w:rPr>
                <w:rFonts w:eastAsia="Times New Roman" w:cs="Times New Roman"/>
                <w:spacing w:val="-7"/>
                <w:szCs w:val="20"/>
              </w:rPr>
              <w:t xml:space="preserve"> </w:t>
            </w:r>
            <w:r>
              <w:rPr>
                <w:rFonts w:eastAsia="Times New Roman" w:cs="Times New Roman"/>
                <w:spacing w:val="2"/>
                <w:szCs w:val="20"/>
              </w:rPr>
              <w:t>PN</w:t>
            </w:r>
            <w:r>
              <w:rPr>
                <w:rFonts w:eastAsia="Times New Roman" w:cs="Times New Roman"/>
                <w:spacing w:val="-2"/>
                <w:szCs w:val="20"/>
              </w:rPr>
              <w:t>-</w:t>
            </w:r>
            <w:r>
              <w:rPr>
                <w:rFonts w:eastAsia="Times New Roman" w:cs="Times New Roman"/>
                <w:szCs w:val="20"/>
              </w:rPr>
              <w:t>EN</w:t>
            </w:r>
            <w:r>
              <w:rPr>
                <w:rFonts w:eastAsia="Times New Roman" w:cs="Times New Roman"/>
                <w:spacing w:val="-6"/>
                <w:szCs w:val="20"/>
              </w:rPr>
              <w:t xml:space="preserve"> </w:t>
            </w:r>
            <w:r>
              <w:rPr>
                <w:rFonts w:eastAsia="Times New Roman" w:cs="Times New Roman"/>
                <w:spacing w:val="3"/>
                <w:szCs w:val="20"/>
              </w:rPr>
              <w:t>9</w:t>
            </w:r>
            <w:r>
              <w:rPr>
                <w:rFonts w:eastAsia="Times New Roman" w:cs="Times New Roman"/>
                <w:spacing w:val="1"/>
                <w:szCs w:val="20"/>
              </w:rPr>
              <w:t>3</w:t>
            </w:r>
            <w:r>
              <w:rPr>
                <w:rFonts w:eastAsia="Times New Roman" w:cs="Times New Roman"/>
                <w:spacing w:val="2"/>
                <w:szCs w:val="20"/>
              </w:rPr>
              <w:t>3</w:t>
            </w:r>
            <w:r>
              <w:rPr>
                <w:rFonts w:eastAsia="Times New Roman" w:cs="Times New Roman"/>
                <w:spacing w:val="-2"/>
                <w:szCs w:val="20"/>
              </w:rPr>
              <w:t>-</w:t>
            </w:r>
            <w:r>
              <w:rPr>
                <w:rFonts w:eastAsia="Times New Roman" w:cs="Times New Roman"/>
                <w:spacing w:val="1"/>
                <w:szCs w:val="20"/>
              </w:rPr>
              <w:t>1</w:t>
            </w:r>
            <w:r>
              <w:rPr>
                <w:rFonts w:eastAsia="Times New Roman" w:cs="Times New Roman"/>
                <w:szCs w:val="20"/>
              </w:rPr>
              <w:t>, w</w:t>
            </w:r>
            <w:r>
              <w:rPr>
                <w:rFonts w:eastAsia="Times New Roman" w:cs="Times New Roman"/>
                <w:spacing w:val="1"/>
                <w:szCs w:val="20"/>
              </w:rPr>
              <w:t>y</w:t>
            </w:r>
            <w:r>
              <w:rPr>
                <w:rFonts w:eastAsia="Times New Roman" w:cs="Times New Roman"/>
                <w:spacing w:val="-1"/>
                <w:szCs w:val="20"/>
              </w:rPr>
              <w:t>m</w:t>
            </w:r>
            <w:r>
              <w:rPr>
                <w:rFonts w:eastAsia="Times New Roman" w:cs="Times New Roman"/>
                <w:szCs w:val="20"/>
              </w:rPr>
              <w:t>a</w:t>
            </w:r>
            <w:r>
              <w:rPr>
                <w:rFonts w:eastAsia="Times New Roman" w:cs="Times New Roman"/>
                <w:spacing w:val="-1"/>
                <w:szCs w:val="20"/>
              </w:rPr>
              <w:t>g</w:t>
            </w:r>
            <w:r>
              <w:rPr>
                <w:rFonts w:eastAsia="Times New Roman" w:cs="Times New Roman"/>
                <w:spacing w:val="3"/>
                <w:szCs w:val="20"/>
              </w:rPr>
              <w:t>a</w:t>
            </w:r>
            <w:r>
              <w:rPr>
                <w:rFonts w:eastAsia="Times New Roman" w:cs="Times New Roman"/>
                <w:spacing w:val="-1"/>
                <w:szCs w:val="20"/>
              </w:rPr>
              <w:t>n</w:t>
            </w:r>
            <w:r>
              <w:rPr>
                <w:rFonts w:eastAsia="Times New Roman" w:cs="Times New Roman"/>
                <w:szCs w:val="20"/>
              </w:rPr>
              <w:t>a</w:t>
            </w:r>
            <w:r>
              <w:rPr>
                <w:rFonts w:eastAsia="Times New Roman" w:cs="Times New Roman"/>
                <w:spacing w:val="-8"/>
                <w:szCs w:val="20"/>
              </w:rPr>
              <w:t xml:space="preserve"> </w:t>
            </w:r>
            <w:r>
              <w:rPr>
                <w:rFonts w:eastAsia="Times New Roman" w:cs="Times New Roman"/>
                <w:spacing w:val="-1"/>
                <w:szCs w:val="20"/>
              </w:rPr>
              <w:t>k</w:t>
            </w:r>
            <w:r>
              <w:rPr>
                <w:rFonts w:eastAsia="Times New Roman" w:cs="Times New Roman"/>
                <w:spacing w:val="3"/>
                <w:szCs w:val="20"/>
              </w:rPr>
              <w:t>a</w:t>
            </w:r>
            <w:r>
              <w:rPr>
                <w:rFonts w:eastAsia="Times New Roman" w:cs="Times New Roman"/>
                <w:szCs w:val="20"/>
              </w:rPr>
              <w:t>te</w:t>
            </w:r>
            <w:r>
              <w:rPr>
                <w:rFonts w:eastAsia="Times New Roman" w:cs="Times New Roman"/>
                <w:spacing w:val="-1"/>
                <w:szCs w:val="20"/>
              </w:rPr>
              <w:t>g</w:t>
            </w:r>
            <w:r>
              <w:rPr>
                <w:rFonts w:eastAsia="Times New Roman" w:cs="Times New Roman"/>
                <w:spacing w:val="1"/>
                <w:szCs w:val="20"/>
              </w:rPr>
              <w:t>or</w:t>
            </w:r>
            <w:r>
              <w:rPr>
                <w:rFonts w:eastAsia="Times New Roman" w:cs="Times New Roman"/>
                <w:szCs w:val="20"/>
              </w:rPr>
              <w:t>ia:</w:t>
            </w:r>
          </w:p>
        </w:tc>
        <w:tc>
          <w:tcPr>
            <w:tcW w:w="5534" w:type="dxa"/>
            <w:gridSpan w:val="5"/>
            <w:tcBorders>
              <w:left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G</w:t>
            </w:r>
            <w:r>
              <w:rPr>
                <w:rFonts w:eastAsia="Times New Roman" w:cs="Times New Roman"/>
                <w:position w:val="-5"/>
                <w:szCs w:val="20"/>
              </w:rPr>
              <w:t>F</w:t>
            </w:r>
            <w:r>
              <w:rPr>
                <w:rFonts w:eastAsia="Times New Roman" w:cs="Times New Roman"/>
                <w:spacing w:val="1"/>
                <w:szCs w:val="20"/>
              </w:rPr>
              <w:t>8</w:t>
            </w:r>
            <w:r>
              <w:rPr>
                <w:rFonts w:eastAsia="Times New Roman" w:cs="Times New Roman"/>
                <w:szCs w:val="20"/>
              </w:rPr>
              <w:t>5</w:t>
            </w:r>
            <w:r>
              <w:rPr>
                <w:rFonts w:eastAsia="Times New Roman" w:cs="Times New Roman"/>
                <w:spacing w:val="-3"/>
                <w:szCs w:val="20"/>
              </w:rPr>
              <w:t xml:space="preserve"> </w:t>
            </w:r>
            <w:r>
              <w:rPr>
                <w:rFonts w:eastAsia="Times New Roman" w:cs="Times New Roman"/>
                <w:szCs w:val="20"/>
              </w:rPr>
              <w:t>i</w:t>
            </w:r>
            <w:r>
              <w:rPr>
                <w:rFonts w:eastAsia="Times New Roman" w:cs="Times New Roman"/>
                <w:spacing w:val="-1"/>
                <w:szCs w:val="20"/>
              </w:rPr>
              <w:t xml:space="preserve"> </w:t>
            </w:r>
            <w:r>
              <w:rPr>
                <w:rFonts w:eastAsia="Times New Roman" w:cs="Times New Roman"/>
                <w:spacing w:val="1"/>
                <w:w w:val="99"/>
                <w:szCs w:val="20"/>
              </w:rPr>
              <w:t>G</w:t>
            </w:r>
            <w:r>
              <w:rPr>
                <w:rFonts w:eastAsia="Times New Roman" w:cs="Times New Roman"/>
                <w:spacing w:val="-2"/>
                <w:w w:val="99"/>
                <w:position w:val="-5"/>
                <w:szCs w:val="20"/>
              </w:rPr>
              <w:t>A</w:t>
            </w:r>
            <w:r>
              <w:rPr>
                <w:rFonts w:eastAsia="Times New Roman" w:cs="Times New Roman"/>
                <w:spacing w:val="1"/>
                <w:w w:val="99"/>
                <w:szCs w:val="20"/>
              </w:rPr>
              <w:t>85</w:t>
            </w:r>
          </w:p>
        </w:tc>
      </w:tr>
      <w:tr w:rsidR="00B77F00">
        <w:tblPrEx>
          <w:tblCellMar>
            <w:top w:w="0" w:type="dxa"/>
            <w:bottom w:w="0" w:type="dxa"/>
          </w:tblCellMar>
        </w:tblPrEx>
        <w:trPr>
          <w:cantSplit/>
        </w:trPr>
        <w:tc>
          <w:tcPr>
            <w:tcW w:w="4104"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3"/>
                <w:szCs w:val="20"/>
              </w:rPr>
              <w:t>T</w:t>
            </w:r>
            <w:r>
              <w:rPr>
                <w:rFonts w:eastAsia="Times New Roman" w:cs="Times New Roman"/>
                <w:spacing w:val="1"/>
                <w:szCs w:val="20"/>
              </w:rPr>
              <w:t>o</w:t>
            </w:r>
            <w:r>
              <w:rPr>
                <w:rFonts w:eastAsia="Times New Roman" w:cs="Times New Roman"/>
                <w:szCs w:val="20"/>
              </w:rPr>
              <w:t>l</w:t>
            </w:r>
            <w:r>
              <w:rPr>
                <w:rFonts w:eastAsia="Times New Roman" w:cs="Times New Roman"/>
                <w:spacing w:val="-2"/>
                <w:szCs w:val="20"/>
              </w:rPr>
              <w:t>e</w:t>
            </w:r>
            <w:r>
              <w:rPr>
                <w:rFonts w:eastAsia="Times New Roman" w:cs="Times New Roman"/>
                <w:spacing w:val="1"/>
                <w:szCs w:val="20"/>
              </w:rPr>
              <w:t>r</w:t>
            </w:r>
            <w:r>
              <w:rPr>
                <w:rFonts w:eastAsia="Times New Roman" w:cs="Times New Roman"/>
                <w:szCs w:val="20"/>
              </w:rPr>
              <w:t>a</w:t>
            </w:r>
            <w:r>
              <w:rPr>
                <w:rFonts w:eastAsia="Times New Roman" w:cs="Times New Roman"/>
                <w:spacing w:val="-1"/>
                <w:szCs w:val="20"/>
              </w:rPr>
              <w:t>n</w:t>
            </w:r>
            <w:r>
              <w:rPr>
                <w:rFonts w:eastAsia="Times New Roman" w:cs="Times New Roman"/>
                <w:szCs w:val="20"/>
              </w:rPr>
              <w:t>c</w:t>
            </w:r>
            <w:r>
              <w:rPr>
                <w:rFonts w:eastAsia="Times New Roman" w:cs="Times New Roman"/>
                <w:spacing w:val="2"/>
                <w:szCs w:val="20"/>
              </w:rPr>
              <w:t>j</w:t>
            </w:r>
            <w:r>
              <w:rPr>
                <w:rFonts w:eastAsia="Times New Roman" w:cs="Times New Roman"/>
                <w:szCs w:val="20"/>
              </w:rPr>
              <w:t>a</w:t>
            </w:r>
            <w:r>
              <w:rPr>
                <w:rFonts w:eastAsia="Times New Roman" w:cs="Times New Roman"/>
                <w:spacing w:val="-8"/>
                <w:szCs w:val="20"/>
              </w:rPr>
              <w:t xml:space="preserve"> </w:t>
            </w:r>
            <w:r>
              <w:rPr>
                <w:rFonts w:eastAsia="Times New Roman" w:cs="Times New Roman"/>
                <w:spacing w:val="-1"/>
                <w:szCs w:val="20"/>
              </w:rPr>
              <w:t>u</w:t>
            </w:r>
            <w:r>
              <w:rPr>
                <w:rFonts w:eastAsia="Times New Roman" w:cs="Times New Roman"/>
                <w:szCs w:val="20"/>
              </w:rPr>
              <w:t>zia</w:t>
            </w:r>
            <w:r>
              <w:rPr>
                <w:rFonts w:eastAsia="Times New Roman" w:cs="Times New Roman"/>
                <w:spacing w:val="1"/>
                <w:szCs w:val="20"/>
              </w:rPr>
              <w:t>r</w:t>
            </w:r>
            <w:r>
              <w:rPr>
                <w:rFonts w:eastAsia="Times New Roman" w:cs="Times New Roman"/>
                <w:spacing w:val="-1"/>
                <w:szCs w:val="20"/>
              </w:rPr>
              <w:t>n</w:t>
            </w:r>
            <w:r>
              <w:rPr>
                <w:rFonts w:eastAsia="Times New Roman" w:cs="Times New Roman"/>
                <w:szCs w:val="20"/>
              </w:rPr>
              <w:t>ie</w:t>
            </w:r>
            <w:r>
              <w:rPr>
                <w:rFonts w:eastAsia="Times New Roman" w:cs="Times New Roman"/>
                <w:spacing w:val="-1"/>
                <w:szCs w:val="20"/>
              </w:rPr>
              <w:t>n</w:t>
            </w:r>
            <w:r>
              <w:rPr>
                <w:rFonts w:eastAsia="Times New Roman" w:cs="Times New Roman"/>
                <w:szCs w:val="20"/>
              </w:rPr>
              <w:t>ia;</w:t>
            </w:r>
            <w:r>
              <w:rPr>
                <w:rFonts w:eastAsia="Times New Roman" w:cs="Times New Roman"/>
                <w:spacing w:val="-9"/>
                <w:szCs w:val="20"/>
              </w:rPr>
              <w:t xml:space="preserve"> </w:t>
            </w:r>
            <w:r>
              <w:rPr>
                <w:rFonts w:eastAsia="Times New Roman" w:cs="Times New Roman"/>
                <w:spacing w:val="1"/>
                <w:szCs w:val="20"/>
              </w:rPr>
              <w:t>od</w:t>
            </w:r>
            <w:r>
              <w:rPr>
                <w:rFonts w:eastAsia="Times New Roman" w:cs="Times New Roman"/>
                <w:szCs w:val="20"/>
              </w:rPr>
              <w:t>c</w:t>
            </w:r>
            <w:r>
              <w:rPr>
                <w:rFonts w:eastAsia="Times New Roman" w:cs="Times New Roman"/>
                <w:spacing w:val="1"/>
                <w:szCs w:val="20"/>
              </w:rPr>
              <w:t>h</w:t>
            </w:r>
            <w:r>
              <w:rPr>
                <w:rFonts w:eastAsia="Times New Roman" w:cs="Times New Roman"/>
                <w:spacing w:val="-1"/>
                <w:szCs w:val="20"/>
              </w:rPr>
              <w:t>y</w:t>
            </w:r>
            <w:r>
              <w:rPr>
                <w:rFonts w:eastAsia="Times New Roman" w:cs="Times New Roman"/>
                <w:spacing w:val="2"/>
                <w:szCs w:val="20"/>
              </w:rPr>
              <w:t>l</w:t>
            </w:r>
            <w:r>
              <w:rPr>
                <w:rFonts w:eastAsia="Times New Roman" w:cs="Times New Roman"/>
                <w:szCs w:val="20"/>
              </w:rPr>
              <w:t>e</w:t>
            </w:r>
            <w:r>
              <w:rPr>
                <w:rFonts w:eastAsia="Times New Roman" w:cs="Times New Roman"/>
                <w:spacing w:val="-1"/>
                <w:szCs w:val="20"/>
              </w:rPr>
              <w:t>n</w:t>
            </w:r>
            <w:r>
              <w:rPr>
                <w:rFonts w:eastAsia="Times New Roman" w:cs="Times New Roman"/>
                <w:szCs w:val="20"/>
              </w:rPr>
              <w:t>ie</w:t>
            </w:r>
            <w:r>
              <w:rPr>
                <w:rFonts w:eastAsia="Times New Roman" w:cs="Times New Roman"/>
                <w:spacing w:val="-9"/>
                <w:szCs w:val="20"/>
              </w:rPr>
              <w:t xml:space="preserve"> </w:t>
            </w:r>
            <w:r>
              <w:rPr>
                <w:rFonts w:eastAsia="Times New Roman" w:cs="Times New Roman"/>
                <w:spacing w:val="-1"/>
                <w:szCs w:val="20"/>
              </w:rPr>
              <w:t>n</w:t>
            </w:r>
            <w:r>
              <w:rPr>
                <w:rFonts w:eastAsia="Times New Roman" w:cs="Times New Roman"/>
                <w:szCs w:val="20"/>
              </w:rPr>
              <w:t xml:space="preserve">ie </w:t>
            </w:r>
            <w:r>
              <w:rPr>
                <w:rFonts w:eastAsia="Times New Roman" w:cs="Times New Roman"/>
                <w:spacing w:val="-2"/>
                <w:szCs w:val="20"/>
              </w:rPr>
              <w:t>w</w:t>
            </w:r>
            <w:r>
              <w:rPr>
                <w:rFonts w:eastAsia="Times New Roman" w:cs="Times New Roman"/>
                <w:szCs w:val="20"/>
              </w:rPr>
              <w:t>i</w:t>
            </w:r>
            <w:r>
              <w:rPr>
                <w:rFonts w:eastAsia="Times New Roman" w:cs="Times New Roman"/>
                <w:spacing w:val="2"/>
                <w:szCs w:val="20"/>
              </w:rPr>
              <w:t>ę</w:t>
            </w:r>
            <w:r>
              <w:rPr>
                <w:rFonts w:eastAsia="Times New Roman" w:cs="Times New Roman"/>
                <w:spacing w:val="-1"/>
                <w:szCs w:val="20"/>
              </w:rPr>
              <w:t>ks</w:t>
            </w:r>
            <w:r>
              <w:rPr>
                <w:rFonts w:eastAsia="Times New Roman" w:cs="Times New Roman"/>
                <w:szCs w:val="20"/>
              </w:rPr>
              <w:t>ze</w:t>
            </w:r>
            <w:r>
              <w:rPr>
                <w:rFonts w:eastAsia="Times New Roman" w:cs="Times New Roman"/>
                <w:spacing w:val="-3"/>
                <w:szCs w:val="20"/>
              </w:rPr>
              <w:t xml:space="preserve"> </w:t>
            </w:r>
            <w:r>
              <w:rPr>
                <w:rFonts w:eastAsia="Times New Roman" w:cs="Times New Roman"/>
                <w:spacing w:val="-1"/>
                <w:szCs w:val="20"/>
              </w:rPr>
              <w:t>n</w:t>
            </w:r>
            <w:r>
              <w:rPr>
                <w:rFonts w:eastAsia="Times New Roman" w:cs="Times New Roman"/>
                <w:szCs w:val="20"/>
              </w:rPr>
              <w:t>iż</w:t>
            </w:r>
            <w:r>
              <w:rPr>
                <w:rFonts w:eastAsia="Times New Roman" w:cs="Times New Roman"/>
                <w:spacing w:val="1"/>
                <w:szCs w:val="20"/>
              </w:rPr>
              <w:t xml:space="preserve"> </w:t>
            </w:r>
            <w:r>
              <w:rPr>
                <w:rFonts w:eastAsia="Times New Roman" w:cs="Times New Roman"/>
                <w:spacing w:val="-2"/>
                <w:szCs w:val="20"/>
              </w:rPr>
              <w:t>w</w:t>
            </w:r>
            <w:r>
              <w:rPr>
                <w:rFonts w:eastAsia="Times New Roman" w:cs="Times New Roman"/>
                <w:szCs w:val="20"/>
              </w:rPr>
              <w:t>e</w:t>
            </w:r>
            <w:r>
              <w:rPr>
                <w:rFonts w:eastAsia="Times New Roman" w:cs="Times New Roman"/>
                <w:spacing w:val="1"/>
                <w:szCs w:val="20"/>
              </w:rPr>
              <w:t>d</w:t>
            </w:r>
            <w:r>
              <w:rPr>
                <w:rFonts w:eastAsia="Times New Roman" w:cs="Times New Roman"/>
                <w:spacing w:val="2"/>
                <w:szCs w:val="20"/>
              </w:rPr>
              <w:t>ł</w:t>
            </w:r>
            <w:r>
              <w:rPr>
                <w:rFonts w:eastAsia="Times New Roman" w:cs="Times New Roman"/>
                <w:spacing w:val="-1"/>
                <w:szCs w:val="20"/>
              </w:rPr>
              <w:t>u</w:t>
            </w:r>
            <w:r>
              <w:rPr>
                <w:rFonts w:eastAsia="Times New Roman" w:cs="Times New Roman"/>
                <w:szCs w:val="20"/>
              </w:rPr>
              <w:t>g</w:t>
            </w:r>
            <w:r>
              <w:rPr>
                <w:rFonts w:eastAsia="Times New Roman" w:cs="Times New Roman"/>
                <w:spacing w:val="-5"/>
                <w:szCs w:val="20"/>
              </w:rPr>
              <w:t xml:space="preserve"> </w:t>
            </w:r>
            <w:r>
              <w:rPr>
                <w:rFonts w:eastAsia="Times New Roman" w:cs="Times New Roman"/>
                <w:spacing w:val="-1"/>
                <w:szCs w:val="20"/>
              </w:rPr>
              <w:t>k</w:t>
            </w:r>
            <w:r>
              <w:rPr>
                <w:rFonts w:eastAsia="Times New Roman" w:cs="Times New Roman"/>
                <w:szCs w:val="20"/>
              </w:rPr>
              <w:t>at</w:t>
            </w:r>
            <w:r>
              <w:rPr>
                <w:rFonts w:eastAsia="Times New Roman" w:cs="Times New Roman"/>
                <w:spacing w:val="3"/>
                <w:szCs w:val="20"/>
              </w:rPr>
              <w:t>e</w:t>
            </w:r>
            <w:r>
              <w:rPr>
                <w:rFonts w:eastAsia="Times New Roman" w:cs="Times New Roman"/>
                <w:spacing w:val="-1"/>
                <w:szCs w:val="20"/>
              </w:rPr>
              <w:t>g</w:t>
            </w:r>
            <w:r>
              <w:rPr>
                <w:rFonts w:eastAsia="Times New Roman" w:cs="Times New Roman"/>
                <w:spacing w:val="1"/>
                <w:szCs w:val="20"/>
              </w:rPr>
              <w:t>or</w:t>
            </w:r>
            <w:r>
              <w:rPr>
                <w:rFonts w:eastAsia="Times New Roman" w:cs="Times New Roman"/>
                <w:szCs w:val="20"/>
              </w:rPr>
              <w:t>ii:</w:t>
            </w:r>
          </w:p>
        </w:tc>
        <w:tc>
          <w:tcPr>
            <w:tcW w:w="1701" w:type="dxa"/>
            <w:gridSpan w:val="2"/>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G</w:t>
            </w:r>
            <w:r>
              <w:rPr>
                <w:rFonts w:eastAsia="Times New Roman" w:cs="Times New Roman"/>
                <w:position w:val="-5"/>
                <w:szCs w:val="20"/>
              </w:rPr>
              <w:t>TC</w:t>
            </w:r>
            <w:r>
              <w:rPr>
                <w:rFonts w:eastAsia="Times New Roman" w:cs="Times New Roman"/>
                <w:szCs w:val="20"/>
              </w:rPr>
              <w:t>NR</w:t>
            </w:r>
          </w:p>
        </w:tc>
        <w:tc>
          <w:tcPr>
            <w:tcW w:w="1701" w:type="dxa"/>
            <w:gridSpan w:val="2"/>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G</w:t>
            </w:r>
            <w:r>
              <w:rPr>
                <w:rFonts w:eastAsia="Times New Roman" w:cs="Times New Roman"/>
                <w:position w:val="-5"/>
                <w:szCs w:val="20"/>
              </w:rPr>
              <w:t>TC</w:t>
            </w:r>
            <w:r>
              <w:rPr>
                <w:rFonts w:eastAsia="Times New Roman" w:cs="Times New Roman"/>
                <w:spacing w:val="1"/>
                <w:szCs w:val="20"/>
              </w:rPr>
              <w:t>20</w:t>
            </w:r>
          </w:p>
        </w:tc>
        <w:tc>
          <w:tcPr>
            <w:tcW w:w="2132"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G</w:t>
            </w:r>
            <w:r>
              <w:rPr>
                <w:rFonts w:eastAsia="Times New Roman" w:cs="Times New Roman"/>
                <w:position w:val="-5"/>
                <w:szCs w:val="20"/>
              </w:rPr>
              <w:t>TC</w:t>
            </w:r>
            <w:r>
              <w:rPr>
                <w:rFonts w:eastAsia="Times New Roman" w:cs="Times New Roman"/>
                <w:spacing w:val="1"/>
                <w:szCs w:val="20"/>
              </w:rPr>
              <w:t>20</w:t>
            </w:r>
          </w:p>
        </w:tc>
      </w:tr>
      <w:tr w:rsidR="00B77F00">
        <w:tblPrEx>
          <w:tblCellMar>
            <w:top w:w="0" w:type="dxa"/>
            <w:bottom w:w="0" w:type="dxa"/>
          </w:tblCellMar>
        </w:tblPrEx>
        <w:trPr>
          <w:cantSplit/>
        </w:trPr>
        <w:tc>
          <w:tcPr>
            <w:tcW w:w="4104"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tcPr>
          <w:p w:rsidR="00B77F00" w:rsidRDefault="00865FA3">
            <w:pPr>
              <w:pStyle w:val="Standard"/>
              <w:rPr>
                <w:szCs w:val="20"/>
              </w:rPr>
            </w:pPr>
            <w:r>
              <w:rPr>
                <w:rFonts w:eastAsia="Times New Roman" w:cs="Times New Roman"/>
                <w:spacing w:val="-2"/>
                <w:szCs w:val="20"/>
              </w:rPr>
              <w:t>Z</w:t>
            </w:r>
            <w:r>
              <w:rPr>
                <w:rFonts w:eastAsia="Times New Roman" w:cs="Times New Roman"/>
                <w:spacing w:val="3"/>
                <w:szCs w:val="20"/>
              </w:rPr>
              <w:t>a</w:t>
            </w:r>
            <w:r>
              <w:rPr>
                <w:rFonts w:eastAsia="Times New Roman" w:cs="Times New Roman"/>
                <w:spacing w:val="-2"/>
                <w:szCs w:val="20"/>
              </w:rPr>
              <w:t>w</w:t>
            </w:r>
            <w:r>
              <w:rPr>
                <w:rFonts w:eastAsia="Times New Roman" w:cs="Times New Roman"/>
                <w:szCs w:val="20"/>
              </w:rPr>
              <w:t>a</w:t>
            </w:r>
            <w:r>
              <w:rPr>
                <w:rFonts w:eastAsia="Times New Roman" w:cs="Times New Roman"/>
                <w:spacing w:val="1"/>
                <w:szCs w:val="20"/>
              </w:rPr>
              <w:t>r</w:t>
            </w:r>
            <w:r>
              <w:rPr>
                <w:rFonts w:eastAsia="Times New Roman" w:cs="Times New Roman"/>
                <w:szCs w:val="20"/>
              </w:rPr>
              <w:t>t</w:t>
            </w:r>
            <w:r>
              <w:rPr>
                <w:rFonts w:eastAsia="Times New Roman" w:cs="Times New Roman"/>
                <w:spacing w:val="1"/>
                <w:szCs w:val="20"/>
              </w:rPr>
              <w:t>o</w:t>
            </w:r>
            <w:r>
              <w:rPr>
                <w:rFonts w:eastAsia="Times New Roman" w:cs="Times New Roman"/>
                <w:spacing w:val="-1"/>
                <w:szCs w:val="20"/>
              </w:rPr>
              <w:t>ś</w:t>
            </w:r>
            <w:r>
              <w:rPr>
                <w:rFonts w:eastAsia="Times New Roman" w:cs="Times New Roman"/>
                <w:szCs w:val="20"/>
              </w:rPr>
              <w:t>ć</w:t>
            </w:r>
            <w:r>
              <w:rPr>
                <w:rFonts w:eastAsia="Times New Roman" w:cs="Times New Roman"/>
                <w:spacing w:val="-7"/>
                <w:szCs w:val="20"/>
              </w:rPr>
              <w:t xml:space="preserve"> </w:t>
            </w:r>
            <w:r>
              <w:rPr>
                <w:rFonts w:eastAsia="Times New Roman" w:cs="Times New Roman"/>
                <w:spacing w:val="3"/>
                <w:szCs w:val="20"/>
              </w:rPr>
              <w:t>p</w:t>
            </w:r>
            <w:r>
              <w:rPr>
                <w:rFonts w:eastAsia="Times New Roman" w:cs="Times New Roman"/>
                <w:spacing w:val="-4"/>
                <w:szCs w:val="20"/>
              </w:rPr>
              <w:t>y</w:t>
            </w:r>
            <w:r>
              <w:rPr>
                <w:rFonts w:eastAsia="Times New Roman" w:cs="Times New Roman"/>
                <w:szCs w:val="20"/>
              </w:rPr>
              <w:t>ł</w:t>
            </w:r>
            <w:r>
              <w:rPr>
                <w:rFonts w:eastAsia="Times New Roman" w:cs="Times New Roman"/>
                <w:spacing w:val="3"/>
                <w:szCs w:val="20"/>
              </w:rPr>
              <w:t>ó</w:t>
            </w:r>
            <w:r>
              <w:rPr>
                <w:rFonts w:eastAsia="Times New Roman" w:cs="Times New Roman"/>
                <w:szCs w:val="20"/>
              </w:rPr>
              <w:t>w</w:t>
            </w:r>
            <w:r>
              <w:rPr>
                <w:rFonts w:eastAsia="Times New Roman" w:cs="Times New Roman"/>
                <w:spacing w:val="-5"/>
                <w:szCs w:val="20"/>
              </w:rPr>
              <w:t xml:space="preserve"> </w:t>
            </w:r>
            <w:r>
              <w:rPr>
                <w:rFonts w:eastAsia="Times New Roman" w:cs="Times New Roman"/>
                <w:spacing w:val="-2"/>
                <w:szCs w:val="20"/>
              </w:rPr>
              <w:t>w</w:t>
            </w:r>
            <w:r>
              <w:rPr>
                <w:rFonts w:eastAsia="Times New Roman" w:cs="Times New Roman"/>
                <w:szCs w:val="20"/>
              </w:rPr>
              <w:t>e</w:t>
            </w:r>
            <w:r>
              <w:rPr>
                <w:rFonts w:eastAsia="Times New Roman" w:cs="Times New Roman"/>
                <w:spacing w:val="1"/>
                <w:szCs w:val="20"/>
              </w:rPr>
              <w:t>d</w:t>
            </w:r>
            <w:r>
              <w:rPr>
                <w:rFonts w:eastAsia="Times New Roman" w:cs="Times New Roman"/>
                <w:spacing w:val="2"/>
                <w:szCs w:val="20"/>
              </w:rPr>
              <w:t>ł</w:t>
            </w:r>
            <w:r>
              <w:rPr>
                <w:rFonts w:eastAsia="Times New Roman" w:cs="Times New Roman"/>
                <w:spacing w:val="-1"/>
                <w:szCs w:val="20"/>
              </w:rPr>
              <w:t>u</w:t>
            </w:r>
            <w:r>
              <w:rPr>
                <w:rFonts w:eastAsia="Times New Roman" w:cs="Times New Roman"/>
                <w:szCs w:val="20"/>
              </w:rPr>
              <w:t>g</w:t>
            </w:r>
            <w:r>
              <w:rPr>
                <w:rFonts w:eastAsia="Times New Roman" w:cs="Times New Roman"/>
                <w:spacing w:val="-7"/>
                <w:szCs w:val="20"/>
              </w:rPr>
              <w:t xml:space="preserve"> </w:t>
            </w:r>
            <w:r>
              <w:rPr>
                <w:rFonts w:eastAsia="Times New Roman" w:cs="Times New Roman"/>
                <w:spacing w:val="2"/>
                <w:szCs w:val="20"/>
              </w:rPr>
              <w:t>P</w:t>
            </w:r>
            <w:r>
              <w:rPr>
                <w:rFonts w:eastAsia="Times New Roman" w:cs="Times New Roman"/>
                <w:spacing w:val="5"/>
                <w:szCs w:val="20"/>
              </w:rPr>
              <w:t>N</w:t>
            </w:r>
            <w:r>
              <w:rPr>
                <w:rFonts w:eastAsia="Times New Roman" w:cs="Times New Roman"/>
                <w:spacing w:val="1"/>
                <w:szCs w:val="20"/>
              </w:rPr>
              <w:t>-</w:t>
            </w:r>
            <w:r>
              <w:rPr>
                <w:rFonts w:eastAsia="Times New Roman" w:cs="Times New Roman"/>
                <w:szCs w:val="20"/>
              </w:rPr>
              <w:t xml:space="preserve">EN </w:t>
            </w:r>
            <w:r>
              <w:rPr>
                <w:rFonts w:eastAsia="Times New Roman" w:cs="Times New Roman"/>
                <w:spacing w:val="1"/>
                <w:szCs w:val="20"/>
              </w:rPr>
              <w:t>933</w:t>
            </w:r>
            <w:r>
              <w:rPr>
                <w:rFonts w:eastAsia="Times New Roman" w:cs="Times New Roman"/>
                <w:spacing w:val="-2"/>
                <w:szCs w:val="20"/>
              </w:rPr>
              <w:t>-</w:t>
            </w:r>
            <w:r>
              <w:rPr>
                <w:rFonts w:eastAsia="Times New Roman" w:cs="Times New Roman"/>
                <w:spacing w:val="1"/>
                <w:szCs w:val="20"/>
              </w:rPr>
              <w:t>1</w:t>
            </w:r>
            <w:r>
              <w:rPr>
                <w:rFonts w:eastAsia="Times New Roman" w:cs="Times New Roman"/>
                <w:szCs w:val="20"/>
              </w:rPr>
              <w:t>,</w:t>
            </w:r>
            <w:r>
              <w:rPr>
                <w:rFonts w:eastAsia="Times New Roman" w:cs="Times New Roman"/>
                <w:spacing w:val="-4"/>
                <w:szCs w:val="20"/>
              </w:rPr>
              <w:t xml:space="preserve"> </w:t>
            </w:r>
            <w:r>
              <w:rPr>
                <w:rFonts w:eastAsia="Times New Roman" w:cs="Times New Roman"/>
                <w:spacing w:val="-1"/>
                <w:szCs w:val="20"/>
              </w:rPr>
              <w:t>k</w:t>
            </w:r>
            <w:r>
              <w:rPr>
                <w:rFonts w:eastAsia="Times New Roman" w:cs="Times New Roman"/>
                <w:szCs w:val="20"/>
              </w:rPr>
              <w:t>ate</w:t>
            </w:r>
            <w:r>
              <w:rPr>
                <w:rFonts w:eastAsia="Times New Roman" w:cs="Times New Roman"/>
                <w:spacing w:val="-1"/>
                <w:szCs w:val="20"/>
              </w:rPr>
              <w:t>g</w:t>
            </w:r>
            <w:r>
              <w:rPr>
                <w:rFonts w:eastAsia="Times New Roman" w:cs="Times New Roman"/>
                <w:spacing w:val="1"/>
                <w:szCs w:val="20"/>
              </w:rPr>
              <w:t>or</w:t>
            </w:r>
            <w:r>
              <w:rPr>
                <w:rFonts w:eastAsia="Times New Roman" w:cs="Times New Roman"/>
                <w:szCs w:val="20"/>
              </w:rPr>
              <w:t>ia</w:t>
            </w:r>
            <w:r>
              <w:rPr>
                <w:rFonts w:eastAsia="Times New Roman" w:cs="Times New Roman"/>
                <w:spacing w:val="-7"/>
                <w:szCs w:val="20"/>
              </w:rPr>
              <w:t xml:space="preserve"> </w:t>
            </w:r>
            <w:r>
              <w:rPr>
                <w:rFonts w:eastAsia="Times New Roman" w:cs="Times New Roman"/>
                <w:spacing w:val="-1"/>
                <w:szCs w:val="20"/>
              </w:rPr>
              <w:t>n</w:t>
            </w:r>
            <w:r>
              <w:rPr>
                <w:rFonts w:eastAsia="Times New Roman" w:cs="Times New Roman"/>
                <w:szCs w:val="20"/>
              </w:rPr>
              <w:t>ie</w:t>
            </w:r>
            <w:r>
              <w:rPr>
                <w:rFonts w:eastAsia="Times New Roman" w:cs="Times New Roman"/>
                <w:spacing w:val="1"/>
                <w:szCs w:val="20"/>
              </w:rPr>
              <w:t xml:space="preserve"> </w:t>
            </w:r>
            <w:r>
              <w:rPr>
                <w:rFonts w:eastAsia="Times New Roman" w:cs="Times New Roman"/>
                <w:spacing w:val="-2"/>
                <w:szCs w:val="20"/>
              </w:rPr>
              <w:t>w</w:t>
            </w:r>
            <w:r>
              <w:rPr>
                <w:rFonts w:eastAsia="Times New Roman" w:cs="Times New Roman"/>
                <w:spacing w:val="-1"/>
                <w:szCs w:val="20"/>
              </w:rPr>
              <w:t>y</w:t>
            </w:r>
            <w:r>
              <w:rPr>
                <w:rFonts w:eastAsia="Times New Roman" w:cs="Times New Roman"/>
                <w:spacing w:val="3"/>
                <w:szCs w:val="20"/>
              </w:rPr>
              <w:t>ż</w:t>
            </w:r>
            <w:r>
              <w:rPr>
                <w:rFonts w:eastAsia="Times New Roman" w:cs="Times New Roman"/>
                <w:spacing w:val="-1"/>
                <w:szCs w:val="20"/>
              </w:rPr>
              <w:t>s</w:t>
            </w:r>
            <w:r>
              <w:rPr>
                <w:rFonts w:eastAsia="Times New Roman" w:cs="Times New Roman"/>
                <w:szCs w:val="20"/>
              </w:rPr>
              <w:t>za</w:t>
            </w:r>
            <w:r>
              <w:rPr>
                <w:rFonts w:eastAsia="Times New Roman" w:cs="Times New Roman"/>
                <w:spacing w:val="-5"/>
                <w:szCs w:val="20"/>
              </w:rPr>
              <w:t xml:space="preserve"> </w:t>
            </w:r>
            <w:r>
              <w:rPr>
                <w:rFonts w:eastAsia="Times New Roman" w:cs="Times New Roman"/>
                <w:spacing w:val="1"/>
                <w:szCs w:val="20"/>
              </w:rPr>
              <w:t>n</w:t>
            </w:r>
            <w:r>
              <w:rPr>
                <w:rFonts w:eastAsia="Times New Roman" w:cs="Times New Roman"/>
                <w:spacing w:val="2"/>
                <w:szCs w:val="20"/>
              </w:rPr>
              <w:t>i</w:t>
            </w:r>
            <w:r>
              <w:rPr>
                <w:rFonts w:eastAsia="Times New Roman" w:cs="Times New Roman"/>
                <w:szCs w:val="20"/>
              </w:rPr>
              <w:t>ż:</w:t>
            </w:r>
          </w:p>
        </w:tc>
        <w:tc>
          <w:tcPr>
            <w:tcW w:w="5534" w:type="dxa"/>
            <w:gridSpan w:val="5"/>
            <w:tcBorders>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Symbol" w:cs="Symbol"/>
                <w:spacing w:val="-1"/>
                <w:w w:val="99"/>
                <w:position w:val="3"/>
                <w:szCs w:val="20"/>
              </w:rPr>
              <w:t></w:t>
            </w:r>
            <w:r>
              <w:rPr>
                <w:rFonts w:eastAsia="Times New Roman" w:cs="Times New Roman"/>
                <w:w w:val="99"/>
                <w:szCs w:val="20"/>
              </w:rPr>
              <w:t>16</w:t>
            </w:r>
          </w:p>
        </w:tc>
      </w:tr>
      <w:tr w:rsidR="00B77F00">
        <w:tblPrEx>
          <w:tblCellMar>
            <w:top w:w="0" w:type="dxa"/>
            <w:bottom w:w="0" w:type="dxa"/>
          </w:tblCellMar>
        </w:tblPrEx>
        <w:trPr>
          <w:cantSplit/>
        </w:trPr>
        <w:tc>
          <w:tcPr>
            <w:tcW w:w="4104"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tcPr>
          <w:p w:rsidR="00B77F00" w:rsidRDefault="00865FA3">
            <w:pPr>
              <w:pStyle w:val="Standard"/>
              <w:rPr>
                <w:szCs w:val="20"/>
              </w:rPr>
            </w:pPr>
            <w:r>
              <w:rPr>
                <w:rFonts w:eastAsia="Times New Roman" w:cs="Times New Roman"/>
                <w:spacing w:val="2"/>
                <w:szCs w:val="20"/>
              </w:rPr>
              <w:t>J</w:t>
            </w:r>
            <w:r>
              <w:rPr>
                <w:rFonts w:eastAsia="Times New Roman" w:cs="Times New Roman"/>
                <w:szCs w:val="20"/>
              </w:rPr>
              <w:t>a</w:t>
            </w:r>
            <w:r>
              <w:rPr>
                <w:rFonts w:eastAsia="Times New Roman" w:cs="Times New Roman"/>
                <w:spacing w:val="-1"/>
                <w:szCs w:val="20"/>
              </w:rPr>
              <w:t>k</w:t>
            </w:r>
            <w:r>
              <w:rPr>
                <w:rFonts w:eastAsia="Times New Roman" w:cs="Times New Roman"/>
                <w:spacing w:val="1"/>
                <w:szCs w:val="20"/>
              </w:rPr>
              <w:t>o</w:t>
            </w:r>
            <w:r>
              <w:rPr>
                <w:rFonts w:eastAsia="Times New Roman" w:cs="Times New Roman"/>
                <w:spacing w:val="-1"/>
                <w:szCs w:val="20"/>
              </w:rPr>
              <w:t>ś</w:t>
            </w:r>
            <w:r>
              <w:rPr>
                <w:rFonts w:eastAsia="Times New Roman" w:cs="Times New Roman"/>
                <w:szCs w:val="20"/>
              </w:rPr>
              <w:t>ć</w:t>
            </w:r>
            <w:r>
              <w:rPr>
                <w:rFonts w:eastAsia="Times New Roman" w:cs="Times New Roman"/>
                <w:spacing w:val="-4"/>
                <w:szCs w:val="20"/>
              </w:rPr>
              <w:t xml:space="preserve"> </w:t>
            </w:r>
            <w:r>
              <w:rPr>
                <w:rFonts w:eastAsia="Times New Roman" w:cs="Times New Roman"/>
                <w:spacing w:val="1"/>
                <w:szCs w:val="20"/>
              </w:rPr>
              <w:t>p</w:t>
            </w:r>
            <w:r>
              <w:rPr>
                <w:rFonts w:eastAsia="Times New Roman" w:cs="Times New Roman"/>
                <w:spacing w:val="-1"/>
                <w:szCs w:val="20"/>
              </w:rPr>
              <w:t>y</w:t>
            </w:r>
            <w:r>
              <w:rPr>
                <w:rFonts w:eastAsia="Times New Roman" w:cs="Times New Roman"/>
                <w:szCs w:val="20"/>
              </w:rPr>
              <w:t>ł</w:t>
            </w:r>
            <w:r>
              <w:rPr>
                <w:rFonts w:eastAsia="Times New Roman" w:cs="Times New Roman"/>
                <w:spacing w:val="3"/>
                <w:szCs w:val="20"/>
              </w:rPr>
              <w:t>ó</w:t>
            </w:r>
            <w:r>
              <w:rPr>
                <w:rFonts w:eastAsia="Times New Roman" w:cs="Times New Roman"/>
                <w:szCs w:val="20"/>
              </w:rPr>
              <w:t>w</w:t>
            </w:r>
            <w:r>
              <w:rPr>
                <w:rFonts w:eastAsia="Times New Roman" w:cs="Times New Roman"/>
                <w:spacing w:val="-7"/>
                <w:szCs w:val="20"/>
              </w:rPr>
              <w:t xml:space="preserve"> </w:t>
            </w:r>
            <w:r>
              <w:rPr>
                <w:rFonts w:eastAsia="Times New Roman" w:cs="Times New Roman"/>
                <w:spacing w:val="-2"/>
                <w:szCs w:val="20"/>
              </w:rPr>
              <w:t>w</w:t>
            </w:r>
            <w:r>
              <w:rPr>
                <w:rFonts w:eastAsia="Times New Roman" w:cs="Times New Roman"/>
                <w:szCs w:val="20"/>
              </w:rPr>
              <w:t>e</w:t>
            </w:r>
            <w:r>
              <w:rPr>
                <w:rFonts w:eastAsia="Times New Roman" w:cs="Times New Roman"/>
                <w:spacing w:val="1"/>
                <w:szCs w:val="20"/>
              </w:rPr>
              <w:t>d</w:t>
            </w:r>
            <w:r>
              <w:rPr>
                <w:rFonts w:eastAsia="Times New Roman" w:cs="Times New Roman"/>
                <w:spacing w:val="2"/>
                <w:szCs w:val="20"/>
              </w:rPr>
              <w:t>ł</w:t>
            </w:r>
            <w:r>
              <w:rPr>
                <w:rFonts w:eastAsia="Times New Roman" w:cs="Times New Roman"/>
                <w:spacing w:val="1"/>
                <w:szCs w:val="20"/>
              </w:rPr>
              <w:t>u</w:t>
            </w:r>
            <w:r>
              <w:rPr>
                <w:rFonts w:eastAsia="Times New Roman" w:cs="Times New Roman"/>
                <w:szCs w:val="20"/>
              </w:rPr>
              <w:t>g</w:t>
            </w:r>
            <w:r>
              <w:rPr>
                <w:rFonts w:eastAsia="Times New Roman" w:cs="Times New Roman"/>
                <w:spacing w:val="-7"/>
                <w:szCs w:val="20"/>
              </w:rPr>
              <w:t xml:space="preserve"> </w:t>
            </w:r>
            <w:r>
              <w:rPr>
                <w:rFonts w:eastAsia="Times New Roman" w:cs="Times New Roman"/>
                <w:spacing w:val="2"/>
                <w:szCs w:val="20"/>
              </w:rPr>
              <w:t>P</w:t>
            </w:r>
            <w:r>
              <w:rPr>
                <w:rFonts w:eastAsia="Times New Roman" w:cs="Times New Roman"/>
                <w:spacing w:val="3"/>
                <w:szCs w:val="20"/>
              </w:rPr>
              <w:t>N</w:t>
            </w:r>
            <w:r>
              <w:rPr>
                <w:rFonts w:eastAsia="Times New Roman" w:cs="Times New Roman"/>
                <w:spacing w:val="-2"/>
                <w:szCs w:val="20"/>
              </w:rPr>
              <w:t>-</w:t>
            </w:r>
            <w:r>
              <w:rPr>
                <w:rFonts w:eastAsia="Times New Roman" w:cs="Times New Roman"/>
                <w:szCs w:val="20"/>
              </w:rPr>
              <w:t>EN</w:t>
            </w:r>
            <w:r>
              <w:rPr>
                <w:rFonts w:eastAsia="Times New Roman" w:cs="Times New Roman"/>
                <w:spacing w:val="-3"/>
                <w:szCs w:val="20"/>
              </w:rPr>
              <w:t xml:space="preserve"> </w:t>
            </w:r>
            <w:r>
              <w:rPr>
                <w:rFonts w:eastAsia="Times New Roman" w:cs="Times New Roman"/>
                <w:spacing w:val="1"/>
                <w:szCs w:val="20"/>
              </w:rPr>
              <w:t>93</w:t>
            </w:r>
            <w:r>
              <w:rPr>
                <w:rFonts w:eastAsia="Times New Roman" w:cs="Times New Roman"/>
                <w:spacing w:val="2"/>
                <w:szCs w:val="20"/>
              </w:rPr>
              <w:t>3</w:t>
            </w:r>
            <w:r>
              <w:rPr>
                <w:rFonts w:eastAsia="Times New Roman" w:cs="Times New Roman"/>
                <w:spacing w:val="-2"/>
                <w:szCs w:val="20"/>
              </w:rPr>
              <w:t>-</w:t>
            </w:r>
            <w:r>
              <w:rPr>
                <w:rFonts w:eastAsia="Times New Roman" w:cs="Times New Roman"/>
                <w:spacing w:val="1"/>
                <w:szCs w:val="20"/>
              </w:rPr>
              <w:t>9</w:t>
            </w:r>
            <w:r>
              <w:rPr>
                <w:rFonts w:eastAsia="Times New Roman" w:cs="Times New Roman"/>
                <w:szCs w:val="20"/>
              </w:rPr>
              <w:t>;</w:t>
            </w:r>
          </w:p>
          <w:p w:rsidR="00B77F00" w:rsidRDefault="00865FA3">
            <w:pPr>
              <w:pStyle w:val="Standard"/>
              <w:rPr>
                <w:szCs w:val="20"/>
              </w:rPr>
            </w:pPr>
            <w:r>
              <w:rPr>
                <w:rFonts w:eastAsia="Times New Roman" w:cs="Times New Roman"/>
                <w:spacing w:val="-1"/>
                <w:szCs w:val="20"/>
              </w:rPr>
              <w:t>k</w:t>
            </w:r>
            <w:r>
              <w:rPr>
                <w:rFonts w:eastAsia="Times New Roman" w:cs="Times New Roman"/>
                <w:szCs w:val="20"/>
              </w:rPr>
              <w:t>ate</w:t>
            </w:r>
            <w:r>
              <w:rPr>
                <w:rFonts w:eastAsia="Times New Roman" w:cs="Times New Roman"/>
                <w:spacing w:val="-1"/>
                <w:szCs w:val="20"/>
              </w:rPr>
              <w:t>g</w:t>
            </w:r>
            <w:r>
              <w:rPr>
                <w:rFonts w:eastAsia="Times New Roman" w:cs="Times New Roman"/>
                <w:spacing w:val="1"/>
                <w:szCs w:val="20"/>
              </w:rPr>
              <w:t>or</w:t>
            </w:r>
            <w:r>
              <w:rPr>
                <w:rFonts w:eastAsia="Times New Roman" w:cs="Times New Roman"/>
                <w:szCs w:val="20"/>
              </w:rPr>
              <w:t>ia</w:t>
            </w:r>
            <w:r>
              <w:rPr>
                <w:rFonts w:eastAsia="Times New Roman" w:cs="Times New Roman"/>
                <w:spacing w:val="-4"/>
                <w:szCs w:val="20"/>
              </w:rPr>
              <w:t xml:space="preserve"> </w:t>
            </w:r>
            <w:r>
              <w:rPr>
                <w:rFonts w:eastAsia="Times New Roman" w:cs="Times New Roman"/>
                <w:spacing w:val="-1"/>
                <w:szCs w:val="20"/>
              </w:rPr>
              <w:t>n</w:t>
            </w:r>
            <w:r>
              <w:rPr>
                <w:rFonts w:eastAsia="Times New Roman" w:cs="Times New Roman"/>
                <w:szCs w:val="20"/>
              </w:rPr>
              <w:t>ie</w:t>
            </w:r>
            <w:r>
              <w:rPr>
                <w:rFonts w:eastAsia="Times New Roman" w:cs="Times New Roman"/>
                <w:spacing w:val="1"/>
                <w:szCs w:val="20"/>
              </w:rPr>
              <w:t xml:space="preserve"> </w:t>
            </w:r>
            <w:r>
              <w:rPr>
                <w:rFonts w:eastAsia="Times New Roman" w:cs="Times New Roman"/>
                <w:spacing w:val="-2"/>
                <w:szCs w:val="20"/>
              </w:rPr>
              <w:t>w</w:t>
            </w:r>
            <w:r>
              <w:rPr>
                <w:rFonts w:eastAsia="Times New Roman" w:cs="Times New Roman"/>
                <w:spacing w:val="-1"/>
                <w:szCs w:val="20"/>
              </w:rPr>
              <w:t>y</w:t>
            </w:r>
            <w:r>
              <w:rPr>
                <w:rFonts w:eastAsia="Times New Roman" w:cs="Times New Roman"/>
                <w:spacing w:val="3"/>
                <w:szCs w:val="20"/>
              </w:rPr>
              <w:t>ż</w:t>
            </w:r>
            <w:r>
              <w:rPr>
                <w:rFonts w:eastAsia="Times New Roman" w:cs="Times New Roman"/>
                <w:spacing w:val="-1"/>
                <w:szCs w:val="20"/>
              </w:rPr>
              <w:t>s</w:t>
            </w:r>
            <w:r>
              <w:rPr>
                <w:rFonts w:eastAsia="Times New Roman" w:cs="Times New Roman"/>
                <w:szCs w:val="20"/>
              </w:rPr>
              <w:t>za</w:t>
            </w:r>
            <w:r>
              <w:rPr>
                <w:rFonts w:eastAsia="Times New Roman" w:cs="Times New Roman"/>
                <w:spacing w:val="-5"/>
                <w:szCs w:val="20"/>
              </w:rPr>
              <w:t xml:space="preserve"> </w:t>
            </w:r>
            <w:r>
              <w:rPr>
                <w:rFonts w:eastAsia="Times New Roman" w:cs="Times New Roman"/>
                <w:spacing w:val="-1"/>
                <w:szCs w:val="20"/>
              </w:rPr>
              <w:t>n</w:t>
            </w:r>
            <w:r>
              <w:rPr>
                <w:rFonts w:eastAsia="Times New Roman" w:cs="Times New Roman"/>
                <w:szCs w:val="20"/>
              </w:rPr>
              <w:t>i</w:t>
            </w:r>
            <w:r>
              <w:rPr>
                <w:rFonts w:eastAsia="Times New Roman" w:cs="Times New Roman"/>
                <w:spacing w:val="2"/>
                <w:szCs w:val="20"/>
              </w:rPr>
              <w:t>ż</w:t>
            </w:r>
            <w:r>
              <w:rPr>
                <w:rFonts w:eastAsia="Times New Roman" w:cs="Times New Roman"/>
                <w:szCs w:val="20"/>
              </w:rPr>
              <w:t>:</w:t>
            </w:r>
          </w:p>
        </w:tc>
        <w:tc>
          <w:tcPr>
            <w:tcW w:w="5534" w:type="dxa"/>
            <w:gridSpan w:val="5"/>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1"/>
                <w:w w:val="99"/>
                <w:szCs w:val="20"/>
              </w:rPr>
              <w:t>M</w:t>
            </w:r>
            <w:r>
              <w:rPr>
                <w:rFonts w:eastAsia="Times New Roman" w:cs="Times New Roman"/>
                <w:spacing w:val="2"/>
                <w:w w:val="99"/>
                <w:szCs w:val="20"/>
              </w:rPr>
              <w:t>B</w:t>
            </w:r>
            <w:r>
              <w:rPr>
                <w:rFonts w:eastAsia="Times New Roman" w:cs="Times New Roman"/>
                <w:w w:val="99"/>
                <w:position w:val="-5"/>
                <w:szCs w:val="20"/>
              </w:rPr>
              <w:t>F</w:t>
            </w:r>
            <w:r>
              <w:rPr>
                <w:rFonts w:eastAsia="Times New Roman" w:cs="Times New Roman"/>
                <w:spacing w:val="1"/>
                <w:w w:val="99"/>
                <w:szCs w:val="20"/>
              </w:rPr>
              <w:t>10</w:t>
            </w:r>
          </w:p>
        </w:tc>
      </w:tr>
      <w:tr w:rsidR="00B77F00">
        <w:tblPrEx>
          <w:tblCellMar>
            <w:top w:w="0" w:type="dxa"/>
            <w:bottom w:w="0" w:type="dxa"/>
          </w:tblCellMar>
        </w:tblPrEx>
        <w:trPr>
          <w:cantSplit/>
        </w:trPr>
        <w:tc>
          <w:tcPr>
            <w:tcW w:w="4104"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tcPr>
          <w:p w:rsidR="00B77F00" w:rsidRDefault="00865FA3">
            <w:pPr>
              <w:pStyle w:val="Standard"/>
              <w:rPr>
                <w:szCs w:val="20"/>
              </w:rPr>
            </w:pPr>
            <w:r>
              <w:rPr>
                <w:rFonts w:eastAsia="Times New Roman" w:cs="Times New Roman"/>
                <w:szCs w:val="20"/>
              </w:rPr>
              <w:t>Ka</w:t>
            </w:r>
            <w:r>
              <w:rPr>
                <w:rFonts w:eastAsia="Times New Roman" w:cs="Times New Roman"/>
                <w:spacing w:val="-1"/>
                <w:szCs w:val="20"/>
              </w:rPr>
              <w:t>n</w:t>
            </w:r>
            <w:r>
              <w:rPr>
                <w:rFonts w:eastAsia="Times New Roman" w:cs="Times New Roman"/>
                <w:szCs w:val="20"/>
              </w:rPr>
              <w:t>cia</w:t>
            </w:r>
            <w:r>
              <w:rPr>
                <w:rFonts w:eastAsia="Times New Roman" w:cs="Times New Roman"/>
                <w:spacing w:val="2"/>
                <w:szCs w:val="20"/>
              </w:rPr>
              <w:t>s</w:t>
            </w:r>
            <w:r>
              <w:rPr>
                <w:rFonts w:eastAsia="Times New Roman" w:cs="Times New Roman"/>
                <w:szCs w:val="20"/>
              </w:rPr>
              <w:t>t</w:t>
            </w:r>
            <w:r>
              <w:rPr>
                <w:rFonts w:eastAsia="Times New Roman" w:cs="Times New Roman"/>
                <w:spacing w:val="1"/>
                <w:szCs w:val="20"/>
              </w:rPr>
              <w:t>o</w:t>
            </w:r>
            <w:r>
              <w:rPr>
                <w:rFonts w:eastAsia="Times New Roman" w:cs="Times New Roman"/>
                <w:spacing w:val="-1"/>
                <w:szCs w:val="20"/>
              </w:rPr>
              <w:t>ś</w:t>
            </w:r>
            <w:r>
              <w:rPr>
                <w:rFonts w:eastAsia="Times New Roman" w:cs="Times New Roman"/>
                <w:szCs w:val="20"/>
              </w:rPr>
              <w:t>ć</w:t>
            </w:r>
            <w:r>
              <w:rPr>
                <w:rFonts w:eastAsia="Times New Roman" w:cs="Times New Roman"/>
                <w:spacing w:val="-9"/>
                <w:szCs w:val="20"/>
              </w:rPr>
              <w:t xml:space="preserve"> </w:t>
            </w:r>
            <w:r>
              <w:rPr>
                <w:rFonts w:eastAsia="Times New Roman" w:cs="Times New Roman"/>
                <w:spacing w:val="-1"/>
                <w:szCs w:val="20"/>
              </w:rPr>
              <w:t>k</w:t>
            </w:r>
            <w:r>
              <w:rPr>
                <w:rFonts w:eastAsia="Times New Roman" w:cs="Times New Roman"/>
                <w:spacing w:val="3"/>
                <w:szCs w:val="20"/>
              </w:rPr>
              <w:t>r</w:t>
            </w:r>
            <w:r>
              <w:rPr>
                <w:rFonts w:eastAsia="Times New Roman" w:cs="Times New Roman"/>
                <w:spacing w:val="-1"/>
                <w:szCs w:val="20"/>
              </w:rPr>
              <w:t>us</w:t>
            </w:r>
            <w:r>
              <w:rPr>
                <w:rFonts w:eastAsia="Times New Roman" w:cs="Times New Roman"/>
                <w:spacing w:val="3"/>
                <w:szCs w:val="20"/>
              </w:rPr>
              <w:t>z</w:t>
            </w:r>
            <w:r>
              <w:rPr>
                <w:rFonts w:eastAsia="Times New Roman" w:cs="Times New Roman"/>
                <w:spacing w:val="1"/>
                <w:szCs w:val="20"/>
              </w:rPr>
              <w:t>y</w:t>
            </w:r>
            <w:r>
              <w:rPr>
                <w:rFonts w:eastAsia="Times New Roman" w:cs="Times New Roman"/>
                <w:spacing w:val="-2"/>
                <w:szCs w:val="20"/>
              </w:rPr>
              <w:t>w</w:t>
            </w:r>
            <w:r>
              <w:rPr>
                <w:rFonts w:eastAsia="Times New Roman" w:cs="Times New Roman"/>
                <w:szCs w:val="20"/>
              </w:rPr>
              <w:t>a</w:t>
            </w:r>
            <w:r>
              <w:rPr>
                <w:rFonts w:eastAsia="Times New Roman" w:cs="Times New Roman"/>
                <w:spacing w:val="-7"/>
                <w:szCs w:val="20"/>
              </w:rPr>
              <w:t xml:space="preserve"> </w:t>
            </w:r>
            <w:r>
              <w:rPr>
                <w:rFonts w:eastAsia="Times New Roman" w:cs="Times New Roman"/>
                <w:spacing w:val="1"/>
                <w:szCs w:val="20"/>
              </w:rPr>
              <w:t>drob</w:t>
            </w:r>
            <w:r>
              <w:rPr>
                <w:rFonts w:eastAsia="Times New Roman" w:cs="Times New Roman"/>
                <w:spacing w:val="-1"/>
                <w:szCs w:val="20"/>
              </w:rPr>
              <w:t>n</w:t>
            </w:r>
            <w:r>
              <w:rPr>
                <w:rFonts w:eastAsia="Times New Roman" w:cs="Times New Roman"/>
                <w:szCs w:val="20"/>
              </w:rPr>
              <w:t>e</w:t>
            </w:r>
            <w:r>
              <w:rPr>
                <w:rFonts w:eastAsia="Times New Roman" w:cs="Times New Roman"/>
                <w:spacing w:val="-1"/>
                <w:szCs w:val="20"/>
              </w:rPr>
              <w:t>g</w:t>
            </w:r>
            <w:r>
              <w:rPr>
                <w:rFonts w:eastAsia="Times New Roman" w:cs="Times New Roman"/>
                <w:szCs w:val="20"/>
              </w:rPr>
              <w:t>o</w:t>
            </w:r>
            <w:r>
              <w:rPr>
                <w:rFonts w:eastAsia="Times New Roman" w:cs="Times New Roman"/>
                <w:spacing w:val="-7"/>
                <w:szCs w:val="20"/>
              </w:rPr>
              <w:t xml:space="preserve"> </w:t>
            </w:r>
            <w:r>
              <w:rPr>
                <w:rFonts w:eastAsia="Times New Roman" w:cs="Times New Roman"/>
                <w:szCs w:val="20"/>
              </w:rPr>
              <w:t>l</w:t>
            </w:r>
            <w:r>
              <w:rPr>
                <w:rFonts w:eastAsia="Times New Roman" w:cs="Times New Roman"/>
                <w:spacing w:val="-1"/>
                <w:szCs w:val="20"/>
              </w:rPr>
              <w:t>u</w:t>
            </w:r>
            <w:r>
              <w:rPr>
                <w:rFonts w:eastAsia="Times New Roman" w:cs="Times New Roman"/>
                <w:szCs w:val="20"/>
              </w:rPr>
              <w:t xml:space="preserve">b </w:t>
            </w:r>
            <w:r>
              <w:rPr>
                <w:rFonts w:eastAsia="Times New Roman" w:cs="Times New Roman"/>
                <w:spacing w:val="-1"/>
                <w:szCs w:val="20"/>
              </w:rPr>
              <w:t>k</w:t>
            </w:r>
            <w:r>
              <w:rPr>
                <w:rFonts w:eastAsia="Times New Roman" w:cs="Times New Roman"/>
                <w:spacing w:val="1"/>
                <w:szCs w:val="20"/>
              </w:rPr>
              <w:t>ru</w:t>
            </w:r>
            <w:r>
              <w:rPr>
                <w:rFonts w:eastAsia="Times New Roman" w:cs="Times New Roman"/>
                <w:spacing w:val="-1"/>
                <w:szCs w:val="20"/>
              </w:rPr>
              <w:t>s</w:t>
            </w:r>
            <w:r>
              <w:rPr>
                <w:rFonts w:eastAsia="Times New Roman" w:cs="Times New Roman"/>
                <w:spacing w:val="3"/>
                <w:szCs w:val="20"/>
              </w:rPr>
              <w:t>z</w:t>
            </w:r>
            <w:r>
              <w:rPr>
                <w:rFonts w:eastAsia="Times New Roman" w:cs="Times New Roman"/>
                <w:spacing w:val="-1"/>
                <w:szCs w:val="20"/>
              </w:rPr>
              <w:t>y</w:t>
            </w:r>
            <w:r>
              <w:rPr>
                <w:rFonts w:eastAsia="Times New Roman" w:cs="Times New Roman"/>
                <w:spacing w:val="-2"/>
                <w:szCs w:val="20"/>
              </w:rPr>
              <w:t>w</w:t>
            </w:r>
            <w:r>
              <w:rPr>
                <w:rFonts w:eastAsia="Times New Roman" w:cs="Times New Roman"/>
                <w:szCs w:val="20"/>
              </w:rPr>
              <w:t>a</w:t>
            </w:r>
            <w:r>
              <w:rPr>
                <w:rFonts w:eastAsia="Times New Roman" w:cs="Times New Roman"/>
                <w:spacing w:val="-7"/>
                <w:szCs w:val="20"/>
              </w:rPr>
              <w:t xml:space="preserve"> </w:t>
            </w:r>
            <w:r>
              <w:rPr>
                <w:rFonts w:eastAsia="Times New Roman" w:cs="Times New Roman"/>
                <w:spacing w:val="1"/>
                <w:szCs w:val="20"/>
              </w:rPr>
              <w:t>0</w:t>
            </w:r>
            <w:r>
              <w:rPr>
                <w:rFonts w:eastAsia="Times New Roman" w:cs="Times New Roman"/>
                <w:szCs w:val="20"/>
              </w:rPr>
              <w:t xml:space="preserve">/2 </w:t>
            </w:r>
            <w:r>
              <w:rPr>
                <w:rFonts w:eastAsia="Times New Roman" w:cs="Times New Roman"/>
                <w:spacing w:val="-2"/>
                <w:szCs w:val="20"/>
              </w:rPr>
              <w:t>w</w:t>
            </w:r>
            <w:r>
              <w:rPr>
                <w:rFonts w:eastAsia="Times New Roman" w:cs="Times New Roman"/>
                <w:spacing w:val="-1"/>
                <w:szCs w:val="20"/>
              </w:rPr>
              <w:t>y</w:t>
            </w:r>
            <w:r>
              <w:rPr>
                <w:rFonts w:eastAsia="Times New Roman" w:cs="Times New Roman"/>
                <w:spacing w:val="1"/>
                <w:szCs w:val="20"/>
              </w:rPr>
              <w:t>d</w:t>
            </w:r>
            <w:r>
              <w:rPr>
                <w:rFonts w:eastAsia="Times New Roman" w:cs="Times New Roman"/>
                <w:szCs w:val="20"/>
              </w:rPr>
              <w:t>ziel</w:t>
            </w:r>
            <w:r>
              <w:rPr>
                <w:rFonts w:eastAsia="Times New Roman" w:cs="Times New Roman"/>
                <w:spacing w:val="4"/>
                <w:szCs w:val="20"/>
              </w:rPr>
              <w:t>o</w:t>
            </w:r>
            <w:r>
              <w:rPr>
                <w:rFonts w:eastAsia="Times New Roman" w:cs="Times New Roman"/>
                <w:spacing w:val="-1"/>
                <w:szCs w:val="20"/>
              </w:rPr>
              <w:t>n</w:t>
            </w:r>
            <w:r>
              <w:rPr>
                <w:rFonts w:eastAsia="Times New Roman" w:cs="Times New Roman"/>
                <w:szCs w:val="20"/>
              </w:rPr>
              <w:t>e</w:t>
            </w:r>
            <w:r>
              <w:rPr>
                <w:rFonts w:eastAsia="Times New Roman" w:cs="Times New Roman"/>
                <w:spacing w:val="-1"/>
                <w:szCs w:val="20"/>
              </w:rPr>
              <w:t>g</w:t>
            </w:r>
            <w:r>
              <w:rPr>
                <w:rFonts w:eastAsia="Times New Roman" w:cs="Times New Roman"/>
                <w:szCs w:val="20"/>
              </w:rPr>
              <w:t>o</w:t>
            </w:r>
            <w:r>
              <w:rPr>
                <w:rFonts w:eastAsia="Times New Roman" w:cs="Times New Roman"/>
                <w:spacing w:val="-10"/>
                <w:szCs w:val="20"/>
              </w:rPr>
              <w:t xml:space="preserve"> </w:t>
            </w:r>
            <w:r>
              <w:rPr>
                <w:rFonts w:eastAsia="Times New Roman" w:cs="Times New Roman"/>
                <w:szCs w:val="20"/>
              </w:rPr>
              <w:t xml:space="preserve">z </w:t>
            </w:r>
            <w:r>
              <w:rPr>
                <w:rFonts w:eastAsia="Times New Roman" w:cs="Times New Roman"/>
                <w:spacing w:val="-1"/>
                <w:szCs w:val="20"/>
              </w:rPr>
              <w:t>k</w:t>
            </w:r>
            <w:r>
              <w:rPr>
                <w:rFonts w:eastAsia="Times New Roman" w:cs="Times New Roman"/>
                <w:spacing w:val="1"/>
                <w:szCs w:val="20"/>
              </w:rPr>
              <w:t>ru</w:t>
            </w:r>
            <w:r>
              <w:rPr>
                <w:rFonts w:eastAsia="Times New Roman" w:cs="Times New Roman"/>
                <w:spacing w:val="-1"/>
                <w:szCs w:val="20"/>
              </w:rPr>
              <w:t>s</w:t>
            </w:r>
            <w:r>
              <w:rPr>
                <w:rFonts w:eastAsia="Times New Roman" w:cs="Times New Roman"/>
                <w:spacing w:val="3"/>
                <w:szCs w:val="20"/>
              </w:rPr>
              <w:t>z</w:t>
            </w:r>
            <w:r>
              <w:rPr>
                <w:rFonts w:eastAsia="Times New Roman" w:cs="Times New Roman"/>
                <w:spacing w:val="-1"/>
                <w:szCs w:val="20"/>
              </w:rPr>
              <w:t>y</w:t>
            </w:r>
            <w:r>
              <w:rPr>
                <w:rFonts w:eastAsia="Times New Roman" w:cs="Times New Roman"/>
                <w:spacing w:val="-2"/>
                <w:szCs w:val="20"/>
              </w:rPr>
              <w:t>w</w:t>
            </w:r>
            <w:r>
              <w:rPr>
                <w:rFonts w:eastAsia="Times New Roman" w:cs="Times New Roman"/>
                <w:szCs w:val="20"/>
              </w:rPr>
              <w:t>a</w:t>
            </w:r>
            <w:r>
              <w:rPr>
                <w:rFonts w:eastAsia="Times New Roman" w:cs="Times New Roman"/>
                <w:spacing w:val="-7"/>
                <w:szCs w:val="20"/>
              </w:rPr>
              <w:t xml:space="preserve"> </w:t>
            </w:r>
            <w:r>
              <w:rPr>
                <w:rFonts w:eastAsia="Times New Roman" w:cs="Times New Roman"/>
                <w:szCs w:val="20"/>
              </w:rPr>
              <w:t>o ci</w:t>
            </w:r>
            <w:r>
              <w:rPr>
                <w:rFonts w:eastAsia="Times New Roman" w:cs="Times New Roman"/>
                <w:spacing w:val="3"/>
                <w:szCs w:val="20"/>
              </w:rPr>
              <w:t>ą</w:t>
            </w:r>
            <w:r>
              <w:rPr>
                <w:rFonts w:eastAsia="Times New Roman" w:cs="Times New Roman"/>
                <w:spacing w:val="-1"/>
                <w:szCs w:val="20"/>
              </w:rPr>
              <w:t>g</w:t>
            </w:r>
            <w:r>
              <w:rPr>
                <w:rFonts w:eastAsia="Times New Roman" w:cs="Times New Roman"/>
                <w:spacing w:val="2"/>
                <w:szCs w:val="20"/>
              </w:rPr>
              <w:t>ł</w:t>
            </w:r>
            <w:r>
              <w:rPr>
                <w:rFonts w:eastAsia="Times New Roman" w:cs="Times New Roman"/>
                <w:spacing w:val="-1"/>
                <w:szCs w:val="20"/>
              </w:rPr>
              <w:t>y</w:t>
            </w:r>
            <w:r>
              <w:rPr>
                <w:rFonts w:eastAsia="Times New Roman" w:cs="Times New Roman"/>
                <w:szCs w:val="20"/>
              </w:rPr>
              <w:t>m</w:t>
            </w:r>
            <w:r>
              <w:rPr>
                <w:rFonts w:eastAsia="Times New Roman" w:cs="Times New Roman"/>
                <w:spacing w:val="-5"/>
                <w:szCs w:val="20"/>
              </w:rPr>
              <w:t xml:space="preserve"> </w:t>
            </w:r>
            <w:r>
              <w:rPr>
                <w:rFonts w:eastAsia="Times New Roman" w:cs="Times New Roman"/>
                <w:spacing w:val="-1"/>
                <w:szCs w:val="20"/>
              </w:rPr>
              <w:t>u</w:t>
            </w:r>
            <w:r>
              <w:rPr>
                <w:rFonts w:eastAsia="Times New Roman" w:cs="Times New Roman"/>
                <w:szCs w:val="20"/>
              </w:rPr>
              <w:t>zia</w:t>
            </w:r>
            <w:r>
              <w:rPr>
                <w:rFonts w:eastAsia="Times New Roman" w:cs="Times New Roman"/>
                <w:spacing w:val="1"/>
                <w:szCs w:val="20"/>
              </w:rPr>
              <w:t>r</w:t>
            </w:r>
            <w:r>
              <w:rPr>
                <w:rFonts w:eastAsia="Times New Roman" w:cs="Times New Roman"/>
                <w:spacing w:val="-1"/>
                <w:szCs w:val="20"/>
              </w:rPr>
              <w:t>n</w:t>
            </w:r>
            <w:r>
              <w:rPr>
                <w:rFonts w:eastAsia="Times New Roman" w:cs="Times New Roman"/>
                <w:szCs w:val="20"/>
              </w:rPr>
              <w:t>i</w:t>
            </w:r>
            <w:r>
              <w:rPr>
                <w:rFonts w:eastAsia="Times New Roman" w:cs="Times New Roman"/>
                <w:spacing w:val="2"/>
                <w:szCs w:val="20"/>
              </w:rPr>
              <w:t>e</w:t>
            </w:r>
            <w:r>
              <w:rPr>
                <w:rFonts w:eastAsia="Times New Roman" w:cs="Times New Roman"/>
                <w:spacing w:val="1"/>
                <w:szCs w:val="20"/>
              </w:rPr>
              <w:t>n</w:t>
            </w:r>
            <w:r>
              <w:rPr>
                <w:rFonts w:eastAsia="Times New Roman" w:cs="Times New Roman"/>
                <w:szCs w:val="20"/>
              </w:rPr>
              <w:t xml:space="preserve">iu </w:t>
            </w:r>
            <w:r>
              <w:rPr>
                <w:rFonts w:eastAsia="Times New Roman" w:cs="Times New Roman"/>
                <w:spacing w:val="-2"/>
                <w:szCs w:val="20"/>
              </w:rPr>
              <w:t>w</w:t>
            </w:r>
            <w:r>
              <w:rPr>
                <w:rFonts w:eastAsia="Times New Roman" w:cs="Times New Roman"/>
                <w:szCs w:val="20"/>
              </w:rPr>
              <w:t>e</w:t>
            </w:r>
            <w:r>
              <w:rPr>
                <w:rFonts w:eastAsia="Times New Roman" w:cs="Times New Roman"/>
                <w:spacing w:val="1"/>
                <w:szCs w:val="20"/>
              </w:rPr>
              <w:t>d</w:t>
            </w:r>
            <w:r>
              <w:rPr>
                <w:rFonts w:eastAsia="Times New Roman" w:cs="Times New Roman"/>
                <w:spacing w:val="2"/>
                <w:szCs w:val="20"/>
              </w:rPr>
              <w:t>ł</w:t>
            </w:r>
            <w:r>
              <w:rPr>
                <w:rFonts w:eastAsia="Times New Roman" w:cs="Times New Roman"/>
                <w:spacing w:val="-1"/>
                <w:szCs w:val="20"/>
              </w:rPr>
              <w:t>u</w:t>
            </w:r>
            <w:r>
              <w:rPr>
                <w:rFonts w:eastAsia="Times New Roman" w:cs="Times New Roman"/>
                <w:szCs w:val="20"/>
              </w:rPr>
              <w:t>g</w:t>
            </w:r>
            <w:r>
              <w:rPr>
                <w:rFonts w:eastAsia="Times New Roman" w:cs="Times New Roman"/>
                <w:spacing w:val="-7"/>
                <w:szCs w:val="20"/>
              </w:rPr>
              <w:t xml:space="preserve"> </w:t>
            </w:r>
            <w:r>
              <w:rPr>
                <w:rFonts w:eastAsia="Times New Roman" w:cs="Times New Roman"/>
                <w:spacing w:val="2"/>
                <w:szCs w:val="20"/>
              </w:rPr>
              <w:t>P</w:t>
            </w:r>
            <w:r>
              <w:rPr>
                <w:rFonts w:eastAsia="Times New Roman" w:cs="Times New Roman"/>
                <w:spacing w:val="1"/>
                <w:szCs w:val="20"/>
              </w:rPr>
              <w:t>N</w:t>
            </w:r>
            <w:r>
              <w:rPr>
                <w:rFonts w:eastAsia="Times New Roman" w:cs="Times New Roman"/>
                <w:spacing w:val="-2"/>
                <w:szCs w:val="20"/>
              </w:rPr>
              <w:t>-</w:t>
            </w:r>
            <w:r>
              <w:rPr>
                <w:rFonts w:eastAsia="Times New Roman" w:cs="Times New Roman"/>
                <w:spacing w:val="3"/>
                <w:szCs w:val="20"/>
              </w:rPr>
              <w:t>E</w:t>
            </w:r>
            <w:r>
              <w:rPr>
                <w:rFonts w:eastAsia="Times New Roman" w:cs="Times New Roman"/>
                <w:szCs w:val="20"/>
              </w:rPr>
              <w:t>N</w:t>
            </w:r>
            <w:r>
              <w:rPr>
                <w:rFonts w:eastAsia="Times New Roman" w:cs="Times New Roman"/>
                <w:spacing w:val="-5"/>
                <w:szCs w:val="20"/>
              </w:rPr>
              <w:t xml:space="preserve"> </w:t>
            </w:r>
            <w:r>
              <w:rPr>
                <w:rFonts w:eastAsia="Times New Roman" w:cs="Times New Roman"/>
                <w:spacing w:val="1"/>
                <w:szCs w:val="20"/>
              </w:rPr>
              <w:t>933</w:t>
            </w:r>
            <w:r>
              <w:rPr>
                <w:rFonts w:eastAsia="Times New Roman" w:cs="Times New Roman"/>
                <w:spacing w:val="-2"/>
                <w:szCs w:val="20"/>
              </w:rPr>
              <w:t>-</w:t>
            </w:r>
            <w:r>
              <w:rPr>
                <w:rFonts w:eastAsia="Times New Roman" w:cs="Times New Roman"/>
                <w:spacing w:val="1"/>
                <w:szCs w:val="20"/>
              </w:rPr>
              <w:t>6</w:t>
            </w:r>
            <w:r>
              <w:rPr>
                <w:rFonts w:eastAsia="Times New Roman" w:cs="Times New Roman"/>
                <w:szCs w:val="20"/>
              </w:rPr>
              <w:t>,</w:t>
            </w:r>
            <w:r>
              <w:rPr>
                <w:rFonts w:eastAsia="Times New Roman" w:cs="Times New Roman"/>
                <w:spacing w:val="-4"/>
                <w:szCs w:val="20"/>
              </w:rPr>
              <w:t xml:space="preserve"> </w:t>
            </w:r>
            <w:r>
              <w:rPr>
                <w:rFonts w:eastAsia="Times New Roman" w:cs="Times New Roman"/>
                <w:spacing w:val="1"/>
                <w:szCs w:val="20"/>
              </w:rPr>
              <w:t>ro</w:t>
            </w:r>
            <w:r>
              <w:rPr>
                <w:rFonts w:eastAsia="Times New Roman" w:cs="Times New Roman"/>
                <w:szCs w:val="20"/>
              </w:rPr>
              <w:t>z</w:t>
            </w:r>
            <w:r>
              <w:rPr>
                <w:rFonts w:eastAsia="Times New Roman" w:cs="Times New Roman"/>
                <w:spacing w:val="1"/>
                <w:szCs w:val="20"/>
              </w:rPr>
              <w:t>d</w:t>
            </w:r>
            <w:r>
              <w:rPr>
                <w:rFonts w:eastAsia="Times New Roman" w:cs="Times New Roman"/>
                <w:spacing w:val="-2"/>
                <w:szCs w:val="20"/>
              </w:rPr>
              <w:t>z</w:t>
            </w:r>
            <w:r>
              <w:rPr>
                <w:rFonts w:eastAsia="Times New Roman" w:cs="Times New Roman"/>
                <w:szCs w:val="20"/>
              </w:rPr>
              <w:t>.</w:t>
            </w:r>
            <w:r>
              <w:rPr>
                <w:rFonts w:eastAsia="Times New Roman" w:cs="Times New Roman"/>
                <w:spacing w:val="-7"/>
                <w:szCs w:val="20"/>
              </w:rPr>
              <w:t xml:space="preserve"> </w:t>
            </w:r>
            <w:r>
              <w:rPr>
                <w:rFonts w:eastAsia="Times New Roman" w:cs="Times New Roman"/>
                <w:spacing w:val="1"/>
                <w:szCs w:val="20"/>
              </w:rPr>
              <w:t>8</w:t>
            </w:r>
            <w:r>
              <w:rPr>
                <w:rFonts w:eastAsia="Times New Roman" w:cs="Times New Roman"/>
                <w:szCs w:val="20"/>
              </w:rPr>
              <w:t xml:space="preserve">, </w:t>
            </w:r>
            <w:r>
              <w:rPr>
                <w:rFonts w:eastAsia="Times New Roman" w:cs="Times New Roman"/>
                <w:spacing w:val="-1"/>
                <w:szCs w:val="20"/>
              </w:rPr>
              <w:t>k</w:t>
            </w:r>
            <w:r>
              <w:rPr>
                <w:rFonts w:eastAsia="Times New Roman" w:cs="Times New Roman"/>
                <w:szCs w:val="20"/>
              </w:rPr>
              <w:t>ate</w:t>
            </w:r>
            <w:r>
              <w:rPr>
                <w:rFonts w:eastAsia="Times New Roman" w:cs="Times New Roman"/>
                <w:spacing w:val="-1"/>
                <w:szCs w:val="20"/>
              </w:rPr>
              <w:t>g</w:t>
            </w:r>
            <w:r>
              <w:rPr>
                <w:rFonts w:eastAsia="Times New Roman" w:cs="Times New Roman"/>
                <w:spacing w:val="1"/>
                <w:szCs w:val="20"/>
              </w:rPr>
              <w:t>or</w:t>
            </w:r>
            <w:r>
              <w:rPr>
                <w:rFonts w:eastAsia="Times New Roman" w:cs="Times New Roman"/>
                <w:szCs w:val="20"/>
              </w:rPr>
              <w:t>ia</w:t>
            </w:r>
            <w:r>
              <w:rPr>
                <w:rFonts w:eastAsia="Times New Roman" w:cs="Times New Roman"/>
                <w:spacing w:val="-4"/>
                <w:szCs w:val="20"/>
              </w:rPr>
              <w:t xml:space="preserve"> </w:t>
            </w:r>
            <w:r>
              <w:rPr>
                <w:rFonts w:eastAsia="Times New Roman" w:cs="Times New Roman"/>
                <w:spacing w:val="-1"/>
                <w:szCs w:val="20"/>
              </w:rPr>
              <w:t>n</w:t>
            </w:r>
            <w:r>
              <w:rPr>
                <w:rFonts w:eastAsia="Times New Roman" w:cs="Times New Roman"/>
                <w:szCs w:val="20"/>
              </w:rPr>
              <w:t>ie</w:t>
            </w:r>
            <w:r>
              <w:rPr>
                <w:rFonts w:eastAsia="Times New Roman" w:cs="Times New Roman"/>
                <w:spacing w:val="-2"/>
                <w:szCs w:val="20"/>
              </w:rPr>
              <w:t xml:space="preserve"> </w:t>
            </w:r>
            <w:r>
              <w:rPr>
                <w:rFonts w:eastAsia="Times New Roman" w:cs="Times New Roman"/>
                <w:spacing w:val="-1"/>
                <w:szCs w:val="20"/>
              </w:rPr>
              <w:t>n</w:t>
            </w:r>
            <w:r>
              <w:rPr>
                <w:rFonts w:eastAsia="Times New Roman" w:cs="Times New Roman"/>
                <w:szCs w:val="20"/>
              </w:rPr>
              <w:t>i</w:t>
            </w:r>
            <w:r>
              <w:rPr>
                <w:rFonts w:eastAsia="Times New Roman" w:cs="Times New Roman"/>
                <w:spacing w:val="2"/>
                <w:szCs w:val="20"/>
              </w:rPr>
              <w:t>ż</w:t>
            </w:r>
            <w:r>
              <w:rPr>
                <w:rFonts w:eastAsia="Times New Roman" w:cs="Times New Roman"/>
                <w:spacing w:val="-1"/>
                <w:szCs w:val="20"/>
              </w:rPr>
              <w:t>s</w:t>
            </w:r>
            <w:r>
              <w:rPr>
                <w:rFonts w:eastAsia="Times New Roman" w:cs="Times New Roman"/>
                <w:szCs w:val="20"/>
              </w:rPr>
              <w:t>za</w:t>
            </w:r>
            <w:r>
              <w:rPr>
                <w:rFonts w:eastAsia="Times New Roman" w:cs="Times New Roman"/>
                <w:spacing w:val="-4"/>
                <w:szCs w:val="20"/>
              </w:rPr>
              <w:t xml:space="preserve"> </w:t>
            </w:r>
            <w:r>
              <w:rPr>
                <w:rFonts w:eastAsia="Times New Roman" w:cs="Times New Roman"/>
                <w:spacing w:val="-1"/>
                <w:szCs w:val="20"/>
              </w:rPr>
              <w:t>n</w:t>
            </w:r>
            <w:r>
              <w:rPr>
                <w:rFonts w:eastAsia="Times New Roman" w:cs="Times New Roman"/>
                <w:szCs w:val="20"/>
              </w:rPr>
              <w:t>i</w:t>
            </w:r>
            <w:r>
              <w:rPr>
                <w:rFonts w:eastAsia="Times New Roman" w:cs="Times New Roman"/>
                <w:spacing w:val="2"/>
                <w:szCs w:val="20"/>
              </w:rPr>
              <w:t>ż</w:t>
            </w:r>
            <w:r>
              <w:rPr>
                <w:rFonts w:eastAsia="Times New Roman" w:cs="Times New Roman"/>
                <w:szCs w:val="20"/>
              </w:rPr>
              <w:t>:</w:t>
            </w:r>
          </w:p>
        </w:tc>
        <w:tc>
          <w:tcPr>
            <w:tcW w:w="5534" w:type="dxa"/>
            <w:gridSpan w:val="5"/>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i/>
                <w:spacing w:val="1"/>
                <w:w w:val="99"/>
                <w:szCs w:val="20"/>
              </w:rPr>
              <w:t>E</w:t>
            </w:r>
            <w:r>
              <w:rPr>
                <w:rFonts w:eastAsia="Times New Roman" w:cs="Times New Roman"/>
                <w:w w:val="99"/>
                <w:position w:val="-5"/>
                <w:szCs w:val="20"/>
              </w:rPr>
              <w:t>csDe</w:t>
            </w:r>
            <w:r>
              <w:rPr>
                <w:rFonts w:eastAsia="Times New Roman" w:cs="Times New Roman"/>
                <w:spacing w:val="-2"/>
                <w:w w:val="99"/>
                <w:position w:val="-5"/>
                <w:szCs w:val="20"/>
              </w:rPr>
              <w:t>k</w:t>
            </w:r>
            <w:r>
              <w:rPr>
                <w:rFonts w:eastAsia="Times New Roman" w:cs="Times New Roman"/>
                <w:w w:val="99"/>
                <w:position w:val="-5"/>
                <w:szCs w:val="20"/>
              </w:rPr>
              <w:t>la</w:t>
            </w:r>
            <w:r>
              <w:rPr>
                <w:rFonts w:eastAsia="Times New Roman" w:cs="Times New Roman"/>
                <w:spacing w:val="2"/>
                <w:w w:val="99"/>
                <w:position w:val="-5"/>
                <w:szCs w:val="20"/>
              </w:rPr>
              <w:t>r</w:t>
            </w:r>
            <w:r>
              <w:rPr>
                <w:rFonts w:eastAsia="Times New Roman" w:cs="Times New Roman"/>
                <w:w w:val="99"/>
                <w:position w:val="-5"/>
                <w:szCs w:val="20"/>
              </w:rPr>
              <w:t>owana</w:t>
            </w:r>
          </w:p>
        </w:tc>
      </w:tr>
      <w:tr w:rsidR="00B77F00">
        <w:tblPrEx>
          <w:tblCellMar>
            <w:top w:w="0" w:type="dxa"/>
            <w:bottom w:w="0" w:type="dxa"/>
          </w:tblCellMar>
        </w:tblPrEx>
        <w:trPr>
          <w:cantSplit/>
        </w:trPr>
        <w:tc>
          <w:tcPr>
            <w:tcW w:w="4104" w:type="dxa"/>
            <w:tcBorders>
              <w:left w:val="single" w:sz="4" w:space="0" w:color="000001"/>
              <w:bottom w:val="single" w:sz="4" w:space="0" w:color="000001"/>
              <w:right w:val="single" w:sz="4" w:space="0" w:color="000001"/>
            </w:tcBorders>
            <w:tcMar>
              <w:top w:w="0" w:type="dxa"/>
              <w:left w:w="0" w:type="dxa"/>
              <w:bottom w:w="0" w:type="dxa"/>
              <w:right w:w="0" w:type="dxa"/>
            </w:tcMar>
          </w:tcPr>
          <w:p w:rsidR="00B77F00" w:rsidRDefault="00865FA3">
            <w:pPr>
              <w:pStyle w:val="Standard"/>
              <w:rPr>
                <w:szCs w:val="20"/>
              </w:rPr>
            </w:pPr>
            <w:r>
              <w:rPr>
                <w:rFonts w:eastAsia="Times New Roman" w:cs="Times New Roman"/>
                <w:szCs w:val="20"/>
              </w:rPr>
              <w:t>Gęst</w:t>
            </w:r>
            <w:r>
              <w:rPr>
                <w:rFonts w:eastAsia="Times New Roman" w:cs="Times New Roman"/>
                <w:spacing w:val="1"/>
                <w:szCs w:val="20"/>
              </w:rPr>
              <w:t>o</w:t>
            </w:r>
            <w:r>
              <w:rPr>
                <w:rFonts w:eastAsia="Times New Roman" w:cs="Times New Roman"/>
                <w:spacing w:val="-1"/>
                <w:szCs w:val="20"/>
              </w:rPr>
              <w:t>ś</w:t>
            </w:r>
            <w:r>
              <w:rPr>
                <w:rFonts w:eastAsia="Times New Roman" w:cs="Times New Roman"/>
                <w:szCs w:val="20"/>
              </w:rPr>
              <w:t>ć</w:t>
            </w:r>
            <w:r>
              <w:rPr>
                <w:rFonts w:eastAsia="Times New Roman" w:cs="Times New Roman"/>
                <w:spacing w:val="-5"/>
                <w:szCs w:val="20"/>
              </w:rPr>
              <w:t xml:space="preserve"> </w:t>
            </w:r>
            <w:r>
              <w:rPr>
                <w:rFonts w:eastAsia="Times New Roman" w:cs="Times New Roman"/>
                <w:szCs w:val="20"/>
              </w:rPr>
              <w:t>zia</w:t>
            </w:r>
            <w:r>
              <w:rPr>
                <w:rFonts w:eastAsia="Times New Roman" w:cs="Times New Roman"/>
                <w:spacing w:val="1"/>
                <w:szCs w:val="20"/>
              </w:rPr>
              <w:t>r</w:t>
            </w:r>
            <w:r>
              <w:rPr>
                <w:rFonts w:eastAsia="Times New Roman" w:cs="Times New Roman"/>
                <w:szCs w:val="20"/>
              </w:rPr>
              <w:t>en</w:t>
            </w:r>
            <w:r>
              <w:rPr>
                <w:rFonts w:eastAsia="Times New Roman" w:cs="Times New Roman"/>
                <w:spacing w:val="-3"/>
                <w:szCs w:val="20"/>
              </w:rPr>
              <w:t xml:space="preserve"> </w:t>
            </w:r>
            <w:r>
              <w:rPr>
                <w:rFonts w:eastAsia="Times New Roman" w:cs="Times New Roman"/>
                <w:spacing w:val="-2"/>
                <w:szCs w:val="20"/>
              </w:rPr>
              <w:t>w</w:t>
            </w:r>
            <w:r>
              <w:rPr>
                <w:rFonts w:eastAsia="Times New Roman" w:cs="Times New Roman"/>
                <w:szCs w:val="20"/>
              </w:rPr>
              <w:t>e</w:t>
            </w:r>
            <w:r>
              <w:rPr>
                <w:rFonts w:eastAsia="Times New Roman" w:cs="Times New Roman"/>
                <w:spacing w:val="1"/>
                <w:szCs w:val="20"/>
              </w:rPr>
              <w:t>d</w:t>
            </w:r>
            <w:r>
              <w:rPr>
                <w:rFonts w:eastAsia="Times New Roman" w:cs="Times New Roman"/>
                <w:spacing w:val="2"/>
                <w:szCs w:val="20"/>
              </w:rPr>
              <w:t>ł</w:t>
            </w:r>
            <w:r>
              <w:rPr>
                <w:rFonts w:eastAsia="Times New Roman" w:cs="Times New Roman"/>
                <w:spacing w:val="-1"/>
                <w:szCs w:val="20"/>
              </w:rPr>
              <w:t>u</w:t>
            </w:r>
            <w:r>
              <w:rPr>
                <w:rFonts w:eastAsia="Times New Roman" w:cs="Times New Roman"/>
                <w:szCs w:val="20"/>
              </w:rPr>
              <w:t>g</w:t>
            </w:r>
            <w:r>
              <w:rPr>
                <w:rFonts w:eastAsia="Times New Roman" w:cs="Times New Roman"/>
                <w:spacing w:val="-7"/>
                <w:szCs w:val="20"/>
              </w:rPr>
              <w:t xml:space="preserve"> </w:t>
            </w:r>
            <w:r>
              <w:rPr>
                <w:rFonts w:eastAsia="Times New Roman" w:cs="Times New Roman"/>
                <w:spacing w:val="2"/>
                <w:szCs w:val="20"/>
              </w:rPr>
              <w:t>P</w:t>
            </w:r>
            <w:r>
              <w:rPr>
                <w:rFonts w:eastAsia="Times New Roman" w:cs="Times New Roman"/>
                <w:spacing w:val="5"/>
                <w:szCs w:val="20"/>
              </w:rPr>
              <w:t>N</w:t>
            </w:r>
            <w:r>
              <w:rPr>
                <w:rFonts w:eastAsia="Times New Roman" w:cs="Times New Roman"/>
                <w:spacing w:val="-2"/>
                <w:szCs w:val="20"/>
              </w:rPr>
              <w:t>-</w:t>
            </w:r>
            <w:r>
              <w:rPr>
                <w:rFonts w:eastAsia="Times New Roman" w:cs="Times New Roman"/>
                <w:szCs w:val="20"/>
              </w:rPr>
              <w:t>EN</w:t>
            </w:r>
            <w:r>
              <w:rPr>
                <w:rFonts w:eastAsia="Times New Roman" w:cs="Times New Roman"/>
                <w:spacing w:val="-3"/>
                <w:szCs w:val="20"/>
              </w:rPr>
              <w:t xml:space="preserve"> </w:t>
            </w:r>
            <w:r>
              <w:rPr>
                <w:rFonts w:eastAsia="Times New Roman" w:cs="Times New Roman"/>
                <w:spacing w:val="1"/>
                <w:szCs w:val="20"/>
              </w:rPr>
              <w:t>109</w:t>
            </w:r>
            <w:r>
              <w:rPr>
                <w:rFonts w:eastAsia="Times New Roman" w:cs="Times New Roman"/>
                <w:spacing w:val="2"/>
                <w:szCs w:val="20"/>
              </w:rPr>
              <w:t>7</w:t>
            </w:r>
            <w:r>
              <w:rPr>
                <w:rFonts w:eastAsia="Times New Roman" w:cs="Times New Roman"/>
                <w:szCs w:val="20"/>
              </w:rPr>
              <w:t>-</w:t>
            </w:r>
            <w:r>
              <w:rPr>
                <w:rFonts w:eastAsia="Times New Roman" w:cs="Times New Roman"/>
                <w:spacing w:val="1"/>
                <w:szCs w:val="20"/>
              </w:rPr>
              <w:t>6</w:t>
            </w:r>
            <w:r>
              <w:rPr>
                <w:rFonts w:eastAsia="Times New Roman" w:cs="Times New Roman"/>
                <w:szCs w:val="20"/>
              </w:rPr>
              <w:t>,</w:t>
            </w:r>
          </w:p>
          <w:p w:rsidR="00B77F00" w:rsidRDefault="00865FA3">
            <w:pPr>
              <w:pStyle w:val="Standard"/>
              <w:rPr>
                <w:szCs w:val="20"/>
              </w:rPr>
            </w:pPr>
            <w:r>
              <w:rPr>
                <w:rFonts w:eastAsia="Times New Roman" w:cs="Times New Roman"/>
                <w:spacing w:val="1"/>
                <w:szCs w:val="20"/>
              </w:rPr>
              <w:t>ro</w:t>
            </w:r>
            <w:r>
              <w:rPr>
                <w:rFonts w:eastAsia="Times New Roman" w:cs="Times New Roman"/>
                <w:szCs w:val="20"/>
              </w:rPr>
              <w:t>z</w:t>
            </w:r>
            <w:r>
              <w:rPr>
                <w:rFonts w:eastAsia="Times New Roman" w:cs="Times New Roman"/>
                <w:spacing w:val="1"/>
                <w:szCs w:val="20"/>
              </w:rPr>
              <w:t>d</w:t>
            </w:r>
            <w:r>
              <w:rPr>
                <w:rFonts w:eastAsia="Times New Roman" w:cs="Times New Roman"/>
                <w:szCs w:val="20"/>
              </w:rPr>
              <w:t>z.</w:t>
            </w:r>
            <w:r>
              <w:rPr>
                <w:rFonts w:eastAsia="Times New Roman" w:cs="Times New Roman"/>
                <w:spacing w:val="-6"/>
                <w:szCs w:val="20"/>
              </w:rPr>
              <w:t xml:space="preserve"> </w:t>
            </w:r>
            <w:r>
              <w:rPr>
                <w:rFonts w:eastAsia="Times New Roman" w:cs="Times New Roman"/>
                <w:spacing w:val="1"/>
                <w:szCs w:val="20"/>
              </w:rPr>
              <w:t>7</w:t>
            </w:r>
            <w:r>
              <w:rPr>
                <w:rFonts w:eastAsia="Times New Roman" w:cs="Times New Roman"/>
                <w:szCs w:val="20"/>
              </w:rPr>
              <w:t>, 8 l</w:t>
            </w:r>
            <w:r>
              <w:rPr>
                <w:rFonts w:eastAsia="Times New Roman" w:cs="Times New Roman"/>
                <w:spacing w:val="-1"/>
                <w:szCs w:val="20"/>
              </w:rPr>
              <w:t>u</w:t>
            </w:r>
            <w:r>
              <w:rPr>
                <w:rFonts w:eastAsia="Times New Roman" w:cs="Times New Roman"/>
                <w:szCs w:val="20"/>
              </w:rPr>
              <w:t>b</w:t>
            </w:r>
            <w:r>
              <w:rPr>
                <w:rFonts w:eastAsia="Times New Roman" w:cs="Times New Roman"/>
                <w:spacing w:val="-2"/>
                <w:szCs w:val="20"/>
              </w:rPr>
              <w:t xml:space="preserve"> </w:t>
            </w:r>
            <w:r>
              <w:rPr>
                <w:rFonts w:eastAsia="Times New Roman" w:cs="Times New Roman"/>
                <w:spacing w:val="1"/>
                <w:szCs w:val="20"/>
              </w:rPr>
              <w:t>9</w:t>
            </w:r>
            <w:r>
              <w:rPr>
                <w:rFonts w:eastAsia="Times New Roman" w:cs="Times New Roman"/>
                <w:szCs w:val="20"/>
              </w:rPr>
              <w:t>:</w:t>
            </w:r>
          </w:p>
        </w:tc>
        <w:tc>
          <w:tcPr>
            <w:tcW w:w="5534" w:type="dxa"/>
            <w:gridSpan w:val="5"/>
            <w:tcBorders>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1"/>
                <w:szCs w:val="20"/>
              </w:rPr>
              <w:t>d</w:t>
            </w:r>
            <w:r>
              <w:rPr>
                <w:rFonts w:eastAsia="Times New Roman" w:cs="Times New Roman"/>
                <w:szCs w:val="20"/>
              </w:rPr>
              <w:t>e</w:t>
            </w:r>
            <w:r>
              <w:rPr>
                <w:rFonts w:eastAsia="Times New Roman" w:cs="Times New Roman"/>
                <w:spacing w:val="-1"/>
                <w:szCs w:val="20"/>
              </w:rPr>
              <w:t>k</w:t>
            </w:r>
            <w:r>
              <w:rPr>
                <w:rFonts w:eastAsia="Times New Roman" w:cs="Times New Roman"/>
                <w:szCs w:val="20"/>
              </w:rPr>
              <w:t>la</w:t>
            </w:r>
            <w:r>
              <w:rPr>
                <w:rFonts w:eastAsia="Times New Roman" w:cs="Times New Roman"/>
                <w:spacing w:val="1"/>
                <w:szCs w:val="20"/>
              </w:rPr>
              <w:t>r</w:t>
            </w:r>
            <w:r>
              <w:rPr>
                <w:rFonts w:eastAsia="Times New Roman" w:cs="Times New Roman"/>
                <w:spacing w:val="3"/>
                <w:szCs w:val="20"/>
              </w:rPr>
              <w:t>o</w:t>
            </w:r>
            <w:r>
              <w:rPr>
                <w:rFonts w:eastAsia="Times New Roman" w:cs="Times New Roman"/>
                <w:spacing w:val="-5"/>
                <w:szCs w:val="20"/>
              </w:rPr>
              <w:t>w</w:t>
            </w:r>
            <w:r>
              <w:rPr>
                <w:rFonts w:eastAsia="Times New Roman" w:cs="Times New Roman"/>
                <w:spacing w:val="3"/>
                <w:szCs w:val="20"/>
              </w:rPr>
              <w:t>a</w:t>
            </w:r>
            <w:r>
              <w:rPr>
                <w:rFonts w:eastAsia="Times New Roman" w:cs="Times New Roman"/>
                <w:spacing w:val="-1"/>
                <w:szCs w:val="20"/>
              </w:rPr>
              <w:t>n</w:t>
            </w:r>
            <w:r>
              <w:rPr>
                <w:rFonts w:eastAsia="Times New Roman" w:cs="Times New Roman"/>
                <w:szCs w:val="20"/>
              </w:rPr>
              <w:t>a</w:t>
            </w:r>
            <w:r>
              <w:rPr>
                <w:rFonts w:eastAsia="Times New Roman" w:cs="Times New Roman"/>
                <w:spacing w:val="-9"/>
                <w:szCs w:val="20"/>
              </w:rPr>
              <w:t xml:space="preserve"> </w:t>
            </w:r>
            <w:r>
              <w:rPr>
                <w:rFonts w:eastAsia="Times New Roman" w:cs="Times New Roman"/>
                <w:spacing w:val="1"/>
                <w:szCs w:val="20"/>
              </w:rPr>
              <w:t>pr</w:t>
            </w:r>
            <w:r>
              <w:rPr>
                <w:rFonts w:eastAsia="Times New Roman" w:cs="Times New Roman"/>
                <w:szCs w:val="20"/>
              </w:rPr>
              <w:t>z</w:t>
            </w:r>
            <w:r>
              <w:rPr>
                <w:rFonts w:eastAsia="Times New Roman" w:cs="Times New Roman"/>
                <w:spacing w:val="1"/>
                <w:szCs w:val="20"/>
              </w:rPr>
              <w:t>e</w:t>
            </w:r>
            <w:r>
              <w:rPr>
                <w:rFonts w:eastAsia="Times New Roman" w:cs="Times New Roman"/>
                <w:szCs w:val="20"/>
              </w:rPr>
              <w:t>z</w:t>
            </w:r>
            <w:r>
              <w:rPr>
                <w:rFonts w:eastAsia="Times New Roman" w:cs="Times New Roman"/>
                <w:spacing w:val="-3"/>
                <w:szCs w:val="20"/>
              </w:rPr>
              <w:t xml:space="preserve"> </w:t>
            </w:r>
            <w:r>
              <w:rPr>
                <w:rFonts w:eastAsia="Times New Roman" w:cs="Times New Roman"/>
                <w:spacing w:val="1"/>
                <w:szCs w:val="20"/>
              </w:rPr>
              <w:t>prod</w:t>
            </w:r>
            <w:r>
              <w:rPr>
                <w:rFonts w:eastAsia="Times New Roman" w:cs="Times New Roman"/>
                <w:spacing w:val="-1"/>
                <w:szCs w:val="20"/>
              </w:rPr>
              <w:t>u</w:t>
            </w:r>
            <w:r>
              <w:rPr>
                <w:rFonts w:eastAsia="Times New Roman" w:cs="Times New Roman"/>
                <w:szCs w:val="20"/>
              </w:rPr>
              <w:t>c</w:t>
            </w:r>
            <w:r>
              <w:rPr>
                <w:rFonts w:eastAsia="Times New Roman" w:cs="Times New Roman"/>
                <w:spacing w:val="1"/>
                <w:szCs w:val="20"/>
              </w:rPr>
              <w:t>e</w:t>
            </w:r>
            <w:r>
              <w:rPr>
                <w:rFonts w:eastAsia="Times New Roman" w:cs="Times New Roman"/>
                <w:spacing w:val="-1"/>
                <w:szCs w:val="20"/>
              </w:rPr>
              <w:t>n</w:t>
            </w:r>
            <w:r>
              <w:rPr>
                <w:rFonts w:eastAsia="Times New Roman" w:cs="Times New Roman"/>
                <w:szCs w:val="20"/>
              </w:rPr>
              <w:t>ta</w:t>
            </w:r>
          </w:p>
        </w:tc>
      </w:tr>
      <w:tr w:rsidR="00B77F00">
        <w:tblPrEx>
          <w:tblCellMar>
            <w:top w:w="0" w:type="dxa"/>
            <w:bottom w:w="0" w:type="dxa"/>
          </w:tblCellMar>
        </w:tblPrEx>
        <w:trPr>
          <w:cantSplit/>
        </w:trPr>
        <w:tc>
          <w:tcPr>
            <w:tcW w:w="4104" w:type="dxa"/>
            <w:tcBorders>
              <w:left w:val="single" w:sz="4" w:space="0" w:color="000001"/>
              <w:bottom w:val="single" w:sz="4" w:space="0" w:color="000001"/>
              <w:right w:val="single" w:sz="4" w:space="0" w:color="000001"/>
            </w:tcBorders>
            <w:tcMar>
              <w:top w:w="0" w:type="dxa"/>
              <w:left w:w="0" w:type="dxa"/>
              <w:bottom w:w="0" w:type="dxa"/>
              <w:right w:w="0" w:type="dxa"/>
            </w:tcMar>
          </w:tcPr>
          <w:p w:rsidR="00B77F00" w:rsidRDefault="00865FA3">
            <w:pPr>
              <w:pStyle w:val="Standard"/>
              <w:rPr>
                <w:szCs w:val="20"/>
              </w:rPr>
            </w:pPr>
            <w:r>
              <w:rPr>
                <w:rFonts w:eastAsia="Times New Roman" w:cs="Times New Roman"/>
                <w:szCs w:val="20"/>
              </w:rPr>
              <w:t>Nasią</w:t>
            </w:r>
            <w:r>
              <w:rPr>
                <w:rFonts w:eastAsia="Times New Roman" w:cs="Times New Roman"/>
                <w:spacing w:val="1"/>
                <w:szCs w:val="20"/>
              </w:rPr>
              <w:t>k</w:t>
            </w:r>
            <w:r>
              <w:rPr>
                <w:rFonts w:eastAsia="Times New Roman" w:cs="Times New Roman"/>
                <w:szCs w:val="20"/>
              </w:rPr>
              <w:t>l</w:t>
            </w:r>
            <w:r>
              <w:rPr>
                <w:rFonts w:eastAsia="Times New Roman" w:cs="Times New Roman"/>
                <w:spacing w:val="2"/>
                <w:szCs w:val="20"/>
              </w:rPr>
              <w:t>i</w:t>
            </w:r>
            <w:r>
              <w:rPr>
                <w:rFonts w:eastAsia="Times New Roman" w:cs="Times New Roman"/>
                <w:spacing w:val="-2"/>
                <w:szCs w:val="20"/>
              </w:rPr>
              <w:t>w</w:t>
            </w:r>
            <w:r>
              <w:rPr>
                <w:rFonts w:eastAsia="Times New Roman" w:cs="Times New Roman"/>
                <w:spacing w:val="1"/>
                <w:szCs w:val="20"/>
              </w:rPr>
              <w:t>o</w:t>
            </w:r>
            <w:r>
              <w:rPr>
                <w:rFonts w:eastAsia="Times New Roman" w:cs="Times New Roman"/>
                <w:spacing w:val="-1"/>
                <w:szCs w:val="20"/>
              </w:rPr>
              <w:t>ś</w:t>
            </w:r>
            <w:r>
              <w:rPr>
                <w:rFonts w:eastAsia="Times New Roman" w:cs="Times New Roman"/>
                <w:szCs w:val="20"/>
              </w:rPr>
              <w:t>ć</w:t>
            </w:r>
            <w:r>
              <w:rPr>
                <w:rFonts w:eastAsia="Times New Roman" w:cs="Times New Roman"/>
                <w:spacing w:val="-8"/>
                <w:szCs w:val="20"/>
              </w:rPr>
              <w:t xml:space="preserve"> </w:t>
            </w:r>
            <w:r>
              <w:rPr>
                <w:rFonts w:eastAsia="Times New Roman" w:cs="Times New Roman"/>
                <w:spacing w:val="-2"/>
                <w:szCs w:val="20"/>
              </w:rPr>
              <w:t>w</w:t>
            </w:r>
            <w:r>
              <w:rPr>
                <w:rFonts w:eastAsia="Times New Roman" w:cs="Times New Roman"/>
                <w:szCs w:val="20"/>
              </w:rPr>
              <w:t>e</w:t>
            </w:r>
            <w:r>
              <w:rPr>
                <w:rFonts w:eastAsia="Times New Roman" w:cs="Times New Roman"/>
                <w:spacing w:val="1"/>
                <w:szCs w:val="20"/>
              </w:rPr>
              <w:t>d</w:t>
            </w:r>
            <w:r>
              <w:rPr>
                <w:rFonts w:eastAsia="Times New Roman" w:cs="Times New Roman"/>
                <w:spacing w:val="2"/>
                <w:szCs w:val="20"/>
              </w:rPr>
              <w:t>ł</w:t>
            </w:r>
            <w:r>
              <w:rPr>
                <w:rFonts w:eastAsia="Times New Roman" w:cs="Times New Roman"/>
                <w:spacing w:val="-1"/>
                <w:szCs w:val="20"/>
              </w:rPr>
              <w:t>u</w:t>
            </w:r>
            <w:r>
              <w:rPr>
                <w:rFonts w:eastAsia="Times New Roman" w:cs="Times New Roman"/>
                <w:szCs w:val="20"/>
              </w:rPr>
              <w:t>g</w:t>
            </w:r>
            <w:r>
              <w:rPr>
                <w:rFonts w:eastAsia="Times New Roman" w:cs="Times New Roman"/>
                <w:spacing w:val="-7"/>
                <w:szCs w:val="20"/>
              </w:rPr>
              <w:t xml:space="preserve"> </w:t>
            </w:r>
            <w:r>
              <w:rPr>
                <w:rFonts w:eastAsia="Times New Roman" w:cs="Times New Roman"/>
                <w:spacing w:val="2"/>
                <w:szCs w:val="20"/>
              </w:rPr>
              <w:t>PN</w:t>
            </w:r>
            <w:r>
              <w:rPr>
                <w:rFonts w:eastAsia="Times New Roman" w:cs="Times New Roman"/>
                <w:spacing w:val="-2"/>
                <w:szCs w:val="20"/>
              </w:rPr>
              <w:t>-</w:t>
            </w:r>
            <w:r>
              <w:rPr>
                <w:rFonts w:eastAsia="Times New Roman" w:cs="Times New Roman"/>
                <w:szCs w:val="20"/>
              </w:rPr>
              <w:t>EN</w:t>
            </w:r>
            <w:r>
              <w:rPr>
                <w:rFonts w:eastAsia="Times New Roman" w:cs="Times New Roman"/>
                <w:spacing w:val="-3"/>
                <w:szCs w:val="20"/>
              </w:rPr>
              <w:t xml:space="preserve"> </w:t>
            </w:r>
            <w:r>
              <w:rPr>
                <w:rFonts w:eastAsia="Times New Roman" w:cs="Times New Roman"/>
                <w:spacing w:val="1"/>
                <w:szCs w:val="20"/>
              </w:rPr>
              <w:t>109</w:t>
            </w:r>
            <w:r>
              <w:rPr>
                <w:rFonts w:eastAsia="Times New Roman" w:cs="Times New Roman"/>
                <w:spacing w:val="2"/>
                <w:szCs w:val="20"/>
              </w:rPr>
              <w:t>7</w:t>
            </w:r>
            <w:r>
              <w:rPr>
                <w:rFonts w:eastAsia="Times New Roman" w:cs="Times New Roman"/>
                <w:spacing w:val="-2"/>
                <w:szCs w:val="20"/>
              </w:rPr>
              <w:t>-</w:t>
            </w:r>
            <w:r>
              <w:rPr>
                <w:rFonts w:eastAsia="Times New Roman" w:cs="Times New Roman"/>
                <w:spacing w:val="1"/>
                <w:szCs w:val="20"/>
              </w:rPr>
              <w:t>6</w:t>
            </w:r>
            <w:r>
              <w:rPr>
                <w:rFonts w:eastAsia="Times New Roman" w:cs="Times New Roman"/>
                <w:szCs w:val="20"/>
              </w:rPr>
              <w:t>,</w:t>
            </w:r>
          </w:p>
          <w:p w:rsidR="00B77F00" w:rsidRDefault="00865FA3">
            <w:pPr>
              <w:pStyle w:val="Standard"/>
              <w:rPr>
                <w:szCs w:val="20"/>
              </w:rPr>
            </w:pPr>
            <w:r>
              <w:rPr>
                <w:rFonts w:eastAsia="Times New Roman" w:cs="Times New Roman"/>
                <w:spacing w:val="1"/>
                <w:szCs w:val="20"/>
              </w:rPr>
              <w:t>ro</w:t>
            </w:r>
            <w:r>
              <w:rPr>
                <w:rFonts w:eastAsia="Times New Roman" w:cs="Times New Roman"/>
                <w:szCs w:val="20"/>
              </w:rPr>
              <w:t>z</w:t>
            </w:r>
            <w:r>
              <w:rPr>
                <w:rFonts w:eastAsia="Times New Roman" w:cs="Times New Roman"/>
                <w:spacing w:val="1"/>
                <w:szCs w:val="20"/>
              </w:rPr>
              <w:t>d</w:t>
            </w:r>
            <w:r>
              <w:rPr>
                <w:rFonts w:eastAsia="Times New Roman" w:cs="Times New Roman"/>
                <w:szCs w:val="20"/>
              </w:rPr>
              <w:t>z.</w:t>
            </w:r>
            <w:r>
              <w:rPr>
                <w:rFonts w:eastAsia="Times New Roman" w:cs="Times New Roman"/>
                <w:spacing w:val="-6"/>
                <w:szCs w:val="20"/>
              </w:rPr>
              <w:t xml:space="preserve"> </w:t>
            </w:r>
            <w:r>
              <w:rPr>
                <w:rFonts w:eastAsia="Times New Roman" w:cs="Times New Roman"/>
                <w:spacing w:val="1"/>
                <w:szCs w:val="20"/>
              </w:rPr>
              <w:t>7</w:t>
            </w:r>
            <w:r>
              <w:rPr>
                <w:rFonts w:eastAsia="Times New Roman" w:cs="Times New Roman"/>
                <w:szCs w:val="20"/>
              </w:rPr>
              <w:t>, 8 l</w:t>
            </w:r>
            <w:r>
              <w:rPr>
                <w:rFonts w:eastAsia="Times New Roman" w:cs="Times New Roman"/>
                <w:spacing w:val="-1"/>
                <w:szCs w:val="20"/>
              </w:rPr>
              <w:t>u</w:t>
            </w:r>
            <w:r>
              <w:rPr>
                <w:rFonts w:eastAsia="Times New Roman" w:cs="Times New Roman"/>
                <w:szCs w:val="20"/>
              </w:rPr>
              <w:t>b</w:t>
            </w:r>
            <w:r>
              <w:rPr>
                <w:rFonts w:eastAsia="Times New Roman" w:cs="Times New Roman"/>
                <w:spacing w:val="-2"/>
                <w:szCs w:val="20"/>
              </w:rPr>
              <w:t xml:space="preserve"> </w:t>
            </w:r>
            <w:r>
              <w:rPr>
                <w:rFonts w:eastAsia="Times New Roman" w:cs="Times New Roman"/>
                <w:szCs w:val="20"/>
              </w:rPr>
              <w:t>9</w:t>
            </w:r>
          </w:p>
        </w:tc>
        <w:tc>
          <w:tcPr>
            <w:tcW w:w="5534" w:type="dxa"/>
            <w:gridSpan w:val="5"/>
            <w:tcBorders>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1"/>
                <w:szCs w:val="20"/>
              </w:rPr>
              <w:t>d</w:t>
            </w:r>
            <w:r>
              <w:rPr>
                <w:rFonts w:eastAsia="Times New Roman" w:cs="Times New Roman"/>
                <w:szCs w:val="20"/>
              </w:rPr>
              <w:t>e</w:t>
            </w:r>
            <w:r>
              <w:rPr>
                <w:rFonts w:eastAsia="Times New Roman" w:cs="Times New Roman"/>
                <w:spacing w:val="-1"/>
                <w:szCs w:val="20"/>
              </w:rPr>
              <w:t>k</w:t>
            </w:r>
            <w:r>
              <w:rPr>
                <w:rFonts w:eastAsia="Times New Roman" w:cs="Times New Roman"/>
                <w:szCs w:val="20"/>
              </w:rPr>
              <w:t>la</w:t>
            </w:r>
            <w:r>
              <w:rPr>
                <w:rFonts w:eastAsia="Times New Roman" w:cs="Times New Roman"/>
                <w:spacing w:val="1"/>
                <w:szCs w:val="20"/>
              </w:rPr>
              <w:t>r</w:t>
            </w:r>
            <w:r>
              <w:rPr>
                <w:rFonts w:eastAsia="Times New Roman" w:cs="Times New Roman"/>
                <w:spacing w:val="3"/>
                <w:szCs w:val="20"/>
              </w:rPr>
              <w:t>o</w:t>
            </w:r>
            <w:r>
              <w:rPr>
                <w:rFonts w:eastAsia="Times New Roman" w:cs="Times New Roman"/>
                <w:spacing w:val="-5"/>
                <w:szCs w:val="20"/>
              </w:rPr>
              <w:t>w</w:t>
            </w:r>
            <w:r>
              <w:rPr>
                <w:rFonts w:eastAsia="Times New Roman" w:cs="Times New Roman"/>
                <w:spacing w:val="3"/>
                <w:szCs w:val="20"/>
              </w:rPr>
              <w:t>a</w:t>
            </w:r>
            <w:r>
              <w:rPr>
                <w:rFonts w:eastAsia="Times New Roman" w:cs="Times New Roman"/>
                <w:spacing w:val="-1"/>
                <w:szCs w:val="20"/>
              </w:rPr>
              <w:t>n</w:t>
            </w:r>
            <w:r>
              <w:rPr>
                <w:rFonts w:eastAsia="Times New Roman" w:cs="Times New Roman"/>
                <w:szCs w:val="20"/>
              </w:rPr>
              <w:t>a</w:t>
            </w:r>
            <w:r>
              <w:rPr>
                <w:rFonts w:eastAsia="Times New Roman" w:cs="Times New Roman"/>
                <w:spacing w:val="-9"/>
                <w:szCs w:val="20"/>
              </w:rPr>
              <w:t xml:space="preserve"> </w:t>
            </w:r>
            <w:r>
              <w:rPr>
                <w:rFonts w:eastAsia="Times New Roman" w:cs="Times New Roman"/>
                <w:spacing w:val="1"/>
                <w:szCs w:val="20"/>
              </w:rPr>
              <w:t>pr</w:t>
            </w:r>
            <w:r>
              <w:rPr>
                <w:rFonts w:eastAsia="Times New Roman" w:cs="Times New Roman"/>
                <w:szCs w:val="20"/>
              </w:rPr>
              <w:t>z</w:t>
            </w:r>
            <w:r>
              <w:rPr>
                <w:rFonts w:eastAsia="Times New Roman" w:cs="Times New Roman"/>
                <w:spacing w:val="1"/>
                <w:szCs w:val="20"/>
              </w:rPr>
              <w:t>e</w:t>
            </w:r>
            <w:r>
              <w:rPr>
                <w:rFonts w:eastAsia="Times New Roman" w:cs="Times New Roman"/>
                <w:szCs w:val="20"/>
              </w:rPr>
              <w:t>z</w:t>
            </w:r>
            <w:r>
              <w:rPr>
                <w:rFonts w:eastAsia="Times New Roman" w:cs="Times New Roman"/>
                <w:spacing w:val="-3"/>
                <w:szCs w:val="20"/>
              </w:rPr>
              <w:t xml:space="preserve"> </w:t>
            </w:r>
            <w:r>
              <w:rPr>
                <w:rFonts w:eastAsia="Times New Roman" w:cs="Times New Roman"/>
                <w:spacing w:val="1"/>
                <w:szCs w:val="20"/>
              </w:rPr>
              <w:t>prod</w:t>
            </w:r>
            <w:r>
              <w:rPr>
                <w:rFonts w:eastAsia="Times New Roman" w:cs="Times New Roman"/>
                <w:spacing w:val="-1"/>
                <w:szCs w:val="20"/>
              </w:rPr>
              <w:t>u</w:t>
            </w:r>
            <w:r>
              <w:rPr>
                <w:rFonts w:eastAsia="Times New Roman" w:cs="Times New Roman"/>
                <w:szCs w:val="20"/>
              </w:rPr>
              <w:t>c</w:t>
            </w:r>
            <w:r>
              <w:rPr>
                <w:rFonts w:eastAsia="Times New Roman" w:cs="Times New Roman"/>
                <w:spacing w:val="1"/>
                <w:szCs w:val="20"/>
              </w:rPr>
              <w:t>e</w:t>
            </w:r>
            <w:r>
              <w:rPr>
                <w:rFonts w:eastAsia="Times New Roman" w:cs="Times New Roman"/>
                <w:spacing w:val="-1"/>
                <w:szCs w:val="20"/>
              </w:rPr>
              <w:t>n</w:t>
            </w:r>
            <w:r>
              <w:rPr>
                <w:rFonts w:eastAsia="Times New Roman" w:cs="Times New Roman"/>
                <w:szCs w:val="20"/>
              </w:rPr>
              <w:t>ta</w:t>
            </w:r>
          </w:p>
        </w:tc>
      </w:tr>
      <w:tr w:rsidR="00B77F00">
        <w:tblPrEx>
          <w:tblCellMar>
            <w:top w:w="0" w:type="dxa"/>
            <w:bottom w:w="0" w:type="dxa"/>
          </w:tblCellMar>
        </w:tblPrEx>
        <w:trPr>
          <w:cantSplit/>
        </w:trPr>
        <w:tc>
          <w:tcPr>
            <w:tcW w:w="4104" w:type="dxa"/>
            <w:tcBorders>
              <w:left w:val="single" w:sz="4" w:space="0" w:color="000001"/>
              <w:bottom w:val="single" w:sz="4" w:space="0" w:color="000001"/>
              <w:right w:val="single" w:sz="4" w:space="0" w:color="000001"/>
            </w:tcBorders>
            <w:tcMar>
              <w:top w:w="0" w:type="dxa"/>
              <w:left w:w="0" w:type="dxa"/>
              <w:bottom w:w="0" w:type="dxa"/>
              <w:right w:w="0" w:type="dxa"/>
            </w:tcMar>
          </w:tcPr>
          <w:p w:rsidR="00B77F00" w:rsidRDefault="00865FA3">
            <w:pPr>
              <w:pStyle w:val="Standard"/>
              <w:rPr>
                <w:szCs w:val="20"/>
              </w:rPr>
            </w:pPr>
            <w:r>
              <w:rPr>
                <w:rFonts w:eastAsia="Times New Roman" w:cs="Times New Roman"/>
                <w:szCs w:val="20"/>
              </w:rPr>
              <w:t>G</w:t>
            </w:r>
            <w:r>
              <w:rPr>
                <w:rFonts w:eastAsia="Times New Roman" w:cs="Times New Roman"/>
                <w:spacing w:val="1"/>
                <w:szCs w:val="20"/>
              </w:rPr>
              <w:t>r</w:t>
            </w:r>
            <w:r>
              <w:rPr>
                <w:rFonts w:eastAsia="Times New Roman" w:cs="Times New Roman"/>
                <w:spacing w:val="-1"/>
                <w:szCs w:val="20"/>
              </w:rPr>
              <w:t>u</w:t>
            </w:r>
            <w:r>
              <w:rPr>
                <w:rFonts w:eastAsia="Times New Roman" w:cs="Times New Roman"/>
                <w:spacing w:val="1"/>
                <w:szCs w:val="20"/>
              </w:rPr>
              <w:t>b</w:t>
            </w:r>
            <w:r>
              <w:rPr>
                <w:rFonts w:eastAsia="Times New Roman" w:cs="Times New Roman"/>
                <w:szCs w:val="20"/>
              </w:rPr>
              <w:t>e</w:t>
            </w:r>
            <w:r>
              <w:rPr>
                <w:rFonts w:eastAsia="Times New Roman" w:cs="Times New Roman"/>
                <w:spacing w:val="-4"/>
                <w:szCs w:val="20"/>
              </w:rPr>
              <w:t xml:space="preserve"> </w:t>
            </w:r>
            <w:r>
              <w:rPr>
                <w:rFonts w:eastAsia="Times New Roman" w:cs="Times New Roman"/>
                <w:szCs w:val="20"/>
              </w:rPr>
              <w:t>z</w:t>
            </w:r>
            <w:r>
              <w:rPr>
                <w:rFonts w:eastAsia="Times New Roman" w:cs="Times New Roman"/>
                <w:spacing w:val="1"/>
                <w:szCs w:val="20"/>
              </w:rPr>
              <w:t>a</w:t>
            </w:r>
            <w:r>
              <w:rPr>
                <w:rFonts w:eastAsia="Times New Roman" w:cs="Times New Roman"/>
                <w:spacing w:val="-1"/>
                <w:szCs w:val="20"/>
              </w:rPr>
              <w:t>n</w:t>
            </w:r>
            <w:r>
              <w:rPr>
                <w:rFonts w:eastAsia="Times New Roman" w:cs="Times New Roman"/>
                <w:szCs w:val="20"/>
              </w:rPr>
              <w:t>iec</w:t>
            </w:r>
            <w:r>
              <w:rPr>
                <w:rFonts w:eastAsia="Times New Roman" w:cs="Times New Roman"/>
                <w:spacing w:val="3"/>
                <w:szCs w:val="20"/>
              </w:rPr>
              <w:t>z</w:t>
            </w:r>
            <w:r>
              <w:rPr>
                <w:rFonts w:eastAsia="Times New Roman" w:cs="Times New Roman"/>
                <w:spacing w:val="-1"/>
                <w:szCs w:val="20"/>
              </w:rPr>
              <w:t>ys</w:t>
            </w:r>
            <w:r>
              <w:rPr>
                <w:rFonts w:eastAsia="Times New Roman" w:cs="Times New Roman"/>
                <w:szCs w:val="20"/>
              </w:rPr>
              <w:t>z</w:t>
            </w:r>
            <w:r>
              <w:rPr>
                <w:rFonts w:eastAsia="Times New Roman" w:cs="Times New Roman"/>
                <w:spacing w:val="1"/>
                <w:szCs w:val="20"/>
              </w:rPr>
              <w:t>c</w:t>
            </w:r>
            <w:r>
              <w:rPr>
                <w:rFonts w:eastAsia="Times New Roman" w:cs="Times New Roman"/>
                <w:szCs w:val="20"/>
              </w:rPr>
              <w:t>z</w:t>
            </w:r>
            <w:r>
              <w:rPr>
                <w:rFonts w:eastAsia="Times New Roman" w:cs="Times New Roman"/>
                <w:spacing w:val="3"/>
                <w:szCs w:val="20"/>
              </w:rPr>
              <w:t>e</w:t>
            </w:r>
            <w:r>
              <w:rPr>
                <w:rFonts w:eastAsia="Times New Roman" w:cs="Times New Roman"/>
                <w:spacing w:val="-1"/>
                <w:szCs w:val="20"/>
              </w:rPr>
              <w:t>n</w:t>
            </w:r>
            <w:r>
              <w:rPr>
                <w:rFonts w:eastAsia="Times New Roman" w:cs="Times New Roman"/>
                <w:szCs w:val="20"/>
              </w:rPr>
              <w:t>ia</w:t>
            </w:r>
            <w:r>
              <w:rPr>
                <w:rFonts w:eastAsia="Times New Roman" w:cs="Times New Roman"/>
                <w:spacing w:val="-14"/>
                <w:szCs w:val="20"/>
              </w:rPr>
              <w:t xml:space="preserve"> </w:t>
            </w:r>
            <w:r>
              <w:rPr>
                <w:rFonts w:eastAsia="Times New Roman" w:cs="Times New Roman"/>
                <w:szCs w:val="20"/>
              </w:rPr>
              <w:t>le</w:t>
            </w:r>
            <w:r>
              <w:rPr>
                <w:rFonts w:eastAsia="Times New Roman" w:cs="Times New Roman"/>
                <w:spacing w:val="1"/>
                <w:szCs w:val="20"/>
              </w:rPr>
              <w:t>k</w:t>
            </w:r>
            <w:r>
              <w:rPr>
                <w:rFonts w:eastAsia="Times New Roman" w:cs="Times New Roman"/>
                <w:spacing w:val="-1"/>
                <w:szCs w:val="20"/>
              </w:rPr>
              <w:t>k</w:t>
            </w:r>
            <w:r>
              <w:rPr>
                <w:rFonts w:eastAsia="Times New Roman" w:cs="Times New Roman"/>
                <w:spacing w:val="4"/>
                <w:szCs w:val="20"/>
              </w:rPr>
              <w:t>i</w:t>
            </w:r>
            <w:r>
              <w:rPr>
                <w:rFonts w:eastAsia="Times New Roman" w:cs="Times New Roman"/>
                <w:szCs w:val="20"/>
              </w:rPr>
              <w:t>e,</w:t>
            </w:r>
          </w:p>
          <w:p w:rsidR="00B77F00" w:rsidRDefault="00865FA3">
            <w:pPr>
              <w:pStyle w:val="Standard"/>
              <w:rPr>
                <w:szCs w:val="20"/>
              </w:rPr>
            </w:pPr>
            <w:r>
              <w:rPr>
                <w:rFonts w:eastAsia="Times New Roman" w:cs="Times New Roman"/>
                <w:spacing w:val="-2"/>
                <w:szCs w:val="20"/>
              </w:rPr>
              <w:t>w</w:t>
            </w:r>
            <w:r>
              <w:rPr>
                <w:rFonts w:eastAsia="Times New Roman" w:cs="Times New Roman"/>
                <w:szCs w:val="20"/>
              </w:rPr>
              <w:t>e</w:t>
            </w:r>
            <w:r>
              <w:rPr>
                <w:rFonts w:eastAsia="Times New Roman" w:cs="Times New Roman"/>
                <w:spacing w:val="1"/>
                <w:szCs w:val="20"/>
              </w:rPr>
              <w:t>d</w:t>
            </w:r>
            <w:r>
              <w:rPr>
                <w:rFonts w:eastAsia="Times New Roman" w:cs="Times New Roman"/>
                <w:spacing w:val="2"/>
                <w:szCs w:val="20"/>
              </w:rPr>
              <w:t>ł</w:t>
            </w:r>
            <w:r>
              <w:rPr>
                <w:rFonts w:eastAsia="Times New Roman" w:cs="Times New Roman"/>
                <w:spacing w:val="-1"/>
                <w:szCs w:val="20"/>
              </w:rPr>
              <w:t>u</w:t>
            </w:r>
            <w:r>
              <w:rPr>
                <w:rFonts w:eastAsia="Times New Roman" w:cs="Times New Roman"/>
                <w:szCs w:val="20"/>
              </w:rPr>
              <w:t>g</w:t>
            </w:r>
            <w:r>
              <w:rPr>
                <w:rFonts w:eastAsia="Times New Roman" w:cs="Times New Roman"/>
                <w:spacing w:val="-7"/>
                <w:szCs w:val="20"/>
              </w:rPr>
              <w:t xml:space="preserve"> </w:t>
            </w:r>
            <w:r>
              <w:rPr>
                <w:rFonts w:eastAsia="Times New Roman" w:cs="Times New Roman"/>
                <w:spacing w:val="2"/>
                <w:szCs w:val="20"/>
              </w:rPr>
              <w:t>P</w:t>
            </w:r>
            <w:r>
              <w:rPr>
                <w:rFonts w:eastAsia="Times New Roman" w:cs="Times New Roman"/>
                <w:spacing w:val="1"/>
                <w:szCs w:val="20"/>
              </w:rPr>
              <w:t>N</w:t>
            </w:r>
            <w:r>
              <w:rPr>
                <w:rFonts w:eastAsia="Times New Roman" w:cs="Times New Roman"/>
                <w:spacing w:val="-2"/>
                <w:szCs w:val="20"/>
              </w:rPr>
              <w:t>-</w:t>
            </w:r>
            <w:r>
              <w:rPr>
                <w:rFonts w:eastAsia="Times New Roman" w:cs="Times New Roman"/>
                <w:spacing w:val="3"/>
                <w:szCs w:val="20"/>
              </w:rPr>
              <w:t>E</w:t>
            </w:r>
            <w:r>
              <w:rPr>
                <w:rFonts w:eastAsia="Times New Roman" w:cs="Times New Roman"/>
                <w:szCs w:val="20"/>
              </w:rPr>
              <w:t>N</w:t>
            </w:r>
            <w:r>
              <w:rPr>
                <w:rFonts w:eastAsia="Times New Roman" w:cs="Times New Roman"/>
                <w:spacing w:val="-6"/>
                <w:szCs w:val="20"/>
              </w:rPr>
              <w:t xml:space="preserve"> </w:t>
            </w:r>
            <w:r>
              <w:rPr>
                <w:rFonts w:eastAsia="Times New Roman" w:cs="Times New Roman"/>
                <w:spacing w:val="1"/>
                <w:szCs w:val="20"/>
              </w:rPr>
              <w:t>174</w:t>
            </w:r>
            <w:r>
              <w:rPr>
                <w:rFonts w:eastAsia="Times New Roman" w:cs="Times New Roman"/>
                <w:spacing w:val="3"/>
                <w:szCs w:val="20"/>
              </w:rPr>
              <w:t>4</w:t>
            </w:r>
            <w:r>
              <w:rPr>
                <w:rFonts w:eastAsia="Times New Roman" w:cs="Times New Roman"/>
                <w:spacing w:val="-2"/>
                <w:szCs w:val="20"/>
              </w:rPr>
              <w:t>-</w:t>
            </w:r>
            <w:r>
              <w:rPr>
                <w:rFonts w:eastAsia="Times New Roman" w:cs="Times New Roman"/>
                <w:spacing w:val="1"/>
                <w:szCs w:val="20"/>
              </w:rPr>
              <w:t>1p</w:t>
            </w:r>
            <w:r>
              <w:rPr>
                <w:rFonts w:eastAsia="Times New Roman" w:cs="Times New Roman"/>
                <w:szCs w:val="20"/>
              </w:rPr>
              <w:t>.</w:t>
            </w:r>
            <w:r>
              <w:rPr>
                <w:rFonts w:eastAsia="Times New Roman" w:cs="Times New Roman"/>
                <w:spacing w:val="-6"/>
                <w:szCs w:val="20"/>
              </w:rPr>
              <w:t xml:space="preserve"> </w:t>
            </w:r>
            <w:r>
              <w:rPr>
                <w:rFonts w:eastAsia="Times New Roman" w:cs="Times New Roman"/>
                <w:spacing w:val="-1"/>
                <w:szCs w:val="20"/>
              </w:rPr>
              <w:t>1</w:t>
            </w:r>
            <w:r>
              <w:rPr>
                <w:rFonts w:eastAsia="Times New Roman" w:cs="Times New Roman"/>
                <w:spacing w:val="1"/>
                <w:szCs w:val="20"/>
              </w:rPr>
              <w:t>4</w:t>
            </w:r>
            <w:r>
              <w:rPr>
                <w:rFonts w:eastAsia="Times New Roman" w:cs="Times New Roman"/>
                <w:szCs w:val="20"/>
              </w:rPr>
              <w:t>.</w:t>
            </w:r>
            <w:r>
              <w:rPr>
                <w:rFonts w:eastAsia="Times New Roman" w:cs="Times New Roman"/>
                <w:spacing w:val="1"/>
                <w:szCs w:val="20"/>
              </w:rPr>
              <w:t>2</w:t>
            </w:r>
            <w:r>
              <w:rPr>
                <w:rFonts w:eastAsia="Times New Roman" w:cs="Times New Roman"/>
                <w:szCs w:val="20"/>
              </w:rPr>
              <w:t>,</w:t>
            </w:r>
          </w:p>
          <w:p w:rsidR="00B77F00" w:rsidRDefault="00865FA3">
            <w:pPr>
              <w:pStyle w:val="Standard"/>
              <w:rPr>
                <w:szCs w:val="20"/>
              </w:rPr>
            </w:pPr>
            <w:r>
              <w:rPr>
                <w:rFonts w:eastAsia="Times New Roman" w:cs="Times New Roman"/>
                <w:spacing w:val="-1"/>
                <w:szCs w:val="20"/>
              </w:rPr>
              <w:t>k</w:t>
            </w:r>
            <w:r>
              <w:rPr>
                <w:rFonts w:eastAsia="Times New Roman" w:cs="Times New Roman"/>
                <w:szCs w:val="20"/>
              </w:rPr>
              <w:t>ate</w:t>
            </w:r>
            <w:r>
              <w:rPr>
                <w:rFonts w:eastAsia="Times New Roman" w:cs="Times New Roman"/>
                <w:spacing w:val="-1"/>
                <w:szCs w:val="20"/>
              </w:rPr>
              <w:t>g</w:t>
            </w:r>
            <w:r>
              <w:rPr>
                <w:rFonts w:eastAsia="Times New Roman" w:cs="Times New Roman"/>
                <w:spacing w:val="1"/>
                <w:szCs w:val="20"/>
              </w:rPr>
              <w:t>or</w:t>
            </w:r>
            <w:r>
              <w:rPr>
                <w:rFonts w:eastAsia="Times New Roman" w:cs="Times New Roman"/>
                <w:szCs w:val="20"/>
              </w:rPr>
              <w:t>ia</w:t>
            </w:r>
            <w:r>
              <w:rPr>
                <w:rFonts w:eastAsia="Times New Roman" w:cs="Times New Roman"/>
                <w:spacing w:val="-4"/>
                <w:szCs w:val="20"/>
              </w:rPr>
              <w:t xml:space="preserve"> </w:t>
            </w:r>
            <w:r>
              <w:rPr>
                <w:rFonts w:eastAsia="Times New Roman" w:cs="Times New Roman"/>
                <w:spacing w:val="-1"/>
                <w:szCs w:val="20"/>
              </w:rPr>
              <w:t>n</w:t>
            </w:r>
            <w:r>
              <w:rPr>
                <w:rFonts w:eastAsia="Times New Roman" w:cs="Times New Roman"/>
                <w:szCs w:val="20"/>
              </w:rPr>
              <w:t>ie</w:t>
            </w:r>
            <w:r>
              <w:rPr>
                <w:rFonts w:eastAsia="Times New Roman" w:cs="Times New Roman"/>
                <w:spacing w:val="1"/>
                <w:szCs w:val="20"/>
              </w:rPr>
              <w:t xml:space="preserve"> </w:t>
            </w:r>
            <w:r>
              <w:rPr>
                <w:rFonts w:eastAsia="Times New Roman" w:cs="Times New Roman"/>
                <w:spacing w:val="-2"/>
                <w:szCs w:val="20"/>
              </w:rPr>
              <w:t>w</w:t>
            </w:r>
            <w:r>
              <w:rPr>
                <w:rFonts w:eastAsia="Times New Roman" w:cs="Times New Roman"/>
                <w:spacing w:val="-1"/>
                <w:szCs w:val="20"/>
              </w:rPr>
              <w:t>y</w:t>
            </w:r>
            <w:r>
              <w:rPr>
                <w:rFonts w:eastAsia="Times New Roman" w:cs="Times New Roman"/>
                <w:spacing w:val="3"/>
                <w:szCs w:val="20"/>
              </w:rPr>
              <w:t>ż</w:t>
            </w:r>
            <w:r>
              <w:rPr>
                <w:rFonts w:eastAsia="Times New Roman" w:cs="Times New Roman"/>
                <w:spacing w:val="-1"/>
                <w:szCs w:val="20"/>
              </w:rPr>
              <w:t>s</w:t>
            </w:r>
            <w:r>
              <w:rPr>
                <w:rFonts w:eastAsia="Times New Roman" w:cs="Times New Roman"/>
                <w:szCs w:val="20"/>
              </w:rPr>
              <w:t>za</w:t>
            </w:r>
            <w:r>
              <w:rPr>
                <w:rFonts w:eastAsia="Times New Roman" w:cs="Times New Roman"/>
                <w:spacing w:val="-5"/>
                <w:szCs w:val="20"/>
              </w:rPr>
              <w:t xml:space="preserve"> </w:t>
            </w:r>
            <w:r>
              <w:rPr>
                <w:rFonts w:eastAsia="Times New Roman" w:cs="Times New Roman"/>
                <w:spacing w:val="-1"/>
                <w:szCs w:val="20"/>
              </w:rPr>
              <w:t>n</w:t>
            </w:r>
            <w:r>
              <w:rPr>
                <w:rFonts w:eastAsia="Times New Roman" w:cs="Times New Roman"/>
                <w:szCs w:val="20"/>
              </w:rPr>
              <w:t>i</w:t>
            </w:r>
            <w:r>
              <w:rPr>
                <w:rFonts w:eastAsia="Times New Roman" w:cs="Times New Roman"/>
                <w:spacing w:val="2"/>
                <w:szCs w:val="20"/>
              </w:rPr>
              <w:t>ż</w:t>
            </w:r>
            <w:r>
              <w:rPr>
                <w:rFonts w:eastAsia="Times New Roman" w:cs="Times New Roman"/>
                <w:szCs w:val="20"/>
              </w:rPr>
              <w:t>:</w:t>
            </w:r>
          </w:p>
        </w:tc>
        <w:tc>
          <w:tcPr>
            <w:tcW w:w="5534" w:type="dxa"/>
            <w:gridSpan w:val="5"/>
            <w:tcBorders>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i/>
                <w:w w:val="99"/>
                <w:szCs w:val="20"/>
              </w:rPr>
              <w:t>m</w:t>
            </w:r>
            <w:r>
              <w:rPr>
                <w:rFonts w:eastAsia="Times New Roman" w:cs="Times New Roman"/>
                <w:spacing w:val="-2"/>
                <w:w w:val="99"/>
                <w:position w:val="-5"/>
                <w:szCs w:val="20"/>
              </w:rPr>
              <w:t>L</w:t>
            </w:r>
            <w:r>
              <w:rPr>
                <w:rFonts w:eastAsia="Times New Roman" w:cs="Times New Roman"/>
                <w:spacing w:val="2"/>
                <w:w w:val="99"/>
                <w:position w:val="-5"/>
                <w:szCs w:val="20"/>
              </w:rPr>
              <w:t>P</w:t>
            </w:r>
            <w:r>
              <w:rPr>
                <w:rFonts w:eastAsia="Times New Roman" w:cs="Times New Roman"/>
                <w:w w:val="99"/>
                <w:position w:val="-5"/>
                <w:szCs w:val="20"/>
              </w:rPr>
              <w:t>C</w:t>
            </w:r>
            <w:r>
              <w:rPr>
                <w:rFonts w:eastAsia="Times New Roman" w:cs="Times New Roman"/>
                <w:spacing w:val="1"/>
                <w:w w:val="99"/>
                <w:szCs w:val="20"/>
              </w:rPr>
              <w:t>0</w:t>
            </w:r>
            <w:r>
              <w:rPr>
                <w:rFonts w:eastAsia="Times New Roman" w:cs="Times New Roman"/>
                <w:w w:val="99"/>
                <w:szCs w:val="20"/>
              </w:rPr>
              <w:t>,1</w:t>
            </w:r>
          </w:p>
        </w:tc>
      </w:tr>
    </w:tbl>
    <w:p w:rsidR="00B77F00" w:rsidRDefault="00B77F00">
      <w:pPr>
        <w:pStyle w:val="Standard"/>
        <w:rPr>
          <w:szCs w:val="20"/>
        </w:rPr>
      </w:pPr>
    </w:p>
    <w:p w:rsidR="00B77F00" w:rsidRDefault="00865FA3">
      <w:pPr>
        <w:pStyle w:val="Standard"/>
        <w:rPr>
          <w:szCs w:val="20"/>
        </w:rPr>
      </w:pPr>
      <w:r>
        <w:rPr>
          <w:szCs w:val="20"/>
        </w:rPr>
        <w:t>Tablica 3. Wymagane właściwości kruszywa łamanego drobnego lub o ciągłym uziarnieniu do D=8mm do przeciwspadku z asfaltu lanego.</w:t>
      </w:r>
    </w:p>
    <w:tbl>
      <w:tblPr>
        <w:tblW w:w="9638" w:type="dxa"/>
        <w:tblLayout w:type="fixed"/>
        <w:tblCellMar>
          <w:left w:w="10" w:type="dxa"/>
          <w:right w:w="10" w:type="dxa"/>
        </w:tblCellMar>
        <w:tblLook w:val="0000" w:firstRow="0" w:lastRow="0" w:firstColumn="0" w:lastColumn="0" w:noHBand="0" w:noVBand="0"/>
      </w:tblPr>
      <w:tblGrid>
        <w:gridCol w:w="7067"/>
        <w:gridCol w:w="1285"/>
        <w:gridCol w:w="247"/>
        <w:gridCol w:w="1039"/>
      </w:tblGrid>
      <w:tr w:rsidR="00B77F00">
        <w:tblPrEx>
          <w:tblCellMar>
            <w:top w:w="0" w:type="dxa"/>
            <w:bottom w:w="0" w:type="dxa"/>
          </w:tblCellMar>
        </w:tblPrEx>
        <w:trPr>
          <w:cantSplit/>
        </w:trPr>
        <w:tc>
          <w:tcPr>
            <w:tcW w:w="7067" w:type="dxa"/>
            <w:vMerge w:val="restart"/>
            <w:tcBorders>
              <w:top w:val="single" w:sz="4" w:space="0" w:color="000001"/>
              <w:left w:val="single" w:sz="4" w:space="0" w:color="000001"/>
              <w:right w:val="single" w:sz="4" w:space="0" w:color="000001"/>
            </w:tcBorders>
            <w:tcMar>
              <w:top w:w="0" w:type="dxa"/>
              <w:left w:w="0" w:type="dxa"/>
              <w:bottom w:w="0" w:type="dxa"/>
              <w:right w:w="0" w:type="dxa"/>
            </w:tcMar>
          </w:tcPr>
          <w:p w:rsidR="00B77F00" w:rsidRDefault="00B77F00">
            <w:pPr>
              <w:pStyle w:val="Standard"/>
              <w:rPr>
                <w:szCs w:val="20"/>
              </w:rPr>
            </w:pPr>
          </w:p>
          <w:p w:rsidR="00B77F00" w:rsidRDefault="00865FA3">
            <w:pPr>
              <w:pStyle w:val="Standard"/>
              <w:rPr>
                <w:szCs w:val="20"/>
              </w:rPr>
            </w:pPr>
            <w:r>
              <w:rPr>
                <w:rFonts w:eastAsia="Times New Roman" w:cs="Times New Roman"/>
                <w:spacing w:val="1"/>
                <w:szCs w:val="20"/>
              </w:rPr>
              <w:t>W</w:t>
            </w:r>
            <w:r>
              <w:rPr>
                <w:rFonts w:eastAsia="Times New Roman" w:cs="Times New Roman"/>
                <w:szCs w:val="20"/>
              </w:rPr>
              <w:t>łaśc</w:t>
            </w:r>
            <w:r>
              <w:rPr>
                <w:rFonts w:eastAsia="Times New Roman" w:cs="Times New Roman"/>
                <w:spacing w:val="2"/>
                <w:szCs w:val="20"/>
              </w:rPr>
              <w:t>i</w:t>
            </w:r>
            <w:r>
              <w:rPr>
                <w:rFonts w:eastAsia="Times New Roman" w:cs="Times New Roman"/>
                <w:spacing w:val="-5"/>
                <w:szCs w:val="20"/>
              </w:rPr>
              <w:t>w</w:t>
            </w:r>
            <w:r>
              <w:rPr>
                <w:rFonts w:eastAsia="Times New Roman" w:cs="Times New Roman"/>
                <w:spacing w:val="3"/>
                <w:szCs w:val="20"/>
              </w:rPr>
              <w:t>o</w:t>
            </w:r>
            <w:r>
              <w:rPr>
                <w:rFonts w:eastAsia="Times New Roman" w:cs="Times New Roman"/>
                <w:spacing w:val="-1"/>
                <w:szCs w:val="20"/>
              </w:rPr>
              <w:t>ś</w:t>
            </w:r>
            <w:r>
              <w:rPr>
                <w:rFonts w:eastAsia="Times New Roman" w:cs="Times New Roman"/>
                <w:szCs w:val="20"/>
              </w:rPr>
              <w:t>ci</w:t>
            </w:r>
            <w:r>
              <w:rPr>
                <w:rFonts w:eastAsia="Times New Roman" w:cs="Times New Roman"/>
                <w:spacing w:val="-10"/>
                <w:szCs w:val="20"/>
              </w:rPr>
              <w:t xml:space="preserve"> </w:t>
            </w:r>
            <w:r>
              <w:rPr>
                <w:rFonts w:eastAsia="Times New Roman" w:cs="Times New Roman"/>
                <w:spacing w:val="-1"/>
                <w:szCs w:val="20"/>
              </w:rPr>
              <w:t>k</w:t>
            </w:r>
            <w:r>
              <w:rPr>
                <w:rFonts w:eastAsia="Times New Roman" w:cs="Times New Roman"/>
                <w:spacing w:val="3"/>
                <w:szCs w:val="20"/>
              </w:rPr>
              <w:t>r</w:t>
            </w:r>
            <w:r>
              <w:rPr>
                <w:rFonts w:eastAsia="Times New Roman" w:cs="Times New Roman"/>
                <w:spacing w:val="-1"/>
                <w:szCs w:val="20"/>
              </w:rPr>
              <w:t>us</w:t>
            </w:r>
            <w:r>
              <w:rPr>
                <w:rFonts w:eastAsia="Times New Roman" w:cs="Times New Roman"/>
                <w:spacing w:val="3"/>
                <w:szCs w:val="20"/>
              </w:rPr>
              <w:t>z</w:t>
            </w:r>
            <w:r>
              <w:rPr>
                <w:rFonts w:eastAsia="Times New Roman" w:cs="Times New Roman"/>
                <w:spacing w:val="1"/>
                <w:szCs w:val="20"/>
              </w:rPr>
              <w:t>y</w:t>
            </w:r>
            <w:r>
              <w:rPr>
                <w:rFonts w:eastAsia="Times New Roman" w:cs="Times New Roman"/>
                <w:spacing w:val="-2"/>
                <w:szCs w:val="20"/>
              </w:rPr>
              <w:t>w</w:t>
            </w:r>
            <w:r>
              <w:rPr>
                <w:rFonts w:eastAsia="Times New Roman" w:cs="Times New Roman"/>
                <w:szCs w:val="20"/>
              </w:rPr>
              <w:t>a</w:t>
            </w:r>
          </w:p>
        </w:tc>
        <w:tc>
          <w:tcPr>
            <w:tcW w:w="1532" w:type="dxa"/>
            <w:gridSpan w:val="2"/>
            <w:tcBorders>
              <w:top w:val="single" w:sz="4" w:space="0" w:color="000001"/>
              <w:left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1"/>
                <w:szCs w:val="20"/>
              </w:rPr>
              <w:t>W</w:t>
            </w:r>
            <w:r>
              <w:rPr>
                <w:rFonts w:eastAsia="Times New Roman" w:cs="Times New Roman"/>
                <w:spacing w:val="-1"/>
                <w:szCs w:val="20"/>
              </w:rPr>
              <w:t>ym</w:t>
            </w:r>
            <w:r>
              <w:rPr>
                <w:rFonts w:eastAsia="Times New Roman" w:cs="Times New Roman"/>
                <w:spacing w:val="3"/>
                <w:szCs w:val="20"/>
              </w:rPr>
              <w:t>a</w:t>
            </w:r>
            <w:r>
              <w:rPr>
                <w:rFonts w:eastAsia="Times New Roman" w:cs="Times New Roman"/>
                <w:spacing w:val="-1"/>
                <w:szCs w:val="20"/>
              </w:rPr>
              <w:t>g</w:t>
            </w:r>
            <w:r>
              <w:rPr>
                <w:rFonts w:eastAsia="Times New Roman" w:cs="Times New Roman"/>
                <w:szCs w:val="20"/>
              </w:rPr>
              <w:t>a</w:t>
            </w:r>
            <w:r>
              <w:rPr>
                <w:rFonts w:eastAsia="Times New Roman" w:cs="Times New Roman"/>
                <w:spacing w:val="1"/>
                <w:szCs w:val="20"/>
              </w:rPr>
              <w:t>n</w:t>
            </w:r>
            <w:r>
              <w:rPr>
                <w:rFonts w:eastAsia="Times New Roman" w:cs="Times New Roman"/>
                <w:szCs w:val="20"/>
              </w:rPr>
              <w:t>ia</w:t>
            </w:r>
            <w:r>
              <w:rPr>
                <w:rFonts w:eastAsia="Times New Roman" w:cs="Times New Roman"/>
                <w:spacing w:val="-7"/>
                <w:szCs w:val="20"/>
              </w:rPr>
              <w:t xml:space="preserve"> </w:t>
            </w:r>
            <w:r>
              <w:rPr>
                <w:rFonts w:eastAsia="Times New Roman" w:cs="Times New Roman"/>
                <w:szCs w:val="20"/>
              </w:rPr>
              <w:t>w</w:t>
            </w:r>
            <w:r>
              <w:rPr>
                <w:rFonts w:eastAsia="Times New Roman" w:cs="Times New Roman"/>
                <w:spacing w:val="-5"/>
                <w:szCs w:val="20"/>
              </w:rPr>
              <w:t xml:space="preserve"> </w:t>
            </w:r>
            <w:r>
              <w:rPr>
                <w:rFonts w:eastAsia="Times New Roman" w:cs="Times New Roman"/>
                <w:szCs w:val="20"/>
              </w:rPr>
              <w:t>z</w:t>
            </w:r>
            <w:r>
              <w:rPr>
                <w:rFonts w:eastAsia="Times New Roman" w:cs="Times New Roman"/>
                <w:spacing w:val="3"/>
                <w:szCs w:val="20"/>
              </w:rPr>
              <w:t>a</w:t>
            </w:r>
            <w:r>
              <w:rPr>
                <w:rFonts w:eastAsia="Times New Roman" w:cs="Times New Roman"/>
                <w:szCs w:val="20"/>
              </w:rPr>
              <w:t>leż</w:t>
            </w:r>
            <w:r>
              <w:rPr>
                <w:rFonts w:eastAsia="Times New Roman" w:cs="Times New Roman"/>
                <w:spacing w:val="-1"/>
                <w:szCs w:val="20"/>
              </w:rPr>
              <w:t>n</w:t>
            </w:r>
            <w:r>
              <w:rPr>
                <w:rFonts w:eastAsia="Times New Roman" w:cs="Times New Roman"/>
                <w:spacing w:val="1"/>
                <w:szCs w:val="20"/>
              </w:rPr>
              <w:t>o</w:t>
            </w:r>
            <w:r>
              <w:rPr>
                <w:rFonts w:eastAsia="Times New Roman" w:cs="Times New Roman"/>
                <w:spacing w:val="-1"/>
                <w:szCs w:val="20"/>
              </w:rPr>
              <w:t>ś</w:t>
            </w:r>
            <w:r>
              <w:rPr>
                <w:rFonts w:eastAsia="Times New Roman" w:cs="Times New Roman"/>
                <w:spacing w:val="3"/>
                <w:szCs w:val="20"/>
              </w:rPr>
              <w:t>c</w:t>
            </w:r>
            <w:r>
              <w:rPr>
                <w:rFonts w:eastAsia="Times New Roman" w:cs="Times New Roman"/>
                <w:szCs w:val="20"/>
              </w:rPr>
              <w:t>i</w:t>
            </w:r>
            <w:r>
              <w:rPr>
                <w:rFonts w:eastAsia="Times New Roman" w:cs="Times New Roman"/>
                <w:spacing w:val="-8"/>
                <w:szCs w:val="20"/>
              </w:rPr>
              <w:t xml:space="preserve"> </w:t>
            </w:r>
            <w:r>
              <w:rPr>
                <w:rFonts w:eastAsia="Times New Roman" w:cs="Times New Roman"/>
                <w:spacing w:val="1"/>
                <w:szCs w:val="20"/>
              </w:rPr>
              <w:t>o</w:t>
            </w:r>
            <w:r>
              <w:rPr>
                <w:rFonts w:eastAsia="Times New Roman" w:cs="Times New Roman"/>
                <w:szCs w:val="20"/>
              </w:rPr>
              <w:t>d</w:t>
            </w:r>
            <w:r>
              <w:rPr>
                <w:rFonts w:eastAsia="Times New Roman" w:cs="Times New Roman"/>
                <w:spacing w:val="-1"/>
                <w:szCs w:val="20"/>
              </w:rPr>
              <w:t xml:space="preserve"> k</w:t>
            </w:r>
            <w:r>
              <w:rPr>
                <w:rFonts w:eastAsia="Times New Roman" w:cs="Times New Roman"/>
                <w:szCs w:val="20"/>
              </w:rPr>
              <w:t>ate</w:t>
            </w:r>
            <w:r>
              <w:rPr>
                <w:rFonts w:eastAsia="Times New Roman" w:cs="Times New Roman"/>
                <w:spacing w:val="-1"/>
                <w:szCs w:val="20"/>
              </w:rPr>
              <w:t>g</w:t>
            </w:r>
            <w:r>
              <w:rPr>
                <w:rFonts w:eastAsia="Times New Roman" w:cs="Times New Roman"/>
                <w:spacing w:val="1"/>
                <w:szCs w:val="20"/>
              </w:rPr>
              <w:t>or</w:t>
            </w:r>
            <w:r>
              <w:rPr>
                <w:rFonts w:eastAsia="Times New Roman" w:cs="Times New Roman"/>
                <w:szCs w:val="20"/>
              </w:rPr>
              <w:t>ii</w:t>
            </w:r>
            <w:r>
              <w:rPr>
                <w:rFonts w:eastAsia="Times New Roman" w:cs="Times New Roman"/>
                <w:spacing w:val="-4"/>
                <w:szCs w:val="20"/>
              </w:rPr>
              <w:t xml:space="preserve"> </w:t>
            </w:r>
            <w:r>
              <w:rPr>
                <w:rFonts w:eastAsia="Times New Roman" w:cs="Times New Roman"/>
                <w:spacing w:val="1"/>
                <w:szCs w:val="20"/>
              </w:rPr>
              <w:t>r</w:t>
            </w:r>
            <w:r>
              <w:rPr>
                <w:rFonts w:eastAsia="Times New Roman" w:cs="Times New Roman"/>
                <w:spacing w:val="-1"/>
                <w:szCs w:val="20"/>
              </w:rPr>
              <w:t>u</w:t>
            </w:r>
            <w:r>
              <w:rPr>
                <w:rFonts w:eastAsia="Times New Roman" w:cs="Times New Roman"/>
                <w:szCs w:val="20"/>
              </w:rPr>
              <w:t>c</w:t>
            </w:r>
            <w:r>
              <w:rPr>
                <w:rFonts w:eastAsia="Times New Roman" w:cs="Times New Roman"/>
                <w:spacing w:val="1"/>
                <w:szCs w:val="20"/>
              </w:rPr>
              <w:t>h</w:t>
            </w:r>
            <w:r>
              <w:rPr>
                <w:rFonts w:eastAsia="Times New Roman" w:cs="Times New Roman"/>
                <w:szCs w:val="20"/>
              </w:rPr>
              <w:t>u</w:t>
            </w:r>
          </w:p>
        </w:tc>
        <w:tc>
          <w:tcPr>
            <w:tcW w:w="1039" w:type="dxa"/>
          </w:tcPr>
          <w:p w:rsidR="00B77F00" w:rsidRDefault="00B77F00">
            <w:pPr>
              <w:pStyle w:val="Standard"/>
            </w:pPr>
          </w:p>
        </w:tc>
      </w:tr>
      <w:tr w:rsidR="00B77F00">
        <w:tblPrEx>
          <w:tblCellMar>
            <w:top w:w="0" w:type="dxa"/>
            <w:bottom w:w="0" w:type="dxa"/>
          </w:tblCellMar>
        </w:tblPrEx>
        <w:trPr>
          <w:cantSplit/>
        </w:trPr>
        <w:tc>
          <w:tcPr>
            <w:tcW w:w="7067" w:type="dxa"/>
            <w:vMerge/>
            <w:tcBorders>
              <w:top w:val="single" w:sz="4" w:space="0" w:color="000001"/>
              <w:left w:val="single" w:sz="4" w:space="0" w:color="000001"/>
              <w:right w:val="single" w:sz="4" w:space="0" w:color="000001"/>
            </w:tcBorders>
            <w:tcMar>
              <w:top w:w="0" w:type="dxa"/>
              <w:left w:w="0" w:type="dxa"/>
              <w:bottom w:w="0" w:type="dxa"/>
              <w:right w:w="0" w:type="dxa"/>
            </w:tcMar>
          </w:tcPr>
          <w:p w:rsidR="00000000" w:rsidRDefault="00865FA3"/>
        </w:tc>
        <w:tc>
          <w:tcPr>
            <w:tcW w:w="128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K</w:t>
            </w:r>
            <w:r>
              <w:rPr>
                <w:rFonts w:eastAsia="Times New Roman" w:cs="Times New Roman"/>
                <w:spacing w:val="-1"/>
                <w:szCs w:val="20"/>
              </w:rPr>
              <w:t>R</w:t>
            </w:r>
            <w:r>
              <w:rPr>
                <w:rFonts w:eastAsia="Times New Roman" w:cs="Times New Roman"/>
                <w:szCs w:val="20"/>
              </w:rPr>
              <w:t>1</w:t>
            </w:r>
            <w:r>
              <w:rPr>
                <w:rFonts w:eastAsia="Times New Roman" w:cs="Times New Roman"/>
                <w:spacing w:val="-2"/>
                <w:szCs w:val="20"/>
              </w:rPr>
              <w:t xml:space="preserve"> </w:t>
            </w:r>
            <w:r>
              <w:rPr>
                <w:rFonts w:eastAsia="Symbol" w:cs="Symbol"/>
                <w:szCs w:val="20"/>
              </w:rPr>
              <w:t></w:t>
            </w:r>
            <w:r>
              <w:rPr>
                <w:rFonts w:eastAsia="Times New Roman" w:cs="Times New Roman"/>
                <w:szCs w:val="20"/>
              </w:rPr>
              <w:t xml:space="preserve"> K</w:t>
            </w:r>
            <w:r>
              <w:rPr>
                <w:rFonts w:eastAsia="Times New Roman" w:cs="Times New Roman"/>
                <w:spacing w:val="-1"/>
                <w:szCs w:val="20"/>
              </w:rPr>
              <w:t>R</w:t>
            </w:r>
            <w:r>
              <w:rPr>
                <w:rFonts w:eastAsia="Times New Roman" w:cs="Times New Roman"/>
                <w:szCs w:val="20"/>
              </w:rPr>
              <w:t>2</w:t>
            </w:r>
          </w:p>
        </w:tc>
        <w:tc>
          <w:tcPr>
            <w:tcW w:w="1286" w:type="dxa"/>
            <w:gridSpan w:val="2"/>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K</w:t>
            </w:r>
            <w:r>
              <w:rPr>
                <w:rFonts w:eastAsia="Times New Roman" w:cs="Times New Roman"/>
                <w:spacing w:val="-1"/>
                <w:szCs w:val="20"/>
              </w:rPr>
              <w:t>R</w:t>
            </w:r>
            <w:r>
              <w:rPr>
                <w:rFonts w:eastAsia="Times New Roman" w:cs="Times New Roman"/>
                <w:szCs w:val="20"/>
              </w:rPr>
              <w:t>3</w:t>
            </w:r>
            <w:r>
              <w:rPr>
                <w:rFonts w:eastAsia="Times New Roman" w:cs="Times New Roman"/>
                <w:spacing w:val="-2"/>
                <w:szCs w:val="20"/>
              </w:rPr>
              <w:t xml:space="preserve"> </w:t>
            </w:r>
            <w:r>
              <w:rPr>
                <w:rFonts w:eastAsia="Symbol" w:cs="Symbol"/>
                <w:szCs w:val="20"/>
              </w:rPr>
              <w:t></w:t>
            </w:r>
            <w:r>
              <w:rPr>
                <w:rFonts w:eastAsia="Times New Roman" w:cs="Times New Roman"/>
                <w:szCs w:val="20"/>
              </w:rPr>
              <w:t xml:space="preserve"> K</w:t>
            </w:r>
            <w:r>
              <w:rPr>
                <w:rFonts w:eastAsia="Times New Roman" w:cs="Times New Roman"/>
                <w:spacing w:val="-1"/>
                <w:szCs w:val="20"/>
              </w:rPr>
              <w:t>R</w:t>
            </w:r>
            <w:r>
              <w:rPr>
                <w:rFonts w:eastAsia="Times New Roman" w:cs="Times New Roman"/>
                <w:szCs w:val="20"/>
              </w:rPr>
              <w:t>4</w:t>
            </w:r>
          </w:p>
        </w:tc>
      </w:tr>
      <w:tr w:rsidR="00B77F00">
        <w:tblPrEx>
          <w:tblCellMar>
            <w:top w:w="0" w:type="dxa"/>
            <w:bottom w:w="0" w:type="dxa"/>
          </w:tblCellMar>
        </w:tblPrEx>
        <w:trPr>
          <w:cantSplit/>
        </w:trPr>
        <w:tc>
          <w:tcPr>
            <w:tcW w:w="7067"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tcPr>
          <w:p w:rsidR="00B77F00" w:rsidRDefault="00865FA3">
            <w:pPr>
              <w:pStyle w:val="Standard"/>
              <w:rPr>
                <w:szCs w:val="20"/>
              </w:rPr>
            </w:pPr>
            <w:r>
              <w:rPr>
                <w:rFonts w:eastAsia="Times New Roman" w:cs="Times New Roman"/>
                <w:szCs w:val="20"/>
              </w:rPr>
              <w:t>Uzi</w:t>
            </w:r>
            <w:r>
              <w:rPr>
                <w:rFonts w:eastAsia="Times New Roman" w:cs="Times New Roman"/>
                <w:spacing w:val="1"/>
                <w:szCs w:val="20"/>
              </w:rPr>
              <w:t>ar</w:t>
            </w:r>
            <w:r>
              <w:rPr>
                <w:rFonts w:eastAsia="Times New Roman" w:cs="Times New Roman"/>
                <w:spacing w:val="-1"/>
                <w:szCs w:val="20"/>
              </w:rPr>
              <w:t>n</w:t>
            </w:r>
            <w:r>
              <w:rPr>
                <w:rFonts w:eastAsia="Times New Roman" w:cs="Times New Roman"/>
                <w:szCs w:val="20"/>
              </w:rPr>
              <w:t>i</w:t>
            </w:r>
            <w:r>
              <w:rPr>
                <w:rFonts w:eastAsia="Times New Roman" w:cs="Times New Roman"/>
                <w:spacing w:val="2"/>
                <w:szCs w:val="20"/>
              </w:rPr>
              <w:t>e</w:t>
            </w:r>
            <w:r>
              <w:rPr>
                <w:rFonts w:eastAsia="Times New Roman" w:cs="Times New Roman"/>
                <w:spacing w:val="-1"/>
                <w:szCs w:val="20"/>
              </w:rPr>
              <w:t>n</w:t>
            </w:r>
            <w:r>
              <w:rPr>
                <w:rFonts w:eastAsia="Times New Roman" w:cs="Times New Roman"/>
                <w:szCs w:val="20"/>
              </w:rPr>
              <w:t>ie</w:t>
            </w:r>
            <w:r>
              <w:rPr>
                <w:rFonts w:eastAsia="Times New Roman" w:cs="Times New Roman"/>
                <w:spacing w:val="-6"/>
                <w:szCs w:val="20"/>
              </w:rPr>
              <w:t xml:space="preserve"> </w:t>
            </w:r>
            <w:r>
              <w:rPr>
                <w:rFonts w:eastAsia="Times New Roman" w:cs="Times New Roman"/>
                <w:spacing w:val="-2"/>
                <w:szCs w:val="20"/>
              </w:rPr>
              <w:t>w</w:t>
            </w:r>
            <w:r>
              <w:rPr>
                <w:rFonts w:eastAsia="Times New Roman" w:cs="Times New Roman"/>
                <w:szCs w:val="20"/>
              </w:rPr>
              <w:t>e</w:t>
            </w:r>
            <w:r>
              <w:rPr>
                <w:rFonts w:eastAsia="Times New Roman" w:cs="Times New Roman"/>
                <w:spacing w:val="1"/>
                <w:szCs w:val="20"/>
              </w:rPr>
              <w:t>d</w:t>
            </w:r>
            <w:r>
              <w:rPr>
                <w:rFonts w:eastAsia="Times New Roman" w:cs="Times New Roman"/>
                <w:szCs w:val="20"/>
              </w:rPr>
              <w:t>ł</w:t>
            </w:r>
            <w:r>
              <w:rPr>
                <w:rFonts w:eastAsia="Times New Roman" w:cs="Times New Roman"/>
                <w:spacing w:val="1"/>
                <w:szCs w:val="20"/>
              </w:rPr>
              <w:t>u</w:t>
            </w:r>
            <w:r>
              <w:rPr>
                <w:rFonts w:eastAsia="Times New Roman" w:cs="Times New Roman"/>
                <w:szCs w:val="20"/>
              </w:rPr>
              <w:t>g</w:t>
            </w:r>
            <w:r>
              <w:rPr>
                <w:rFonts w:eastAsia="Times New Roman" w:cs="Times New Roman"/>
                <w:spacing w:val="-7"/>
                <w:szCs w:val="20"/>
              </w:rPr>
              <w:t xml:space="preserve"> </w:t>
            </w:r>
            <w:r>
              <w:rPr>
                <w:rFonts w:eastAsia="Times New Roman" w:cs="Times New Roman"/>
                <w:spacing w:val="2"/>
                <w:szCs w:val="20"/>
              </w:rPr>
              <w:t>PN</w:t>
            </w:r>
            <w:r>
              <w:rPr>
                <w:rFonts w:eastAsia="Times New Roman" w:cs="Times New Roman"/>
                <w:spacing w:val="-2"/>
                <w:szCs w:val="20"/>
              </w:rPr>
              <w:t>-</w:t>
            </w:r>
            <w:r>
              <w:rPr>
                <w:rFonts w:eastAsia="Times New Roman" w:cs="Times New Roman"/>
                <w:szCs w:val="20"/>
              </w:rPr>
              <w:t>EN</w:t>
            </w:r>
            <w:r>
              <w:rPr>
                <w:rFonts w:eastAsia="Times New Roman" w:cs="Times New Roman"/>
                <w:spacing w:val="-6"/>
                <w:szCs w:val="20"/>
              </w:rPr>
              <w:t xml:space="preserve"> </w:t>
            </w:r>
            <w:r>
              <w:rPr>
                <w:rFonts w:eastAsia="Times New Roman" w:cs="Times New Roman"/>
                <w:spacing w:val="3"/>
                <w:szCs w:val="20"/>
              </w:rPr>
              <w:t>9</w:t>
            </w:r>
            <w:r>
              <w:rPr>
                <w:rFonts w:eastAsia="Times New Roman" w:cs="Times New Roman"/>
                <w:spacing w:val="1"/>
                <w:szCs w:val="20"/>
              </w:rPr>
              <w:t>3</w:t>
            </w:r>
            <w:r>
              <w:rPr>
                <w:rFonts w:eastAsia="Times New Roman" w:cs="Times New Roman"/>
                <w:spacing w:val="2"/>
                <w:szCs w:val="20"/>
              </w:rPr>
              <w:t>3</w:t>
            </w:r>
            <w:r>
              <w:rPr>
                <w:rFonts w:eastAsia="Times New Roman" w:cs="Times New Roman"/>
                <w:spacing w:val="-2"/>
                <w:szCs w:val="20"/>
              </w:rPr>
              <w:t>-</w:t>
            </w:r>
            <w:r>
              <w:rPr>
                <w:rFonts w:eastAsia="Times New Roman" w:cs="Times New Roman"/>
                <w:spacing w:val="1"/>
                <w:szCs w:val="20"/>
              </w:rPr>
              <w:t>1</w:t>
            </w:r>
            <w:r>
              <w:rPr>
                <w:rFonts w:eastAsia="Times New Roman" w:cs="Times New Roman"/>
                <w:szCs w:val="20"/>
              </w:rPr>
              <w:t>,</w:t>
            </w:r>
          </w:p>
          <w:p w:rsidR="00B77F00" w:rsidRDefault="00865FA3">
            <w:pPr>
              <w:pStyle w:val="Standard"/>
              <w:rPr>
                <w:szCs w:val="20"/>
              </w:rPr>
            </w:pPr>
            <w:r>
              <w:rPr>
                <w:rFonts w:eastAsia="Times New Roman" w:cs="Times New Roman"/>
                <w:szCs w:val="20"/>
              </w:rPr>
              <w:t>w</w:t>
            </w:r>
            <w:r>
              <w:rPr>
                <w:rFonts w:eastAsia="Times New Roman" w:cs="Times New Roman"/>
                <w:spacing w:val="1"/>
                <w:szCs w:val="20"/>
              </w:rPr>
              <w:t>y</w:t>
            </w:r>
            <w:r>
              <w:rPr>
                <w:rFonts w:eastAsia="Times New Roman" w:cs="Times New Roman"/>
                <w:spacing w:val="-1"/>
                <w:szCs w:val="20"/>
              </w:rPr>
              <w:t>m</w:t>
            </w:r>
            <w:r>
              <w:rPr>
                <w:rFonts w:eastAsia="Times New Roman" w:cs="Times New Roman"/>
                <w:szCs w:val="20"/>
              </w:rPr>
              <w:t>a</w:t>
            </w:r>
            <w:r>
              <w:rPr>
                <w:rFonts w:eastAsia="Times New Roman" w:cs="Times New Roman"/>
                <w:spacing w:val="-1"/>
                <w:szCs w:val="20"/>
              </w:rPr>
              <w:t>g</w:t>
            </w:r>
            <w:r>
              <w:rPr>
                <w:rFonts w:eastAsia="Times New Roman" w:cs="Times New Roman"/>
                <w:spacing w:val="3"/>
                <w:szCs w:val="20"/>
              </w:rPr>
              <w:t>a</w:t>
            </w:r>
            <w:r>
              <w:rPr>
                <w:rFonts w:eastAsia="Times New Roman" w:cs="Times New Roman"/>
                <w:spacing w:val="-1"/>
                <w:szCs w:val="20"/>
              </w:rPr>
              <w:t>n</w:t>
            </w:r>
            <w:r>
              <w:rPr>
                <w:rFonts w:eastAsia="Times New Roman" w:cs="Times New Roman"/>
                <w:szCs w:val="20"/>
              </w:rPr>
              <w:t>a</w:t>
            </w:r>
            <w:r>
              <w:rPr>
                <w:rFonts w:eastAsia="Times New Roman" w:cs="Times New Roman"/>
                <w:spacing w:val="-8"/>
                <w:szCs w:val="20"/>
              </w:rPr>
              <w:t xml:space="preserve"> </w:t>
            </w:r>
            <w:r>
              <w:rPr>
                <w:rFonts w:eastAsia="Times New Roman" w:cs="Times New Roman"/>
                <w:spacing w:val="-1"/>
                <w:szCs w:val="20"/>
              </w:rPr>
              <w:t>k</w:t>
            </w:r>
            <w:r>
              <w:rPr>
                <w:rFonts w:eastAsia="Times New Roman" w:cs="Times New Roman"/>
                <w:spacing w:val="3"/>
                <w:szCs w:val="20"/>
              </w:rPr>
              <w:t>a</w:t>
            </w:r>
            <w:r>
              <w:rPr>
                <w:rFonts w:eastAsia="Times New Roman" w:cs="Times New Roman"/>
                <w:szCs w:val="20"/>
              </w:rPr>
              <w:t>te</w:t>
            </w:r>
            <w:r>
              <w:rPr>
                <w:rFonts w:eastAsia="Times New Roman" w:cs="Times New Roman"/>
                <w:spacing w:val="-1"/>
                <w:szCs w:val="20"/>
              </w:rPr>
              <w:t>g</w:t>
            </w:r>
            <w:r>
              <w:rPr>
                <w:rFonts w:eastAsia="Times New Roman" w:cs="Times New Roman"/>
                <w:spacing w:val="1"/>
                <w:szCs w:val="20"/>
              </w:rPr>
              <w:t>or</w:t>
            </w:r>
            <w:r>
              <w:rPr>
                <w:rFonts w:eastAsia="Times New Roman" w:cs="Times New Roman"/>
                <w:szCs w:val="20"/>
              </w:rPr>
              <w:t>ia:</w:t>
            </w:r>
          </w:p>
        </w:tc>
        <w:tc>
          <w:tcPr>
            <w:tcW w:w="1532" w:type="dxa"/>
            <w:gridSpan w:val="2"/>
            <w:tcBorders>
              <w:left w:val="single" w:sz="4" w:space="0" w:color="000001"/>
              <w:right w:val="single" w:sz="4" w:space="0" w:color="000001"/>
            </w:tcBorders>
            <w:tcMar>
              <w:top w:w="0" w:type="dxa"/>
              <w:left w:w="0" w:type="dxa"/>
              <w:bottom w:w="0" w:type="dxa"/>
              <w:right w:w="0" w:type="dxa"/>
            </w:tcMar>
            <w:vAlign w:val="center"/>
          </w:tcPr>
          <w:p w:rsidR="00B77F00" w:rsidRDefault="00B77F00">
            <w:pPr>
              <w:pStyle w:val="Standard"/>
              <w:rPr>
                <w:szCs w:val="20"/>
              </w:rPr>
            </w:pPr>
          </w:p>
          <w:p w:rsidR="00B77F00" w:rsidRDefault="00865FA3">
            <w:pPr>
              <w:pStyle w:val="Standard"/>
              <w:rPr>
                <w:szCs w:val="20"/>
              </w:rPr>
            </w:pPr>
            <w:r>
              <w:rPr>
                <w:rFonts w:eastAsia="Times New Roman" w:cs="Times New Roman"/>
                <w:szCs w:val="20"/>
              </w:rPr>
              <w:t>G</w:t>
            </w:r>
            <w:r>
              <w:rPr>
                <w:rFonts w:eastAsia="Times New Roman" w:cs="Times New Roman"/>
                <w:position w:val="-5"/>
                <w:szCs w:val="20"/>
              </w:rPr>
              <w:t>F</w:t>
            </w:r>
            <w:r>
              <w:rPr>
                <w:rFonts w:eastAsia="Times New Roman" w:cs="Times New Roman"/>
                <w:spacing w:val="1"/>
                <w:szCs w:val="20"/>
              </w:rPr>
              <w:t>8</w:t>
            </w:r>
            <w:r>
              <w:rPr>
                <w:rFonts w:eastAsia="Times New Roman" w:cs="Times New Roman"/>
                <w:szCs w:val="20"/>
              </w:rPr>
              <w:t>5</w:t>
            </w:r>
            <w:r>
              <w:rPr>
                <w:rFonts w:eastAsia="Times New Roman" w:cs="Times New Roman"/>
                <w:spacing w:val="-3"/>
                <w:szCs w:val="20"/>
              </w:rPr>
              <w:t xml:space="preserve"> </w:t>
            </w:r>
            <w:r>
              <w:rPr>
                <w:rFonts w:eastAsia="Times New Roman" w:cs="Times New Roman"/>
                <w:szCs w:val="20"/>
              </w:rPr>
              <w:t>i</w:t>
            </w:r>
            <w:r>
              <w:rPr>
                <w:rFonts w:eastAsia="Times New Roman" w:cs="Times New Roman"/>
                <w:spacing w:val="-1"/>
                <w:szCs w:val="20"/>
              </w:rPr>
              <w:t xml:space="preserve"> </w:t>
            </w:r>
            <w:r>
              <w:rPr>
                <w:rFonts w:eastAsia="Times New Roman" w:cs="Times New Roman"/>
                <w:spacing w:val="1"/>
                <w:w w:val="99"/>
                <w:szCs w:val="20"/>
              </w:rPr>
              <w:t>G</w:t>
            </w:r>
            <w:r>
              <w:rPr>
                <w:rFonts w:eastAsia="Times New Roman" w:cs="Times New Roman"/>
                <w:spacing w:val="-2"/>
                <w:w w:val="99"/>
                <w:position w:val="-5"/>
                <w:szCs w:val="20"/>
              </w:rPr>
              <w:t>A</w:t>
            </w:r>
            <w:r>
              <w:rPr>
                <w:rFonts w:eastAsia="Times New Roman" w:cs="Times New Roman"/>
                <w:spacing w:val="1"/>
                <w:w w:val="99"/>
                <w:szCs w:val="20"/>
              </w:rPr>
              <w:t>85</w:t>
            </w:r>
          </w:p>
        </w:tc>
        <w:tc>
          <w:tcPr>
            <w:tcW w:w="1039" w:type="dxa"/>
          </w:tcPr>
          <w:p w:rsidR="00B77F00" w:rsidRDefault="00B77F00">
            <w:pPr>
              <w:pStyle w:val="Standard"/>
            </w:pPr>
          </w:p>
        </w:tc>
      </w:tr>
      <w:tr w:rsidR="00B77F00">
        <w:tblPrEx>
          <w:tblCellMar>
            <w:top w:w="0" w:type="dxa"/>
            <w:bottom w:w="0" w:type="dxa"/>
          </w:tblCellMar>
        </w:tblPrEx>
        <w:trPr>
          <w:cantSplit/>
        </w:trPr>
        <w:tc>
          <w:tcPr>
            <w:tcW w:w="7067"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tcPr>
          <w:p w:rsidR="00B77F00" w:rsidRDefault="00865FA3">
            <w:pPr>
              <w:pStyle w:val="Standard"/>
              <w:rPr>
                <w:szCs w:val="20"/>
              </w:rPr>
            </w:pPr>
            <w:r>
              <w:rPr>
                <w:rFonts w:eastAsia="Times New Roman" w:cs="Times New Roman"/>
                <w:spacing w:val="3"/>
                <w:szCs w:val="20"/>
              </w:rPr>
              <w:t>T</w:t>
            </w:r>
            <w:r>
              <w:rPr>
                <w:rFonts w:eastAsia="Times New Roman" w:cs="Times New Roman"/>
                <w:spacing w:val="1"/>
                <w:szCs w:val="20"/>
              </w:rPr>
              <w:t>o</w:t>
            </w:r>
            <w:r>
              <w:rPr>
                <w:rFonts w:eastAsia="Times New Roman" w:cs="Times New Roman"/>
                <w:szCs w:val="20"/>
              </w:rPr>
              <w:t>l</w:t>
            </w:r>
            <w:r>
              <w:rPr>
                <w:rFonts w:eastAsia="Times New Roman" w:cs="Times New Roman"/>
                <w:spacing w:val="-2"/>
                <w:szCs w:val="20"/>
              </w:rPr>
              <w:t>e</w:t>
            </w:r>
            <w:r>
              <w:rPr>
                <w:rFonts w:eastAsia="Times New Roman" w:cs="Times New Roman"/>
                <w:spacing w:val="1"/>
                <w:szCs w:val="20"/>
              </w:rPr>
              <w:t>r</w:t>
            </w:r>
            <w:r>
              <w:rPr>
                <w:rFonts w:eastAsia="Times New Roman" w:cs="Times New Roman"/>
                <w:szCs w:val="20"/>
              </w:rPr>
              <w:t>a</w:t>
            </w:r>
            <w:r>
              <w:rPr>
                <w:rFonts w:eastAsia="Times New Roman" w:cs="Times New Roman"/>
                <w:spacing w:val="-1"/>
                <w:szCs w:val="20"/>
              </w:rPr>
              <w:t>n</w:t>
            </w:r>
            <w:r>
              <w:rPr>
                <w:rFonts w:eastAsia="Times New Roman" w:cs="Times New Roman"/>
                <w:szCs w:val="20"/>
              </w:rPr>
              <w:t>c</w:t>
            </w:r>
            <w:r>
              <w:rPr>
                <w:rFonts w:eastAsia="Times New Roman" w:cs="Times New Roman"/>
                <w:spacing w:val="2"/>
                <w:szCs w:val="20"/>
              </w:rPr>
              <w:t>j</w:t>
            </w:r>
            <w:r>
              <w:rPr>
                <w:rFonts w:eastAsia="Times New Roman" w:cs="Times New Roman"/>
                <w:szCs w:val="20"/>
              </w:rPr>
              <w:t>a</w:t>
            </w:r>
            <w:r>
              <w:rPr>
                <w:rFonts w:eastAsia="Times New Roman" w:cs="Times New Roman"/>
                <w:spacing w:val="-8"/>
                <w:szCs w:val="20"/>
              </w:rPr>
              <w:t xml:space="preserve"> </w:t>
            </w:r>
            <w:r>
              <w:rPr>
                <w:rFonts w:eastAsia="Times New Roman" w:cs="Times New Roman"/>
                <w:spacing w:val="-1"/>
                <w:szCs w:val="20"/>
              </w:rPr>
              <w:t>u</w:t>
            </w:r>
            <w:r>
              <w:rPr>
                <w:rFonts w:eastAsia="Times New Roman" w:cs="Times New Roman"/>
                <w:szCs w:val="20"/>
              </w:rPr>
              <w:t>zia</w:t>
            </w:r>
            <w:r>
              <w:rPr>
                <w:rFonts w:eastAsia="Times New Roman" w:cs="Times New Roman"/>
                <w:spacing w:val="1"/>
                <w:szCs w:val="20"/>
              </w:rPr>
              <w:t>r</w:t>
            </w:r>
            <w:r>
              <w:rPr>
                <w:rFonts w:eastAsia="Times New Roman" w:cs="Times New Roman"/>
                <w:spacing w:val="-1"/>
                <w:szCs w:val="20"/>
              </w:rPr>
              <w:t>n</w:t>
            </w:r>
            <w:r>
              <w:rPr>
                <w:rFonts w:eastAsia="Times New Roman" w:cs="Times New Roman"/>
                <w:szCs w:val="20"/>
              </w:rPr>
              <w:t>ie</w:t>
            </w:r>
            <w:r>
              <w:rPr>
                <w:rFonts w:eastAsia="Times New Roman" w:cs="Times New Roman"/>
                <w:spacing w:val="-1"/>
                <w:szCs w:val="20"/>
              </w:rPr>
              <w:t>n</w:t>
            </w:r>
            <w:r>
              <w:rPr>
                <w:rFonts w:eastAsia="Times New Roman" w:cs="Times New Roman"/>
                <w:szCs w:val="20"/>
              </w:rPr>
              <w:t>ia;</w:t>
            </w:r>
            <w:r>
              <w:rPr>
                <w:rFonts w:eastAsia="Times New Roman" w:cs="Times New Roman"/>
                <w:spacing w:val="-9"/>
                <w:szCs w:val="20"/>
              </w:rPr>
              <w:t xml:space="preserve"> </w:t>
            </w:r>
            <w:r>
              <w:rPr>
                <w:rFonts w:eastAsia="Times New Roman" w:cs="Times New Roman"/>
                <w:spacing w:val="1"/>
                <w:szCs w:val="20"/>
              </w:rPr>
              <w:t>od</w:t>
            </w:r>
            <w:r>
              <w:rPr>
                <w:rFonts w:eastAsia="Times New Roman" w:cs="Times New Roman"/>
                <w:szCs w:val="20"/>
              </w:rPr>
              <w:t>c</w:t>
            </w:r>
            <w:r>
              <w:rPr>
                <w:rFonts w:eastAsia="Times New Roman" w:cs="Times New Roman"/>
                <w:spacing w:val="1"/>
                <w:szCs w:val="20"/>
              </w:rPr>
              <w:t>h</w:t>
            </w:r>
            <w:r>
              <w:rPr>
                <w:rFonts w:eastAsia="Times New Roman" w:cs="Times New Roman"/>
                <w:spacing w:val="-1"/>
                <w:szCs w:val="20"/>
              </w:rPr>
              <w:t>y</w:t>
            </w:r>
            <w:r>
              <w:rPr>
                <w:rFonts w:eastAsia="Times New Roman" w:cs="Times New Roman"/>
                <w:spacing w:val="2"/>
                <w:szCs w:val="20"/>
              </w:rPr>
              <w:t>l</w:t>
            </w:r>
            <w:r>
              <w:rPr>
                <w:rFonts w:eastAsia="Times New Roman" w:cs="Times New Roman"/>
                <w:szCs w:val="20"/>
              </w:rPr>
              <w:t>e</w:t>
            </w:r>
            <w:r>
              <w:rPr>
                <w:rFonts w:eastAsia="Times New Roman" w:cs="Times New Roman"/>
                <w:spacing w:val="-1"/>
                <w:szCs w:val="20"/>
              </w:rPr>
              <w:t>n</w:t>
            </w:r>
            <w:r>
              <w:rPr>
                <w:rFonts w:eastAsia="Times New Roman" w:cs="Times New Roman"/>
                <w:szCs w:val="20"/>
              </w:rPr>
              <w:t>ie</w:t>
            </w:r>
            <w:r>
              <w:rPr>
                <w:rFonts w:eastAsia="Times New Roman" w:cs="Times New Roman"/>
                <w:spacing w:val="-9"/>
                <w:szCs w:val="20"/>
              </w:rPr>
              <w:t xml:space="preserve"> </w:t>
            </w:r>
            <w:r>
              <w:rPr>
                <w:rFonts w:eastAsia="Times New Roman" w:cs="Times New Roman"/>
                <w:spacing w:val="-1"/>
                <w:szCs w:val="20"/>
              </w:rPr>
              <w:t>n</w:t>
            </w:r>
            <w:r>
              <w:rPr>
                <w:rFonts w:eastAsia="Times New Roman" w:cs="Times New Roman"/>
                <w:szCs w:val="20"/>
              </w:rPr>
              <w:t>ie</w:t>
            </w:r>
          </w:p>
          <w:p w:rsidR="00B77F00" w:rsidRDefault="00865FA3">
            <w:pPr>
              <w:pStyle w:val="Standard"/>
              <w:rPr>
                <w:szCs w:val="20"/>
              </w:rPr>
            </w:pPr>
            <w:r>
              <w:rPr>
                <w:rFonts w:eastAsia="Times New Roman" w:cs="Times New Roman"/>
                <w:spacing w:val="-2"/>
                <w:szCs w:val="20"/>
              </w:rPr>
              <w:t>w</w:t>
            </w:r>
            <w:r>
              <w:rPr>
                <w:rFonts w:eastAsia="Times New Roman" w:cs="Times New Roman"/>
                <w:szCs w:val="20"/>
              </w:rPr>
              <w:t>i</w:t>
            </w:r>
            <w:r>
              <w:rPr>
                <w:rFonts w:eastAsia="Times New Roman" w:cs="Times New Roman"/>
                <w:spacing w:val="2"/>
                <w:szCs w:val="20"/>
              </w:rPr>
              <w:t>ę</w:t>
            </w:r>
            <w:r>
              <w:rPr>
                <w:rFonts w:eastAsia="Times New Roman" w:cs="Times New Roman"/>
                <w:spacing w:val="-1"/>
                <w:szCs w:val="20"/>
              </w:rPr>
              <w:t>ks</w:t>
            </w:r>
            <w:r>
              <w:rPr>
                <w:rFonts w:eastAsia="Times New Roman" w:cs="Times New Roman"/>
                <w:szCs w:val="20"/>
              </w:rPr>
              <w:t>ze</w:t>
            </w:r>
            <w:r>
              <w:rPr>
                <w:rFonts w:eastAsia="Times New Roman" w:cs="Times New Roman"/>
                <w:spacing w:val="-3"/>
                <w:szCs w:val="20"/>
              </w:rPr>
              <w:t xml:space="preserve"> </w:t>
            </w:r>
            <w:r>
              <w:rPr>
                <w:rFonts w:eastAsia="Times New Roman" w:cs="Times New Roman"/>
                <w:spacing w:val="-1"/>
                <w:szCs w:val="20"/>
              </w:rPr>
              <w:t>n</w:t>
            </w:r>
            <w:r>
              <w:rPr>
                <w:rFonts w:eastAsia="Times New Roman" w:cs="Times New Roman"/>
                <w:szCs w:val="20"/>
              </w:rPr>
              <w:t>iż</w:t>
            </w:r>
            <w:r>
              <w:rPr>
                <w:rFonts w:eastAsia="Times New Roman" w:cs="Times New Roman"/>
                <w:spacing w:val="1"/>
                <w:szCs w:val="20"/>
              </w:rPr>
              <w:t xml:space="preserve"> </w:t>
            </w:r>
            <w:r>
              <w:rPr>
                <w:rFonts w:eastAsia="Times New Roman" w:cs="Times New Roman"/>
                <w:spacing w:val="-2"/>
                <w:szCs w:val="20"/>
              </w:rPr>
              <w:t>w</w:t>
            </w:r>
            <w:r>
              <w:rPr>
                <w:rFonts w:eastAsia="Times New Roman" w:cs="Times New Roman"/>
                <w:szCs w:val="20"/>
              </w:rPr>
              <w:t>e</w:t>
            </w:r>
            <w:r>
              <w:rPr>
                <w:rFonts w:eastAsia="Times New Roman" w:cs="Times New Roman"/>
                <w:spacing w:val="1"/>
                <w:szCs w:val="20"/>
              </w:rPr>
              <w:t>d</w:t>
            </w:r>
            <w:r>
              <w:rPr>
                <w:rFonts w:eastAsia="Times New Roman" w:cs="Times New Roman"/>
                <w:spacing w:val="2"/>
                <w:szCs w:val="20"/>
              </w:rPr>
              <w:t>ł</w:t>
            </w:r>
            <w:r>
              <w:rPr>
                <w:rFonts w:eastAsia="Times New Roman" w:cs="Times New Roman"/>
                <w:spacing w:val="-1"/>
                <w:szCs w:val="20"/>
              </w:rPr>
              <w:t>u</w:t>
            </w:r>
            <w:r>
              <w:rPr>
                <w:rFonts w:eastAsia="Times New Roman" w:cs="Times New Roman"/>
                <w:szCs w:val="20"/>
              </w:rPr>
              <w:t>g</w:t>
            </w:r>
            <w:r>
              <w:rPr>
                <w:rFonts w:eastAsia="Times New Roman" w:cs="Times New Roman"/>
                <w:spacing w:val="-5"/>
                <w:szCs w:val="20"/>
              </w:rPr>
              <w:t xml:space="preserve"> </w:t>
            </w:r>
            <w:r>
              <w:rPr>
                <w:rFonts w:eastAsia="Times New Roman" w:cs="Times New Roman"/>
                <w:spacing w:val="-1"/>
                <w:szCs w:val="20"/>
              </w:rPr>
              <w:t>k</w:t>
            </w:r>
            <w:r>
              <w:rPr>
                <w:rFonts w:eastAsia="Times New Roman" w:cs="Times New Roman"/>
                <w:szCs w:val="20"/>
              </w:rPr>
              <w:t>at</w:t>
            </w:r>
            <w:r>
              <w:rPr>
                <w:rFonts w:eastAsia="Times New Roman" w:cs="Times New Roman"/>
                <w:spacing w:val="3"/>
                <w:szCs w:val="20"/>
              </w:rPr>
              <w:t>e</w:t>
            </w:r>
            <w:r>
              <w:rPr>
                <w:rFonts w:eastAsia="Times New Roman" w:cs="Times New Roman"/>
                <w:spacing w:val="-1"/>
                <w:szCs w:val="20"/>
              </w:rPr>
              <w:t>g</w:t>
            </w:r>
            <w:r>
              <w:rPr>
                <w:rFonts w:eastAsia="Times New Roman" w:cs="Times New Roman"/>
                <w:spacing w:val="1"/>
                <w:szCs w:val="20"/>
              </w:rPr>
              <w:t>or</w:t>
            </w:r>
            <w:r>
              <w:rPr>
                <w:rFonts w:eastAsia="Times New Roman" w:cs="Times New Roman"/>
                <w:szCs w:val="20"/>
              </w:rPr>
              <w:t>ii:</w:t>
            </w:r>
          </w:p>
        </w:tc>
        <w:tc>
          <w:tcPr>
            <w:tcW w:w="128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B77F00">
            <w:pPr>
              <w:pStyle w:val="Standard"/>
              <w:rPr>
                <w:szCs w:val="20"/>
              </w:rPr>
            </w:pPr>
          </w:p>
          <w:p w:rsidR="00B77F00" w:rsidRDefault="00865FA3">
            <w:pPr>
              <w:pStyle w:val="Standard"/>
              <w:rPr>
                <w:szCs w:val="20"/>
              </w:rPr>
            </w:pPr>
            <w:r>
              <w:rPr>
                <w:rFonts w:eastAsia="Times New Roman" w:cs="Times New Roman"/>
                <w:szCs w:val="20"/>
              </w:rPr>
              <w:t>G</w:t>
            </w:r>
            <w:r>
              <w:rPr>
                <w:rFonts w:eastAsia="Times New Roman" w:cs="Times New Roman"/>
                <w:position w:val="-5"/>
                <w:szCs w:val="20"/>
              </w:rPr>
              <w:t>TC</w:t>
            </w:r>
            <w:r>
              <w:rPr>
                <w:rFonts w:eastAsia="Times New Roman" w:cs="Times New Roman"/>
                <w:szCs w:val="20"/>
              </w:rPr>
              <w:t>NR</w:t>
            </w:r>
          </w:p>
        </w:tc>
        <w:tc>
          <w:tcPr>
            <w:tcW w:w="1286" w:type="dxa"/>
            <w:gridSpan w:val="2"/>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B77F00">
            <w:pPr>
              <w:pStyle w:val="Standard"/>
              <w:rPr>
                <w:szCs w:val="20"/>
              </w:rPr>
            </w:pPr>
          </w:p>
          <w:p w:rsidR="00B77F00" w:rsidRDefault="00865FA3">
            <w:pPr>
              <w:pStyle w:val="Standard"/>
              <w:rPr>
                <w:szCs w:val="20"/>
              </w:rPr>
            </w:pPr>
            <w:r>
              <w:rPr>
                <w:rFonts w:eastAsia="Times New Roman" w:cs="Times New Roman"/>
                <w:szCs w:val="20"/>
              </w:rPr>
              <w:t>G</w:t>
            </w:r>
            <w:r>
              <w:rPr>
                <w:rFonts w:eastAsia="Times New Roman" w:cs="Times New Roman"/>
                <w:position w:val="-5"/>
                <w:szCs w:val="20"/>
              </w:rPr>
              <w:t>TC</w:t>
            </w:r>
            <w:r>
              <w:rPr>
                <w:rFonts w:eastAsia="Times New Roman" w:cs="Times New Roman"/>
                <w:spacing w:val="1"/>
                <w:szCs w:val="20"/>
              </w:rPr>
              <w:t>20</w:t>
            </w:r>
          </w:p>
        </w:tc>
      </w:tr>
      <w:tr w:rsidR="00B77F00">
        <w:tblPrEx>
          <w:tblCellMar>
            <w:top w:w="0" w:type="dxa"/>
            <w:bottom w:w="0" w:type="dxa"/>
          </w:tblCellMar>
        </w:tblPrEx>
        <w:trPr>
          <w:cantSplit/>
        </w:trPr>
        <w:tc>
          <w:tcPr>
            <w:tcW w:w="7067"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tcPr>
          <w:p w:rsidR="00B77F00" w:rsidRDefault="00865FA3">
            <w:pPr>
              <w:pStyle w:val="Standard"/>
              <w:rPr>
                <w:szCs w:val="20"/>
              </w:rPr>
            </w:pPr>
            <w:r>
              <w:rPr>
                <w:rFonts w:eastAsia="Times New Roman" w:cs="Times New Roman"/>
                <w:spacing w:val="-2"/>
                <w:szCs w:val="20"/>
              </w:rPr>
              <w:t>Z</w:t>
            </w:r>
            <w:r>
              <w:rPr>
                <w:rFonts w:eastAsia="Times New Roman" w:cs="Times New Roman"/>
                <w:spacing w:val="3"/>
                <w:szCs w:val="20"/>
              </w:rPr>
              <w:t>a</w:t>
            </w:r>
            <w:r>
              <w:rPr>
                <w:rFonts w:eastAsia="Times New Roman" w:cs="Times New Roman"/>
                <w:spacing w:val="-2"/>
                <w:szCs w:val="20"/>
              </w:rPr>
              <w:t>w</w:t>
            </w:r>
            <w:r>
              <w:rPr>
                <w:rFonts w:eastAsia="Times New Roman" w:cs="Times New Roman"/>
                <w:szCs w:val="20"/>
              </w:rPr>
              <w:t>a</w:t>
            </w:r>
            <w:r>
              <w:rPr>
                <w:rFonts w:eastAsia="Times New Roman" w:cs="Times New Roman"/>
                <w:spacing w:val="1"/>
                <w:szCs w:val="20"/>
              </w:rPr>
              <w:t>r</w:t>
            </w:r>
            <w:r>
              <w:rPr>
                <w:rFonts w:eastAsia="Times New Roman" w:cs="Times New Roman"/>
                <w:szCs w:val="20"/>
              </w:rPr>
              <w:t>t</w:t>
            </w:r>
            <w:r>
              <w:rPr>
                <w:rFonts w:eastAsia="Times New Roman" w:cs="Times New Roman"/>
                <w:spacing w:val="1"/>
                <w:szCs w:val="20"/>
              </w:rPr>
              <w:t>o</w:t>
            </w:r>
            <w:r>
              <w:rPr>
                <w:rFonts w:eastAsia="Times New Roman" w:cs="Times New Roman"/>
                <w:spacing w:val="-1"/>
                <w:szCs w:val="20"/>
              </w:rPr>
              <w:t>ś</w:t>
            </w:r>
            <w:r>
              <w:rPr>
                <w:rFonts w:eastAsia="Times New Roman" w:cs="Times New Roman"/>
                <w:szCs w:val="20"/>
              </w:rPr>
              <w:t>ć</w:t>
            </w:r>
            <w:r>
              <w:rPr>
                <w:rFonts w:eastAsia="Times New Roman" w:cs="Times New Roman"/>
                <w:spacing w:val="-7"/>
                <w:szCs w:val="20"/>
              </w:rPr>
              <w:t xml:space="preserve"> </w:t>
            </w:r>
            <w:r>
              <w:rPr>
                <w:rFonts w:eastAsia="Times New Roman" w:cs="Times New Roman"/>
                <w:spacing w:val="3"/>
                <w:szCs w:val="20"/>
              </w:rPr>
              <w:t>p</w:t>
            </w:r>
            <w:r>
              <w:rPr>
                <w:rFonts w:eastAsia="Times New Roman" w:cs="Times New Roman"/>
                <w:spacing w:val="-4"/>
                <w:szCs w:val="20"/>
              </w:rPr>
              <w:t>y</w:t>
            </w:r>
            <w:r>
              <w:rPr>
                <w:rFonts w:eastAsia="Times New Roman" w:cs="Times New Roman"/>
                <w:szCs w:val="20"/>
              </w:rPr>
              <w:t>ł</w:t>
            </w:r>
            <w:r>
              <w:rPr>
                <w:rFonts w:eastAsia="Times New Roman" w:cs="Times New Roman"/>
                <w:spacing w:val="3"/>
                <w:szCs w:val="20"/>
              </w:rPr>
              <w:t>ó</w:t>
            </w:r>
            <w:r>
              <w:rPr>
                <w:rFonts w:eastAsia="Times New Roman" w:cs="Times New Roman"/>
                <w:szCs w:val="20"/>
              </w:rPr>
              <w:t>w</w:t>
            </w:r>
            <w:r>
              <w:rPr>
                <w:rFonts w:eastAsia="Times New Roman" w:cs="Times New Roman"/>
                <w:spacing w:val="-5"/>
                <w:szCs w:val="20"/>
              </w:rPr>
              <w:t xml:space="preserve"> </w:t>
            </w:r>
            <w:r>
              <w:rPr>
                <w:rFonts w:eastAsia="Times New Roman" w:cs="Times New Roman"/>
                <w:spacing w:val="-2"/>
                <w:szCs w:val="20"/>
              </w:rPr>
              <w:t>w</w:t>
            </w:r>
            <w:r>
              <w:rPr>
                <w:rFonts w:eastAsia="Times New Roman" w:cs="Times New Roman"/>
                <w:szCs w:val="20"/>
              </w:rPr>
              <w:t>e</w:t>
            </w:r>
            <w:r>
              <w:rPr>
                <w:rFonts w:eastAsia="Times New Roman" w:cs="Times New Roman"/>
                <w:spacing w:val="1"/>
                <w:szCs w:val="20"/>
              </w:rPr>
              <w:t>d</w:t>
            </w:r>
            <w:r>
              <w:rPr>
                <w:rFonts w:eastAsia="Times New Roman" w:cs="Times New Roman"/>
                <w:spacing w:val="2"/>
                <w:szCs w:val="20"/>
              </w:rPr>
              <w:t>ł</w:t>
            </w:r>
            <w:r>
              <w:rPr>
                <w:rFonts w:eastAsia="Times New Roman" w:cs="Times New Roman"/>
                <w:spacing w:val="-1"/>
                <w:szCs w:val="20"/>
              </w:rPr>
              <w:t>u</w:t>
            </w:r>
            <w:r>
              <w:rPr>
                <w:rFonts w:eastAsia="Times New Roman" w:cs="Times New Roman"/>
                <w:szCs w:val="20"/>
              </w:rPr>
              <w:t>g</w:t>
            </w:r>
            <w:r>
              <w:rPr>
                <w:rFonts w:eastAsia="Times New Roman" w:cs="Times New Roman"/>
                <w:spacing w:val="-7"/>
                <w:szCs w:val="20"/>
              </w:rPr>
              <w:t xml:space="preserve"> </w:t>
            </w:r>
            <w:r>
              <w:rPr>
                <w:rFonts w:eastAsia="Times New Roman" w:cs="Times New Roman"/>
                <w:spacing w:val="2"/>
                <w:szCs w:val="20"/>
              </w:rPr>
              <w:t>P</w:t>
            </w:r>
            <w:r>
              <w:rPr>
                <w:rFonts w:eastAsia="Times New Roman" w:cs="Times New Roman"/>
                <w:spacing w:val="5"/>
                <w:szCs w:val="20"/>
              </w:rPr>
              <w:t>N</w:t>
            </w:r>
            <w:r>
              <w:rPr>
                <w:rFonts w:eastAsia="Times New Roman" w:cs="Times New Roman"/>
                <w:spacing w:val="1"/>
                <w:szCs w:val="20"/>
              </w:rPr>
              <w:t>-</w:t>
            </w:r>
            <w:r>
              <w:rPr>
                <w:rFonts w:eastAsia="Times New Roman" w:cs="Times New Roman"/>
                <w:szCs w:val="20"/>
              </w:rPr>
              <w:t>EN</w:t>
            </w:r>
          </w:p>
          <w:p w:rsidR="00B77F00" w:rsidRDefault="00865FA3">
            <w:pPr>
              <w:pStyle w:val="Standard"/>
              <w:rPr>
                <w:szCs w:val="20"/>
              </w:rPr>
            </w:pPr>
            <w:r>
              <w:rPr>
                <w:rFonts w:eastAsia="Times New Roman" w:cs="Times New Roman"/>
                <w:spacing w:val="1"/>
                <w:szCs w:val="20"/>
              </w:rPr>
              <w:t>933</w:t>
            </w:r>
            <w:r>
              <w:rPr>
                <w:rFonts w:eastAsia="Times New Roman" w:cs="Times New Roman"/>
                <w:spacing w:val="-2"/>
                <w:szCs w:val="20"/>
              </w:rPr>
              <w:t>-</w:t>
            </w:r>
            <w:r>
              <w:rPr>
                <w:rFonts w:eastAsia="Times New Roman" w:cs="Times New Roman"/>
                <w:spacing w:val="1"/>
                <w:szCs w:val="20"/>
              </w:rPr>
              <w:t>1</w:t>
            </w:r>
            <w:r>
              <w:rPr>
                <w:rFonts w:eastAsia="Times New Roman" w:cs="Times New Roman"/>
                <w:szCs w:val="20"/>
              </w:rPr>
              <w:t>,</w:t>
            </w:r>
            <w:r>
              <w:rPr>
                <w:rFonts w:eastAsia="Times New Roman" w:cs="Times New Roman"/>
                <w:spacing w:val="-4"/>
                <w:szCs w:val="20"/>
              </w:rPr>
              <w:t xml:space="preserve"> </w:t>
            </w:r>
            <w:r>
              <w:rPr>
                <w:rFonts w:eastAsia="Times New Roman" w:cs="Times New Roman"/>
                <w:spacing w:val="-1"/>
                <w:szCs w:val="20"/>
              </w:rPr>
              <w:t>k</w:t>
            </w:r>
            <w:r>
              <w:rPr>
                <w:rFonts w:eastAsia="Times New Roman" w:cs="Times New Roman"/>
                <w:szCs w:val="20"/>
              </w:rPr>
              <w:t>ate</w:t>
            </w:r>
            <w:r>
              <w:rPr>
                <w:rFonts w:eastAsia="Times New Roman" w:cs="Times New Roman"/>
                <w:spacing w:val="-1"/>
                <w:szCs w:val="20"/>
              </w:rPr>
              <w:t>g</w:t>
            </w:r>
            <w:r>
              <w:rPr>
                <w:rFonts w:eastAsia="Times New Roman" w:cs="Times New Roman"/>
                <w:spacing w:val="1"/>
                <w:szCs w:val="20"/>
              </w:rPr>
              <w:t>or</w:t>
            </w:r>
            <w:r>
              <w:rPr>
                <w:rFonts w:eastAsia="Times New Roman" w:cs="Times New Roman"/>
                <w:szCs w:val="20"/>
              </w:rPr>
              <w:t>ia</w:t>
            </w:r>
            <w:r>
              <w:rPr>
                <w:rFonts w:eastAsia="Times New Roman" w:cs="Times New Roman"/>
                <w:spacing w:val="-7"/>
                <w:szCs w:val="20"/>
              </w:rPr>
              <w:t xml:space="preserve"> </w:t>
            </w:r>
            <w:r>
              <w:rPr>
                <w:rFonts w:eastAsia="Times New Roman" w:cs="Times New Roman"/>
                <w:spacing w:val="-1"/>
                <w:szCs w:val="20"/>
              </w:rPr>
              <w:t>n</w:t>
            </w:r>
            <w:r>
              <w:rPr>
                <w:rFonts w:eastAsia="Times New Roman" w:cs="Times New Roman"/>
                <w:szCs w:val="20"/>
              </w:rPr>
              <w:t>ie</w:t>
            </w:r>
            <w:r>
              <w:rPr>
                <w:rFonts w:eastAsia="Times New Roman" w:cs="Times New Roman"/>
                <w:spacing w:val="1"/>
                <w:szCs w:val="20"/>
              </w:rPr>
              <w:t xml:space="preserve"> </w:t>
            </w:r>
            <w:r>
              <w:rPr>
                <w:rFonts w:eastAsia="Times New Roman" w:cs="Times New Roman"/>
                <w:spacing w:val="-2"/>
                <w:szCs w:val="20"/>
              </w:rPr>
              <w:t>w</w:t>
            </w:r>
            <w:r>
              <w:rPr>
                <w:rFonts w:eastAsia="Times New Roman" w:cs="Times New Roman"/>
                <w:spacing w:val="-1"/>
                <w:szCs w:val="20"/>
              </w:rPr>
              <w:t>y</w:t>
            </w:r>
            <w:r>
              <w:rPr>
                <w:rFonts w:eastAsia="Times New Roman" w:cs="Times New Roman"/>
                <w:spacing w:val="3"/>
                <w:szCs w:val="20"/>
              </w:rPr>
              <w:t>ż</w:t>
            </w:r>
            <w:r>
              <w:rPr>
                <w:rFonts w:eastAsia="Times New Roman" w:cs="Times New Roman"/>
                <w:spacing w:val="-1"/>
                <w:szCs w:val="20"/>
              </w:rPr>
              <w:t>s</w:t>
            </w:r>
            <w:r>
              <w:rPr>
                <w:rFonts w:eastAsia="Times New Roman" w:cs="Times New Roman"/>
                <w:szCs w:val="20"/>
              </w:rPr>
              <w:t>za</w:t>
            </w:r>
            <w:r>
              <w:rPr>
                <w:rFonts w:eastAsia="Times New Roman" w:cs="Times New Roman"/>
                <w:spacing w:val="-5"/>
                <w:szCs w:val="20"/>
              </w:rPr>
              <w:t xml:space="preserve"> </w:t>
            </w:r>
            <w:r>
              <w:rPr>
                <w:rFonts w:eastAsia="Times New Roman" w:cs="Times New Roman"/>
                <w:spacing w:val="1"/>
                <w:szCs w:val="20"/>
              </w:rPr>
              <w:t>n</w:t>
            </w:r>
            <w:r>
              <w:rPr>
                <w:rFonts w:eastAsia="Times New Roman" w:cs="Times New Roman"/>
                <w:spacing w:val="2"/>
                <w:szCs w:val="20"/>
              </w:rPr>
              <w:t>i</w:t>
            </w:r>
            <w:r>
              <w:rPr>
                <w:rFonts w:eastAsia="Times New Roman" w:cs="Times New Roman"/>
                <w:szCs w:val="20"/>
              </w:rPr>
              <w:t>ż:</w:t>
            </w:r>
          </w:p>
        </w:tc>
        <w:tc>
          <w:tcPr>
            <w:tcW w:w="1532" w:type="dxa"/>
            <w:gridSpan w:val="2"/>
            <w:tcBorders>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B77F00">
            <w:pPr>
              <w:pStyle w:val="Standard"/>
              <w:rPr>
                <w:szCs w:val="20"/>
              </w:rPr>
            </w:pPr>
          </w:p>
          <w:p w:rsidR="00B77F00" w:rsidRDefault="00865FA3">
            <w:pPr>
              <w:pStyle w:val="Standard"/>
              <w:rPr>
                <w:szCs w:val="20"/>
              </w:rPr>
            </w:pPr>
            <w:r>
              <w:rPr>
                <w:rFonts w:eastAsia="Symbol" w:cs="Symbol"/>
                <w:spacing w:val="-1"/>
                <w:w w:val="99"/>
                <w:position w:val="3"/>
                <w:szCs w:val="20"/>
              </w:rPr>
              <w:t></w:t>
            </w:r>
            <w:r>
              <w:rPr>
                <w:rFonts w:eastAsia="Times New Roman" w:cs="Times New Roman"/>
                <w:w w:val="99"/>
                <w:szCs w:val="20"/>
              </w:rPr>
              <w:t>10</w:t>
            </w:r>
          </w:p>
        </w:tc>
        <w:tc>
          <w:tcPr>
            <w:tcW w:w="1039" w:type="dxa"/>
          </w:tcPr>
          <w:p w:rsidR="00B77F00" w:rsidRDefault="00B77F00">
            <w:pPr>
              <w:pStyle w:val="Standard"/>
            </w:pPr>
          </w:p>
        </w:tc>
      </w:tr>
      <w:tr w:rsidR="00B77F00">
        <w:tblPrEx>
          <w:tblCellMar>
            <w:top w:w="0" w:type="dxa"/>
            <w:bottom w:w="0" w:type="dxa"/>
          </w:tblCellMar>
        </w:tblPrEx>
        <w:trPr>
          <w:cantSplit/>
        </w:trPr>
        <w:tc>
          <w:tcPr>
            <w:tcW w:w="7067"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tcPr>
          <w:p w:rsidR="00B77F00" w:rsidRDefault="00865FA3">
            <w:pPr>
              <w:pStyle w:val="Standard"/>
              <w:rPr>
                <w:szCs w:val="20"/>
              </w:rPr>
            </w:pPr>
            <w:r>
              <w:rPr>
                <w:rFonts w:eastAsia="Times New Roman" w:cs="Times New Roman"/>
                <w:spacing w:val="2"/>
                <w:szCs w:val="20"/>
              </w:rPr>
              <w:t>J</w:t>
            </w:r>
            <w:r>
              <w:rPr>
                <w:rFonts w:eastAsia="Times New Roman" w:cs="Times New Roman"/>
                <w:szCs w:val="20"/>
              </w:rPr>
              <w:t>a</w:t>
            </w:r>
            <w:r>
              <w:rPr>
                <w:rFonts w:eastAsia="Times New Roman" w:cs="Times New Roman"/>
                <w:spacing w:val="-1"/>
                <w:szCs w:val="20"/>
              </w:rPr>
              <w:t>k</w:t>
            </w:r>
            <w:r>
              <w:rPr>
                <w:rFonts w:eastAsia="Times New Roman" w:cs="Times New Roman"/>
                <w:spacing w:val="1"/>
                <w:szCs w:val="20"/>
              </w:rPr>
              <w:t>o</w:t>
            </w:r>
            <w:r>
              <w:rPr>
                <w:rFonts w:eastAsia="Times New Roman" w:cs="Times New Roman"/>
                <w:spacing w:val="-1"/>
                <w:szCs w:val="20"/>
              </w:rPr>
              <w:t>ś</w:t>
            </w:r>
            <w:r>
              <w:rPr>
                <w:rFonts w:eastAsia="Times New Roman" w:cs="Times New Roman"/>
                <w:szCs w:val="20"/>
              </w:rPr>
              <w:t>ć</w:t>
            </w:r>
            <w:r>
              <w:rPr>
                <w:rFonts w:eastAsia="Times New Roman" w:cs="Times New Roman"/>
                <w:spacing w:val="-4"/>
                <w:szCs w:val="20"/>
              </w:rPr>
              <w:t xml:space="preserve"> </w:t>
            </w:r>
            <w:r>
              <w:rPr>
                <w:rFonts w:eastAsia="Times New Roman" w:cs="Times New Roman"/>
                <w:spacing w:val="1"/>
                <w:szCs w:val="20"/>
              </w:rPr>
              <w:t>p</w:t>
            </w:r>
            <w:r>
              <w:rPr>
                <w:rFonts w:eastAsia="Times New Roman" w:cs="Times New Roman"/>
                <w:spacing w:val="-1"/>
                <w:szCs w:val="20"/>
              </w:rPr>
              <w:t>y</w:t>
            </w:r>
            <w:r>
              <w:rPr>
                <w:rFonts w:eastAsia="Times New Roman" w:cs="Times New Roman"/>
                <w:szCs w:val="20"/>
              </w:rPr>
              <w:t>ł</w:t>
            </w:r>
            <w:r>
              <w:rPr>
                <w:rFonts w:eastAsia="Times New Roman" w:cs="Times New Roman"/>
                <w:spacing w:val="3"/>
                <w:szCs w:val="20"/>
              </w:rPr>
              <w:t>ó</w:t>
            </w:r>
            <w:r>
              <w:rPr>
                <w:rFonts w:eastAsia="Times New Roman" w:cs="Times New Roman"/>
                <w:szCs w:val="20"/>
              </w:rPr>
              <w:t>w</w:t>
            </w:r>
            <w:r>
              <w:rPr>
                <w:rFonts w:eastAsia="Times New Roman" w:cs="Times New Roman"/>
                <w:spacing w:val="-7"/>
                <w:szCs w:val="20"/>
              </w:rPr>
              <w:t xml:space="preserve"> </w:t>
            </w:r>
            <w:r>
              <w:rPr>
                <w:rFonts w:eastAsia="Times New Roman" w:cs="Times New Roman"/>
                <w:spacing w:val="-2"/>
                <w:szCs w:val="20"/>
              </w:rPr>
              <w:t>w</w:t>
            </w:r>
            <w:r>
              <w:rPr>
                <w:rFonts w:eastAsia="Times New Roman" w:cs="Times New Roman"/>
                <w:szCs w:val="20"/>
              </w:rPr>
              <w:t>e</w:t>
            </w:r>
            <w:r>
              <w:rPr>
                <w:rFonts w:eastAsia="Times New Roman" w:cs="Times New Roman"/>
                <w:spacing w:val="1"/>
                <w:szCs w:val="20"/>
              </w:rPr>
              <w:t>d</w:t>
            </w:r>
            <w:r>
              <w:rPr>
                <w:rFonts w:eastAsia="Times New Roman" w:cs="Times New Roman"/>
                <w:spacing w:val="2"/>
                <w:szCs w:val="20"/>
              </w:rPr>
              <w:t>ł</w:t>
            </w:r>
            <w:r>
              <w:rPr>
                <w:rFonts w:eastAsia="Times New Roman" w:cs="Times New Roman"/>
                <w:spacing w:val="1"/>
                <w:szCs w:val="20"/>
              </w:rPr>
              <w:t>u</w:t>
            </w:r>
            <w:r>
              <w:rPr>
                <w:rFonts w:eastAsia="Times New Roman" w:cs="Times New Roman"/>
                <w:szCs w:val="20"/>
              </w:rPr>
              <w:t>g</w:t>
            </w:r>
            <w:r>
              <w:rPr>
                <w:rFonts w:eastAsia="Times New Roman" w:cs="Times New Roman"/>
                <w:spacing w:val="-7"/>
                <w:szCs w:val="20"/>
              </w:rPr>
              <w:t xml:space="preserve"> </w:t>
            </w:r>
            <w:r>
              <w:rPr>
                <w:rFonts w:eastAsia="Times New Roman" w:cs="Times New Roman"/>
                <w:spacing w:val="2"/>
                <w:szCs w:val="20"/>
              </w:rPr>
              <w:t>P</w:t>
            </w:r>
            <w:r>
              <w:rPr>
                <w:rFonts w:eastAsia="Times New Roman" w:cs="Times New Roman"/>
                <w:spacing w:val="3"/>
                <w:szCs w:val="20"/>
              </w:rPr>
              <w:t>N</w:t>
            </w:r>
            <w:r>
              <w:rPr>
                <w:rFonts w:eastAsia="Times New Roman" w:cs="Times New Roman"/>
                <w:spacing w:val="-2"/>
                <w:szCs w:val="20"/>
              </w:rPr>
              <w:t>-</w:t>
            </w:r>
            <w:r>
              <w:rPr>
                <w:rFonts w:eastAsia="Times New Roman" w:cs="Times New Roman"/>
                <w:szCs w:val="20"/>
              </w:rPr>
              <w:t>EN</w:t>
            </w:r>
            <w:r>
              <w:rPr>
                <w:rFonts w:eastAsia="Times New Roman" w:cs="Times New Roman"/>
                <w:spacing w:val="-3"/>
                <w:szCs w:val="20"/>
              </w:rPr>
              <w:t xml:space="preserve"> </w:t>
            </w:r>
            <w:r>
              <w:rPr>
                <w:rFonts w:eastAsia="Times New Roman" w:cs="Times New Roman"/>
                <w:spacing w:val="1"/>
                <w:szCs w:val="20"/>
              </w:rPr>
              <w:t>93</w:t>
            </w:r>
            <w:r>
              <w:rPr>
                <w:rFonts w:eastAsia="Times New Roman" w:cs="Times New Roman"/>
                <w:spacing w:val="2"/>
                <w:szCs w:val="20"/>
              </w:rPr>
              <w:t>3</w:t>
            </w:r>
            <w:r>
              <w:rPr>
                <w:rFonts w:eastAsia="Times New Roman" w:cs="Times New Roman"/>
                <w:spacing w:val="-2"/>
                <w:szCs w:val="20"/>
              </w:rPr>
              <w:t>-</w:t>
            </w:r>
            <w:r>
              <w:rPr>
                <w:rFonts w:eastAsia="Times New Roman" w:cs="Times New Roman"/>
                <w:spacing w:val="1"/>
                <w:szCs w:val="20"/>
              </w:rPr>
              <w:t>9</w:t>
            </w:r>
            <w:r>
              <w:rPr>
                <w:rFonts w:eastAsia="Times New Roman" w:cs="Times New Roman"/>
                <w:szCs w:val="20"/>
              </w:rPr>
              <w:t>;</w:t>
            </w:r>
          </w:p>
          <w:p w:rsidR="00B77F00" w:rsidRDefault="00865FA3">
            <w:pPr>
              <w:pStyle w:val="Standard"/>
              <w:rPr>
                <w:szCs w:val="20"/>
              </w:rPr>
            </w:pPr>
            <w:r>
              <w:rPr>
                <w:rFonts w:eastAsia="Times New Roman" w:cs="Times New Roman"/>
                <w:spacing w:val="-1"/>
                <w:szCs w:val="20"/>
              </w:rPr>
              <w:t>k</w:t>
            </w:r>
            <w:r>
              <w:rPr>
                <w:rFonts w:eastAsia="Times New Roman" w:cs="Times New Roman"/>
                <w:szCs w:val="20"/>
              </w:rPr>
              <w:t>ate</w:t>
            </w:r>
            <w:r>
              <w:rPr>
                <w:rFonts w:eastAsia="Times New Roman" w:cs="Times New Roman"/>
                <w:spacing w:val="-1"/>
                <w:szCs w:val="20"/>
              </w:rPr>
              <w:t>g</w:t>
            </w:r>
            <w:r>
              <w:rPr>
                <w:rFonts w:eastAsia="Times New Roman" w:cs="Times New Roman"/>
                <w:spacing w:val="1"/>
                <w:szCs w:val="20"/>
              </w:rPr>
              <w:t>or</w:t>
            </w:r>
            <w:r>
              <w:rPr>
                <w:rFonts w:eastAsia="Times New Roman" w:cs="Times New Roman"/>
                <w:szCs w:val="20"/>
              </w:rPr>
              <w:t>ia</w:t>
            </w:r>
            <w:r>
              <w:rPr>
                <w:rFonts w:eastAsia="Times New Roman" w:cs="Times New Roman"/>
                <w:spacing w:val="-4"/>
                <w:szCs w:val="20"/>
              </w:rPr>
              <w:t xml:space="preserve"> </w:t>
            </w:r>
            <w:r>
              <w:rPr>
                <w:rFonts w:eastAsia="Times New Roman" w:cs="Times New Roman"/>
                <w:spacing w:val="-1"/>
                <w:szCs w:val="20"/>
              </w:rPr>
              <w:t>n</w:t>
            </w:r>
            <w:r>
              <w:rPr>
                <w:rFonts w:eastAsia="Times New Roman" w:cs="Times New Roman"/>
                <w:szCs w:val="20"/>
              </w:rPr>
              <w:t>ie</w:t>
            </w:r>
            <w:r>
              <w:rPr>
                <w:rFonts w:eastAsia="Times New Roman" w:cs="Times New Roman"/>
                <w:spacing w:val="1"/>
                <w:szCs w:val="20"/>
              </w:rPr>
              <w:t xml:space="preserve"> </w:t>
            </w:r>
            <w:r>
              <w:rPr>
                <w:rFonts w:eastAsia="Times New Roman" w:cs="Times New Roman"/>
                <w:spacing w:val="-2"/>
                <w:szCs w:val="20"/>
              </w:rPr>
              <w:t>w</w:t>
            </w:r>
            <w:r>
              <w:rPr>
                <w:rFonts w:eastAsia="Times New Roman" w:cs="Times New Roman"/>
                <w:spacing w:val="-1"/>
                <w:szCs w:val="20"/>
              </w:rPr>
              <w:t>y</w:t>
            </w:r>
            <w:r>
              <w:rPr>
                <w:rFonts w:eastAsia="Times New Roman" w:cs="Times New Roman"/>
                <w:spacing w:val="3"/>
                <w:szCs w:val="20"/>
              </w:rPr>
              <w:t>ż</w:t>
            </w:r>
            <w:r>
              <w:rPr>
                <w:rFonts w:eastAsia="Times New Roman" w:cs="Times New Roman"/>
                <w:spacing w:val="-1"/>
                <w:szCs w:val="20"/>
              </w:rPr>
              <w:t>s</w:t>
            </w:r>
            <w:r>
              <w:rPr>
                <w:rFonts w:eastAsia="Times New Roman" w:cs="Times New Roman"/>
                <w:szCs w:val="20"/>
              </w:rPr>
              <w:t>za</w:t>
            </w:r>
            <w:r>
              <w:rPr>
                <w:rFonts w:eastAsia="Times New Roman" w:cs="Times New Roman"/>
                <w:spacing w:val="-5"/>
                <w:szCs w:val="20"/>
              </w:rPr>
              <w:t xml:space="preserve"> </w:t>
            </w:r>
            <w:r>
              <w:rPr>
                <w:rFonts w:eastAsia="Times New Roman" w:cs="Times New Roman"/>
                <w:spacing w:val="-1"/>
                <w:szCs w:val="20"/>
              </w:rPr>
              <w:t>n</w:t>
            </w:r>
            <w:r>
              <w:rPr>
                <w:rFonts w:eastAsia="Times New Roman" w:cs="Times New Roman"/>
                <w:szCs w:val="20"/>
              </w:rPr>
              <w:t>i</w:t>
            </w:r>
            <w:r>
              <w:rPr>
                <w:rFonts w:eastAsia="Times New Roman" w:cs="Times New Roman"/>
                <w:spacing w:val="2"/>
                <w:szCs w:val="20"/>
              </w:rPr>
              <w:t>ż</w:t>
            </w:r>
            <w:r>
              <w:rPr>
                <w:rFonts w:eastAsia="Times New Roman" w:cs="Times New Roman"/>
                <w:szCs w:val="20"/>
              </w:rPr>
              <w:t>:</w:t>
            </w:r>
          </w:p>
        </w:tc>
        <w:tc>
          <w:tcPr>
            <w:tcW w:w="1532" w:type="dxa"/>
            <w:gridSpan w:val="2"/>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B77F00">
            <w:pPr>
              <w:pStyle w:val="Standard"/>
              <w:rPr>
                <w:szCs w:val="20"/>
              </w:rPr>
            </w:pPr>
          </w:p>
          <w:p w:rsidR="00B77F00" w:rsidRDefault="00865FA3">
            <w:pPr>
              <w:pStyle w:val="Standard"/>
              <w:rPr>
                <w:szCs w:val="20"/>
              </w:rPr>
            </w:pPr>
            <w:r>
              <w:rPr>
                <w:rFonts w:eastAsia="Times New Roman" w:cs="Times New Roman"/>
                <w:spacing w:val="1"/>
                <w:w w:val="99"/>
                <w:szCs w:val="20"/>
              </w:rPr>
              <w:t>M</w:t>
            </w:r>
            <w:r>
              <w:rPr>
                <w:rFonts w:eastAsia="Times New Roman" w:cs="Times New Roman"/>
                <w:spacing w:val="2"/>
                <w:w w:val="99"/>
                <w:szCs w:val="20"/>
              </w:rPr>
              <w:t>B</w:t>
            </w:r>
            <w:r>
              <w:rPr>
                <w:rFonts w:eastAsia="Times New Roman" w:cs="Times New Roman"/>
                <w:w w:val="99"/>
                <w:position w:val="-5"/>
                <w:szCs w:val="20"/>
              </w:rPr>
              <w:t>F</w:t>
            </w:r>
            <w:r>
              <w:rPr>
                <w:rFonts w:eastAsia="Times New Roman" w:cs="Times New Roman"/>
                <w:spacing w:val="1"/>
                <w:w w:val="99"/>
                <w:szCs w:val="20"/>
              </w:rPr>
              <w:t>10</w:t>
            </w:r>
          </w:p>
        </w:tc>
        <w:tc>
          <w:tcPr>
            <w:tcW w:w="1039" w:type="dxa"/>
          </w:tcPr>
          <w:p w:rsidR="00B77F00" w:rsidRDefault="00B77F00">
            <w:pPr>
              <w:pStyle w:val="Standard"/>
            </w:pPr>
          </w:p>
        </w:tc>
      </w:tr>
      <w:tr w:rsidR="00B77F00">
        <w:tblPrEx>
          <w:tblCellMar>
            <w:top w:w="0" w:type="dxa"/>
            <w:bottom w:w="0" w:type="dxa"/>
          </w:tblCellMar>
        </w:tblPrEx>
        <w:trPr>
          <w:cantSplit/>
        </w:trPr>
        <w:tc>
          <w:tcPr>
            <w:tcW w:w="7067"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tcPr>
          <w:p w:rsidR="00B77F00" w:rsidRDefault="00865FA3">
            <w:pPr>
              <w:pStyle w:val="Standard"/>
              <w:rPr>
                <w:szCs w:val="20"/>
              </w:rPr>
            </w:pPr>
            <w:r>
              <w:rPr>
                <w:rFonts w:eastAsia="Times New Roman" w:cs="Times New Roman"/>
                <w:szCs w:val="20"/>
              </w:rPr>
              <w:t>Ka</w:t>
            </w:r>
            <w:r>
              <w:rPr>
                <w:rFonts w:eastAsia="Times New Roman" w:cs="Times New Roman"/>
                <w:spacing w:val="-1"/>
                <w:szCs w:val="20"/>
              </w:rPr>
              <w:t>n</w:t>
            </w:r>
            <w:r>
              <w:rPr>
                <w:rFonts w:eastAsia="Times New Roman" w:cs="Times New Roman"/>
                <w:szCs w:val="20"/>
              </w:rPr>
              <w:t>cia</w:t>
            </w:r>
            <w:r>
              <w:rPr>
                <w:rFonts w:eastAsia="Times New Roman" w:cs="Times New Roman"/>
                <w:spacing w:val="2"/>
                <w:szCs w:val="20"/>
              </w:rPr>
              <w:t>s</w:t>
            </w:r>
            <w:r>
              <w:rPr>
                <w:rFonts w:eastAsia="Times New Roman" w:cs="Times New Roman"/>
                <w:szCs w:val="20"/>
              </w:rPr>
              <w:t>t</w:t>
            </w:r>
            <w:r>
              <w:rPr>
                <w:rFonts w:eastAsia="Times New Roman" w:cs="Times New Roman"/>
                <w:spacing w:val="1"/>
                <w:szCs w:val="20"/>
              </w:rPr>
              <w:t>o</w:t>
            </w:r>
            <w:r>
              <w:rPr>
                <w:rFonts w:eastAsia="Times New Roman" w:cs="Times New Roman"/>
                <w:spacing w:val="-1"/>
                <w:szCs w:val="20"/>
              </w:rPr>
              <w:t>ś</w:t>
            </w:r>
            <w:r>
              <w:rPr>
                <w:rFonts w:eastAsia="Times New Roman" w:cs="Times New Roman"/>
                <w:szCs w:val="20"/>
              </w:rPr>
              <w:t>ć</w:t>
            </w:r>
            <w:r>
              <w:rPr>
                <w:rFonts w:eastAsia="Times New Roman" w:cs="Times New Roman"/>
                <w:spacing w:val="-9"/>
                <w:szCs w:val="20"/>
              </w:rPr>
              <w:t xml:space="preserve"> </w:t>
            </w:r>
            <w:r>
              <w:rPr>
                <w:rFonts w:eastAsia="Times New Roman" w:cs="Times New Roman"/>
                <w:spacing w:val="-1"/>
                <w:szCs w:val="20"/>
              </w:rPr>
              <w:t>k</w:t>
            </w:r>
            <w:r>
              <w:rPr>
                <w:rFonts w:eastAsia="Times New Roman" w:cs="Times New Roman"/>
                <w:spacing w:val="3"/>
                <w:szCs w:val="20"/>
              </w:rPr>
              <w:t>r</w:t>
            </w:r>
            <w:r>
              <w:rPr>
                <w:rFonts w:eastAsia="Times New Roman" w:cs="Times New Roman"/>
                <w:spacing w:val="-1"/>
                <w:szCs w:val="20"/>
              </w:rPr>
              <w:t>us</w:t>
            </w:r>
            <w:r>
              <w:rPr>
                <w:rFonts w:eastAsia="Times New Roman" w:cs="Times New Roman"/>
                <w:spacing w:val="3"/>
                <w:szCs w:val="20"/>
              </w:rPr>
              <w:t>z</w:t>
            </w:r>
            <w:r>
              <w:rPr>
                <w:rFonts w:eastAsia="Times New Roman" w:cs="Times New Roman"/>
                <w:spacing w:val="1"/>
                <w:szCs w:val="20"/>
              </w:rPr>
              <w:t>y</w:t>
            </w:r>
            <w:r>
              <w:rPr>
                <w:rFonts w:eastAsia="Times New Roman" w:cs="Times New Roman"/>
                <w:spacing w:val="-2"/>
                <w:szCs w:val="20"/>
              </w:rPr>
              <w:t>w</w:t>
            </w:r>
            <w:r>
              <w:rPr>
                <w:rFonts w:eastAsia="Times New Roman" w:cs="Times New Roman"/>
                <w:szCs w:val="20"/>
              </w:rPr>
              <w:t>a</w:t>
            </w:r>
            <w:r>
              <w:rPr>
                <w:rFonts w:eastAsia="Times New Roman" w:cs="Times New Roman"/>
                <w:spacing w:val="-7"/>
                <w:szCs w:val="20"/>
              </w:rPr>
              <w:t xml:space="preserve"> </w:t>
            </w:r>
            <w:r>
              <w:rPr>
                <w:rFonts w:eastAsia="Times New Roman" w:cs="Times New Roman"/>
                <w:spacing w:val="1"/>
                <w:szCs w:val="20"/>
              </w:rPr>
              <w:t>drob</w:t>
            </w:r>
            <w:r>
              <w:rPr>
                <w:rFonts w:eastAsia="Times New Roman" w:cs="Times New Roman"/>
                <w:spacing w:val="-1"/>
                <w:szCs w:val="20"/>
              </w:rPr>
              <w:t>n</w:t>
            </w:r>
            <w:r>
              <w:rPr>
                <w:rFonts w:eastAsia="Times New Roman" w:cs="Times New Roman"/>
                <w:szCs w:val="20"/>
              </w:rPr>
              <w:t>e</w:t>
            </w:r>
            <w:r>
              <w:rPr>
                <w:rFonts w:eastAsia="Times New Roman" w:cs="Times New Roman"/>
                <w:spacing w:val="-1"/>
                <w:szCs w:val="20"/>
              </w:rPr>
              <w:t>g</w:t>
            </w:r>
            <w:r>
              <w:rPr>
                <w:rFonts w:eastAsia="Times New Roman" w:cs="Times New Roman"/>
                <w:szCs w:val="20"/>
              </w:rPr>
              <w:t>o</w:t>
            </w:r>
            <w:r>
              <w:rPr>
                <w:rFonts w:eastAsia="Times New Roman" w:cs="Times New Roman"/>
                <w:spacing w:val="-7"/>
                <w:szCs w:val="20"/>
              </w:rPr>
              <w:t xml:space="preserve"> </w:t>
            </w:r>
            <w:r>
              <w:rPr>
                <w:rFonts w:eastAsia="Times New Roman" w:cs="Times New Roman"/>
                <w:szCs w:val="20"/>
              </w:rPr>
              <w:t>l</w:t>
            </w:r>
            <w:r>
              <w:rPr>
                <w:rFonts w:eastAsia="Times New Roman" w:cs="Times New Roman"/>
                <w:spacing w:val="-1"/>
                <w:szCs w:val="20"/>
              </w:rPr>
              <w:t>u</w:t>
            </w:r>
            <w:r>
              <w:rPr>
                <w:rFonts w:eastAsia="Times New Roman" w:cs="Times New Roman"/>
                <w:szCs w:val="20"/>
              </w:rPr>
              <w:t>b</w:t>
            </w:r>
          </w:p>
          <w:p w:rsidR="00B77F00" w:rsidRDefault="00865FA3">
            <w:pPr>
              <w:pStyle w:val="Standard"/>
              <w:rPr>
                <w:szCs w:val="20"/>
              </w:rPr>
            </w:pPr>
            <w:r>
              <w:rPr>
                <w:rFonts w:eastAsia="Times New Roman" w:cs="Times New Roman"/>
                <w:spacing w:val="-1"/>
                <w:szCs w:val="20"/>
              </w:rPr>
              <w:t>k</w:t>
            </w:r>
            <w:r>
              <w:rPr>
                <w:rFonts w:eastAsia="Times New Roman" w:cs="Times New Roman"/>
                <w:spacing w:val="1"/>
                <w:szCs w:val="20"/>
              </w:rPr>
              <w:t>ru</w:t>
            </w:r>
            <w:r>
              <w:rPr>
                <w:rFonts w:eastAsia="Times New Roman" w:cs="Times New Roman"/>
                <w:spacing w:val="-1"/>
                <w:szCs w:val="20"/>
              </w:rPr>
              <w:t>s</w:t>
            </w:r>
            <w:r>
              <w:rPr>
                <w:rFonts w:eastAsia="Times New Roman" w:cs="Times New Roman"/>
                <w:spacing w:val="3"/>
                <w:szCs w:val="20"/>
              </w:rPr>
              <w:t>z</w:t>
            </w:r>
            <w:r>
              <w:rPr>
                <w:rFonts w:eastAsia="Times New Roman" w:cs="Times New Roman"/>
                <w:spacing w:val="-1"/>
                <w:szCs w:val="20"/>
              </w:rPr>
              <w:t>y</w:t>
            </w:r>
            <w:r>
              <w:rPr>
                <w:rFonts w:eastAsia="Times New Roman" w:cs="Times New Roman"/>
                <w:spacing w:val="-2"/>
                <w:szCs w:val="20"/>
              </w:rPr>
              <w:t>w</w:t>
            </w:r>
            <w:r>
              <w:rPr>
                <w:rFonts w:eastAsia="Times New Roman" w:cs="Times New Roman"/>
                <w:szCs w:val="20"/>
              </w:rPr>
              <w:t>a</w:t>
            </w:r>
            <w:r>
              <w:rPr>
                <w:rFonts w:eastAsia="Times New Roman" w:cs="Times New Roman"/>
                <w:spacing w:val="-7"/>
                <w:szCs w:val="20"/>
              </w:rPr>
              <w:t xml:space="preserve"> </w:t>
            </w:r>
            <w:r>
              <w:rPr>
                <w:rFonts w:eastAsia="Times New Roman" w:cs="Times New Roman"/>
                <w:spacing w:val="1"/>
                <w:szCs w:val="20"/>
              </w:rPr>
              <w:t>0</w:t>
            </w:r>
            <w:r>
              <w:rPr>
                <w:rFonts w:eastAsia="Times New Roman" w:cs="Times New Roman"/>
                <w:szCs w:val="20"/>
              </w:rPr>
              <w:t xml:space="preserve">/2 </w:t>
            </w:r>
            <w:r>
              <w:rPr>
                <w:rFonts w:eastAsia="Times New Roman" w:cs="Times New Roman"/>
                <w:spacing w:val="-2"/>
                <w:szCs w:val="20"/>
              </w:rPr>
              <w:t>w</w:t>
            </w:r>
            <w:r>
              <w:rPr>
                <w:rFonts w:eastAsia="Times New Roman" w:cs="Times New Roman"/>
                <w:spacing w:val="-1"/>
                <w:szCs w:val="20"/>
              </w:rPr>
              <w:t>y</w:t>
            </w:r>
            <w:r>
              <w:rPr>
                <w:rFonts w:eastAsia="Times New Roman" w:cs="Times New Roman"/>
                <w:spacing w:val="1"/>
                <w:szCs w:val="20"/>
              </w:rPr>
              <w:t>d</w:t>
            </w:r>
            <w:r>
              <w:rPr>
                <w:rFonts w:eastAsia="Times New Roman" w:cs="Times New Roman"/>
                <w:szCs w:val="20"/>
              </w:rPr>
              <w:t>ziel</w:t>
            </w:r>
            <w:r>
              <w:rPr>
                <w:rFonts w:eastAsia="Times New Roman" w:cs="Times New Roman"/>
                <w:spacing w:val="4"/>
                <w:szCs w:val="20"/>
              </w:rPr>
              <w:t>o</w:t>
            </w:r>
            <w:r>
              <w:rPr>
                <w:rFonts w:eastAsia="Times New Roman" w:cs="Times New Roman"/>
                <w:spacing w:val="-1"/>
                <w:szCs w:val="20"/>
              </w:rPr>
              <w:t>n</w:t>
            </w:r>
            <w:r>
              <w:rPr>
                <w:rFonts w:eastAsia="Times New Roman" w:cs="Times New Roman"/>
                <w:szCs w:val="20"/>
              </w:rPr>
              <w:t>e</w:t>
            </w:r>
            <w:r>
              <w:rPr>
                <w:rFonts w:eastAsia="Times New Roman" w:cs="Times New Roman"/>
                <w:spacing w:val="-1"/>
                <w:szCs w:val="20"/>
              </w:rPr>
              <w:t>g</w:t>
            </w:r>
            <w:r>
              <w:rPr>
                <w:rFonts w:eastAsia="Times New Roman" w:cs="Times New Roman"/>
                <w:szCs w:val="20"/>
              </w:rPr>
              <w:t>o</w:t>
            </w:r>
            <w:r>
              <w:rPr>
                <w:rFonts w:eastAsia="Times New Roman" w:cs="Times New Roman"/>
                <w:spacing w:val="-10"/>
                <w:szCs w:val="20"/>
              </w:rPr>
              <w:t xml:space="preserve"> </w:t>
            </w:r>
            <w:r>
              <w:rPr>
                <w:rFonts w:eastAsia="Times New Roman" w:cs="Times New Roman"/>
                <w:szCs w:val="20"/>
              </w:rPr>
              <w:t xml:space="preserve">z </w:t>
            </w:r>
            <w:r>
              <w:rPr>
                <w:rFonts w:eastAsia="Times New Roman" w:cs="Times New Roman"/>
                <w:spacing w:val="-1"/>
                <w:szCs w:val="20"/>
              </w:rPr>
              <w:t>k</w:t>
            </w:r>
            <w:r>
              <w:rPr>
                <w:rFonts w:eastAsia="Times New Roman" w:cs="Times New Roman"/>
                <w:spacing w:val="1"/>
                <w:szCs w:val="20"/>
              </w:rPr>
              <w:t>ru</w:t>
            </w:r>
            <w:r>
              <w:rPr>
                <w:rFonts w:eastAsia="Times New Roman" w:cs="Times New Roman"/>
                <w:spacing w:val="-1"/>
                <w:szCs w:val="20"/>
              </w:rPr>
              <w:t>s</w:t>
            </w:r>
            <w:r>
              <w:rPr>
                <w:rFonts w:eastAsia="Times New Roman" w:cs="Times New Roman"/>
                <w:spacing w:val="3"/>
                <w:szCs w:val="20"/>
              </w:rPr>
              <w:t>z</w:t>
            </w:r>
            <w:r>
              <w:rPr>
                <w:rFonts w:eastAsia="Times New Roman" w:cs="Times New Roman"/>
                <w:spacing w:val="-1"/>
                <w:szCs w:val="20"/>
              </w:rPr>
              <w:t>y</w:t>
            </w:r>
            <w:r>
              <w:rPr>
                <w:rFonts w:eastAsia="Times New Roman" w:cs="Times New Roman"/>
                <w:spacing w:val="-2"/>
                <w:szCs w:val="20"/>
              </w:rPr>
              <w:t>w</w:t>
            </w:r>
            <w:r>
              <w:rPr>
                <w:rFonts w:eastAsia="Times New Roman" w:cs="Times New Roman"/>
                <w:szCs w:val="20"/>
              </w:rPr>
              <w:t>a</w:t>
            </w:r>
            <w:r>
              <w:rPr>
                <w:rFonts w:eastAsia="Times New Roman" w:cs="Times New Roman"/>
                <w:spacing w:val="-7"/>
                <w:szCs w:val="20"/>
              </w:rPr>
              <w:t xml:space="preserve"> </w:t>
            </w:r>
            <w:r>
              <w:rPr>
                <w:rFonts w:eastAsia="Times New Roman" w:cs="Times New Roman"/>
                <w:szCs w:val="20"/>
              </w:rPr>
              <w:t>o ci</w:t>
            </w:r>
            <w:r>
              <w:rPr>
                <w:rFonts w:eastAsia="Times New Roman" w:cs="Times New Roman"/>
                <w:spacing w:val="3"/>
                <w:szCs w:val="20"/>
              </w:rPr>
              <w:t>ą</w:t>
            </w:r>
            <w:r>
              <w:rPr>
                <w:rFonts w:eastAsia="Times New Roman" w:cs="Times New Roman"/>
                <w:spacing w:val="-1"/>
                <w:szCs w:val="20"/>
              </w:rPr>
              <w:t>g</w:t>
            </w:r>
            <w:r>
              <w:rPr>
                <w:rFonts w:eastAsia="Times New Roman" w:cs="Times New Roman"/>
                <w:spacing w:val="2"/>
                <w:szCs w:val="20"/>
              </w:rPr>
              <w:t>ł</w:t>
            </w:r>
            <w:r>
              <w:rPr>
                <w:rFonts w:eastAsia="Times New Roman" w:cs="Times New Roman"/>
                <w:spacing w:val="-1"/>
                <w:szCs w:val="20"/>
              </w:rPr>
              <w:t>y</w:t>
            </w:r>
            <w:r>
              <w:rPr>
                <w:rFonts w:eastAsia="Times New Roman" w:cs="Times New Roman"/>
                <w:szCs w:val="20"/>
              </w:rPr>
              <w:t>m</w:t>
            </w:r>
            <w:r>
              <w:rPr>
                <w:rFonts w:eastAsia="Times New Roman" w:cs="Times New Roman"/>
                <w:spacing w:val="-5"/>
                <w:szCs w:val="20"/>
              </w:rPr>
              <w:t xml:space="preserve"> </w:t>
            </w:r>
            <w:r>
              <w:rPr>
                <w:rFonts w:eastAsia="Times New Roman" w:cs="Times New Roman"/>
                <w:spacing w:val="-1"/>
                <w:szCs w:val="20"/>
              </w:rPr>
              <w:t>u</w:t>
            </w:r>
            <w:r>
              <w:rPr>
                <w:rFonts w:eastAsia="Times New Roman" w:cs="Times New Roman"/>
                <w:szCs w:val="20"/>
              </w:rPr>
              <w:t>zia</w:t>
            </w:r>
            <w:r>
              <w:rPr>
                <w:rFonts w:eastAsia="Times New Roman" w:cs="Times New Roman"/>
                <w:spacing w:val="1"/>
                <w:szCs w:val="20"/>
              </w:rPr>
              <w:t>r</w:t>
            </w:r>
            <w:r>
              <w:rPr>
                <w:rFonts w:eastAsia="Times New Roman" w:cs="Times New Roman"/>
                <w:spacing w:val="-1"/>
                <w:szCs w:val="20"/>
              </w:rPr>
              <w:t>n</w:t>
            </w:r>
            <w:r>
              <w:rPr>
                <w:rFonts w:eastAsia="Times New Roman" w:cs="Times New Roman"/>
                <w:szCs w:val="20"/>
              </w:rPr>
              <w:t>i</w:t>
            </w:r>
            <w:r>
              <w:rPr>
                <w:rFonts w:eastAsia="Times New Roman" w:cs="Times New Roman"/>
                <w:spacing w:val="2"/>
                <w:szCs w:val="20"/>
              </w:rPr>
              <w:t>e</w:t>
            </w:r>
            <w:r>
              <w:rPr>
                <w:rFonts w:eastAsia="Times New Roman" w:cs="Times New Roman"/>
                <w:spacing w:val="1"/>
                <w:szCs w:val="20"/>
              </w:rPr>
              <w:t>n</w:t>
            </w:r>
            <w:r>
              <w:rPr>
                <w:rFonts w:eastAsia="Times New Roman" w:cs="Times New Roman"/>
                <w:szCs w:val="20"/>
              </w:rPr>
              <w:t xml:space="preserve">iu </w:t>
            </w:r>
            <w:r>
              <w:rPr>
                <w:rFonts w:eastAsia="Times New Roman" w:cs="Times New Roman"/>
                <w:spacing w:val="-2"/>
                <w:szCs w:val="20"/>
              </w:rPr>
              <w:t>w</w:t>
            </w:r>
            <w:r>
              <w:rPr>
                <w:rFonts w:eastAsia="Times New Roman" w:cs="Times New Roman"/>
                <w:szCs w:val="20"/>
              </w:rPr>
              <w:t>e</w:t>
            </w:r>
            <w:r>
              <w:rPr>
                <w:rFonts w:eastAsia="Times New Roman" w:cs="Times New Roman"/>
                <w:spacing w:val="1"/>
                <w:szCs w:val="20"/>
              </w:rPr>
              <w:t>d</w:t>
            </w:r>
            <w:r>
              <w:rPr>
                <w:rFonts w:eastAsia="Times New Roman" w:cs="Times New Roman"/>
                <w:spacing w:val="2"/>
                <w:szCs w:val="20"/>
              </w:rPr>
              <w:t>ł</w:t>
            </w:r>
            <w:r>
              <w:rPr>
                <w:rFonts w:eastAsia="Times New Roman" w:cs="Times New Roman"/>
                <w:spacing w:val="-1"/>
                <w:szCs w:val="20"/>
              </w:rPr>
              <w:t>u</w:t>
            </w:r>
            <w:r>
              <w:rPr>
                <w:rFonts w:eastAsia="Times New Roman" w:cs="Times New Roman"/>
                <w:szCs w:val="20"/>
              </w:rPr>
              <w:t>g</w:t>
            </w:r>
            <w:r>
              <w:rPr>
                <w:rFonts w:eastAsia="Times New Roman" w:cs="Times New Roman"/>
                <w:spacing w:val="-7"/>
                <w:szCs w:val="20"/>
              </w:rPr>
              <w:t xml:space="preserve"> </w:t>
            </w:r>
            <w:r>
              <w:rPr>
                <w:rFonts w:eastAsia="Times New Roman" w:cs="Times New Roman"/>
                <w:spacing w:val="2"/>
                <w:szCs w:val="20"/>
              </w:rPr>
              <w:t>P</w:t>
            </w:r>
            <w:r>
              <w:rPr>
                <w:rFonts w:eastAsia="Times New Roman" w:cs="Times New Roman"/>
                <w:spacing w:val="1"/>
                <w:szCs w:val="20"/>
              </w:rPr>
              <w:t>N</w:t>
            </w:r>
            <w:r>
              <w:rPr>
                <w:rFonts w:eastAsia="Times New Roman" w:cs="Times New Roman"/>
                <w:spacing w:val="-2"/>
                <w:szCs w:val="20"/>
              </w:rPr>
              <w:t>-</w:t>
            </w:r>
            <w:r>
              <w:rPr>
                <w:rFonts w:eastAsia="Times New Roman" w:cs="Times New Roman"/>
                <w:spacing w:val="3"/>
                <w:szCs w:val="20"/>
              </w:rPr>
              <w:t>E</w:t>
            </w:r>
            <w:r>
              <w:rPr>
                <w:rFonts w:eastAsia="Times New Roman" w:cs="Times New Roman"/>
                <w:szCs w:val="20"/>
              </w:rPr>
              <w:t>N</w:t>
            </w:r>
            <w:r>
              <w:rPr>
                <w:rFonts w:eastAsia="Times New Roman" w:cs="Times New Roman"/>
                <w:spacing w:val="-6"/>
                <w:szCs w:val="20"/>
              </w:rPr>
              <w:t xml:space="preserve"> </w:t>
            </w:r>
            <w:r>
              <w:rPr>
                <w:rFonts w:eastAsia="Times New Roman" w:cs="Times New Roman"/>
                <w:spacing w:val="1"/>
                <w:szCs w:val="20"/>
              </w:rPr>
              <w:t>93</w:t>
            </w:r>
            <w:r>
              <w:rPr>
                <w:rFonts w:eastAsia="Times New Roman" w:cs="Times New Roman"/>
                <w:spacing w:val="2"/>
                <w:szCs w:val="20"/>
              </w:rPr>
              <w:t>3</w:t>
            </w:r>
            <w:r>
              <w:rPr>
                <w:rFonts w:eastAsia="Times New Roman" w:cs="Times New Roman"/>
                <w:spacing w:val="-2"/>
                <w:szCs w:val="20"/>
              </w:rPr>
              <w:t>-</w:t>
            </w:r>
            <w:r>
              <w:rPr>
                <w:rFonts w:eastAsia="Times New Roman" w:cs="Times New Roman"/>
                <w:spacing w:val="1"/>
                <w:szCs w:val="20"/>
              </w:rPr>
              <w:t>6</w:t>
            </w:r>
            <w:r>
              <w:rPr>
                <w:rFonts w:eastAsia="Times New Roman" w:cs="Times New Roman"/>
                <w:szCs w:val="20"/>
              </w:rPr>
              <w:t>,</w:t>
            </w:r>
            <w:r>
              <w:rPr>
                <w:rFonts w:eastAsia="Times New Roman" w:cs="Times New Roman"/>
                <w:spacing w:val="-4"/>
                <w:szCs w:val="20"/>
              </w:rPr>
              <w:t xml:space="preserve"> </w:t>
            </w:r>
            <w:r>
              <w:rPr>
                <w:rFonts w:eastAsia="Times New Roman" w:cs="Times New Roman"/>
                <w:spacing w:val="1"/>
                <w:szCs w:val="20"/>
              </w:rPr>
              <w:t>ro</w:t>
            </w:r>
            <w:r>
              <w:rPr>
                <w:rFonts w:eastAsia="Times New Roman" w:cs="Times New Roman"/>
                <w:szCs w:val="20"/>
              </w:rPr>
              <w:t>z</w:t>
            </w:r>
            <w:r>
              <w:rPr>
                <w:rFonts w:eastAsia="Times New Roman" w:cs="Times New Roman"/>
                <w:spacing w:val="1"/>
                <w:szCs w:val="20"/>
              </w:rPr>
              <w:t>d</w:t>
            </w:r>
            <w:r>
              <w:rPr>
                <w:rFonts w:eastAsia="Times New Roman" w:cs="Times New Roman"/>
                <w:spacing w:val="-2"/>
                <w:szCs w:val="20"/>
              </w:rPr>
              <w:t>z</w:t>
            </w:r>
            <w:r>
              <w:rPr>
                <w:rFonts w:eastAsia="Times New Roman" w:cs="Times New Roman"/>
                <w:szCs w:val="20"/>
              </w:rPr>
              <w:t>.</w:t>
            </w:r>
            <w:r>
              <w:rPr>
                <w:rFonts w:eastAsia="Times New Roman" w:cs="Times New Roman"/>
                <w:spacing w:val="-7"/>
                <w:szCs w:val="20"/>
              </w:rPr>
              <w:t xml:space="preserve"> </w:t>
            </w:r>
            <w:r>
              <w:rPr>
                <w:rFonts w:eastAsia="Times New Roman" w:cs="Times New Roman"/>
                <w:spacing w:val="1"/>
                <w:szCs w:val="20"/>
              </w:rPr>
              <w:t>8</w:t>
            </w:r>
            <w:r>
              <w:rPr>
                <w:rFonts w:eastAsia="Times New Roman" w:cs="Times New Roman"/>
                <w:szCs w:val="20"/>
              </w:rPr>
              <w:t xml:space="preserve">, </w:t>
            </w:r>
            <w:r>
              <w:rPr>
                <w:rFonts w:eastAsia="Times New Roman" w:cs="Times New Roman"/>
                <w:spacing w:val="-1"/>
                <w:szCs w:val="20"/>
              </w:rPr>
              <w:t>k</w:t>
            </w:r>
            <w:r>
              <w:rPr>
                <w:rFonts w:eastAsia="Times New Roman" w:cs="Times New Roman"/>
                <w:szCs w:val="20"/>
              </w:rPr>
              <w:t>ate</w:t>
            </w:r>
            <w:r>
              <w:rPr>
                <w:rFonts w:eastAsia="Times New Roman" w:cs="Times New Roman"/>
                <w:spacing w:val="-1"/>
                <w:szCs w:val="20"/>
              </w:rPr>
              <w:t>g</w:t>
            </w:r>
            <w:r>
              <w:rPr>
                <w:rFonts w:eastAsia="Times New Roman" w:cs="Times New Roman"/>
                <w:spacing w:val="1"/>
                <w:szCs w:val="20"/>
              </w:rPr>
              <w:t>or</w:t>
            </w:r>
            <w:r>
              <w:rPr>
                <w:rFonts w:eastAsia="Times New Roman" w:cs="Times New Roman"/>
                <w:szCs w:val="20"/>
              </w:rPr>
              <w:t>ia</w:t>
            </w:r>
            <w:r>
              <w:rPr>
                <w:rFonts w:eastAsia="Times New Roman" w:cs="Times New Roman"/>
                <w:spacing w:val="-4"/>
                <w:szCs w:val="20"/>
              </w:rPr>
              <w:t xml:space="preserve"> </w:t>
            </w:r>
            <w:r>
              <w:rPr>
                <w:rFonts w:eastAsia="Times New Roman" w:cs="Times New Roman"/>
                <w:spacing w:val="-1"/>
                <w:szCs w:val="20"/>
              </w:rPr>
              <w:t>n</w:t>
            </w:r>
            <w:r>
              <w:rPr>
                <w:rFonts w:eastAsia="Times New Roman" w:cs="Times New Roman"/>
                <w:szCs w:val="20"/>
              </w:rPr>
              <w:t>ie</w:t>
            </w:r>
            <w:r>
              <w:rPr>
                <w:rFonts w:eastAsia="Times New Roman" w:cs="Times New Roman"/>
                <w:spacing w:val="-2"/>
                <w:szCs w:val="20"/>
              </w:rPr>
              <w:t xml:space="preserve"> </w:t>
            </w:r>
            <w:r>
              <w:rPr>
                <w:rFonts w:eastAsia="Times New Roman" w:cs="Times New Roman"/>
                <w:spacing w:val="-1"/>
                <w:szCs w:val="20"/>
              </w:rPr>
              <w:t>n</w:t>
            </w:r>
            <w:r>
              <w:rPr>
                <w:rFonts w:eastAsia="Times New Roman" w:cs="Times New Roman"/>
                <w:szCs w:val="20"/>
              </w:rPr>
              <w:t>i</w:t>
            </w:r>
            <w:r>
              <w:rPr>
                <w:rFonts w:eastAsia="Times New Roman" w:cs="Times New Roman"/>
                <w:spacing w:val="2"/>
                <w:szCs w:val="20"/>
              </w:rPr>
              <w:t>ż</w:t>
            </w:r>
            <w:r>
              <w:rPr>
                <w:rFonts w:eastAsia="Times New Roman" w:cs="Times New Roman"/>
                <w:spacing w:val="-1"/>
                <w:szCs w:val="20"/>
              </w:rPr>
              <w:t>s</w:t>
            </w:r>
            <w:r>
              <w:rPr>
                <w:rFonts w:eastAsia="Times New Roman" w:cs="Times New Roman"/>
                <w:szCs w:val="20"/>
              </w:rPr>
              <w:t>za</w:t>
            </w:r>
            <w:r>
              <w:rPr>
                <w:rFonts w:eastAsia="Times New Roman" w:cs="Times New Roman"/>
                <w:spacing w:val="-4"/>
                <w:szCs w:val="20"/>
              </w:rPr>
              <w:t xml:space="preserve"> </w:t>
            </w:r>
            <w:r>
              <w:rPr>
                <w:rFonts w:eastAsia="Times New Roman" w:cs="Times New Roman"/>
                <w:spacing w:val="-1"/>
                <w:szCs w:val="20"/>
              </w:rPr>
              <w:t>n</w:t>
            </w:r>
            <w:r>
              <w:rPr>
                <w:rFonts w:eastAsia="Times New Roman" w:cs="Times New Roman"/>
                <w:szCs w:val="20"/>
              </w:rPr>
              <w:t>i</w:t>
            </w:r>
            <w:r>
              <w:rPr>
                <w:rFonts w:eastAsia="Times New Roman" w:cs="Times New Roman"/>
                <w:spacing w:val="2"/>
                <w:szCs w:val="20"/>
              </w:rPr>
              <w:t>ż</w:t>
            </w:r>
            <w:r>
              <w:rPr>
                <w:rFonts w:eastAsia="Times New Roman" w:cs="Times New Roman"/>
                <w:szCs w:val="20"/>
              </w:rPr>
              <w:t>:</w:t>
            </w:r>
          </w:p>
        </w:tc>
        <w:tc>
          <w:tcPr>
            <w:tcW w:w="1532" w:type="dxa"/>
            <w:gridSpan w:val="2"/>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B77F00">
            <w:pPr>
              <w:pStyle w:val="Standard"/>
              <w:rPr>
                <w:szCs w:val="20"/>
              </w:rPr>
            </w:pPr>
          </w:p>
          <w:p w:rsidR="00B77F00" w:rsidRDefault="00B77F00">
            <w:pPr>
              <w:pStyle w:val="Standard"/>
              <w:rPr>
                <w:szCs w:val="20"/>
              </w:rPr>
            </w:pPr>
          </w:p>
          <w:p w:rsidR="00B77F00" w:rsidRDefault="00865FA3">
            <w:pPr>
              <w:pStyle w:val="Standard"/>
              <w:rPr>
                <w:szCs w:val="20"/>
              </w:rPr>
            </w:pPr>
            <w:r>
              <w:rPr>
                <w:rFonts w:eastAsia="Times New Roman" w:cs="Times New Roman"/>
                <w:i/>
                <w:spacing w:val="1"/>
                <w:w w:val="99"/>
                <w:szCs w:val="20"/>
              </w:rPr>
              <w:t>E</w:t>
            </w:r>
            <w:r>
              <w:rPr>
                <w:rFonts w:eastAsia="Times New Roman" w:cs="Times New Roman"/>
                <w:w w:val="99"/>
                <w:position w:val="-5"/>
                <w:szCs w:val="20"/>
              </w:rPr>
              <w:t>cs</w:t>
            </w:r>
            <w:r>
              <w:rPr>
                <w:rFonts w:eastAsia="Times New Roman" w:cs="Times New Roman"/>
                <w:spacing w:val="1"/>
                <w:w w:val="99"/>
                <w:szCs w:val="20"/>
              </w:rPr>
              <w:t>30</w:t>
            </w:r>
          </w:p>
        </w:tc>
        <w:tc>
          <w:tcPr>
            <w:tcW w:w="1039" w:type="dxa"/>
          </w:tcPr>
          <w:p w:rsidR="00B77F00" w:rsidRDefault="00B77F00">
            <w:pPr>
              <w:pStyle w:val="Standard"/>
            </w:pPr>
          </w:p>
        </w:tc>
      </w:tr>
      <w:tr w:rsidR="00B77F00">
        <w:tblPrEx>
          <w:tblCellMar>
            <w:top w:w="0" w:type="dxa"/>
            <w:bottom w:w="0" w:type="dxa"/>
          </w:tblCellMar>
        </w:tblPrEx>
        <w:trPr>
          <w:cantSplit/>
        </w:trPr>
        <w:tc>
          <w:tcPr>
            <w:tcW w:w="7067"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tcPr>
          <w:p w:rsidR="00B77F00" w:rsidRDefault="00865FA3">
            <w:pPr>
              <w:pStyle w:val="Standard"/>
              <w:rPr>
                <w:szCs w:val="20"/>
              </w:rPr>
            </w:pPr>
            <w:r>
              <w:rPr>
                <w:rFonts w:eastAsia="Times New Roman" w:cs="Times New Roman"/>
                <w:szCs w:val="20"/>
              </w:rPr>
              <w:t>Gęst</w:t>
            </w:r>
            <w:r>
              <w:rPr>
                <w:rFonts w:eastAsia="Times New Roman" w:cs="Times New Roman"/>
                <w:spacing w:val="1"/>
                <w:szCs w:val="20"/>
              </w:rPr>
              <w:t>o</w:t>
            </w:r>
            <w:r>
              <w:rPr>
                <w:rFonts w:eastAsia="Times New Roman" w:cs="Times New Roman"/>
                <w:spacing w:val="-1"/>
                <w:szCs w:val="20"/>
              </w:rPr>
              <w:t>ś</w:t>
            </w:r>
            <w:r>
              <w:rPr>
                <w:rFonts w:eastAsia="Times New Roman" w:cs="Times New Roman"/>
                <w:szCs w:val="20"/>
              </w:rPr>
              <w:t>ć</w:t>
            </w:r>
            <w:r>
              <w:rPr>
                <w:rFonts w:eastAsia="Times New Roman" w:cs="Times New Roman"/>
                <w:spacing w:val="-5"/>
                <w:szCs w:val="20"/>
              </w:rPr>
              <w:t xml:space="preserve"> </w:t>
            </w:r>
            <w:r>
              <w:rPr>
                <w:rFonts w:eastAsia="Times New Roman" w:cs="Times New Roman"/>
                <w:szCs w:val="20"/>
              </w:rPr>
              <w:t>zia</w:t>
            </w:r>
            <w:r>
              <w:rPr>
                <w:rFonts w:eastAsia="Times New Roman" w:cs="Times New Roman"/>
                <w:spacing w:val="1"/>
                <w:szCs w:val="20"/>
              </w:rPr>
              <w:t>r</w:t>
            </w:r>
            <w:r>
              <w:rPr>
                <w:rFonts w:eastAsia="Times New Roman" w:cs="Times New Roman"/>
                <w:szCs w:val="20"/>
              </w:rPr>
              <w:t>en</w:t>
            </w:r>
            <w:r>
              <w:rPr>
                <w:rFonts w:eastAsia="Times New Roman" w:cs="Times New Roman"/>
                <w:spacing w:val="-3"/>
                <w:szCs w:val="20"/>
              </w:rPr>
              <w:t xml:space="preserve"> </w:t>
            </w:r>
            <w:r>
              <w:rPr>
                <w:rFonts w:eastAsia="Times New Roman" w:cs="Times New Roman"/>
                <w:spacing w:val="-2"/>
                <w:szCs w:val="20"/>
              </w:rPr>
              <w:t>w</w:t>
            </w:r>
            <w:r>
              <w:rPr>
                <w:rFonts w:eastAsia="Times New Roman" w:cs="Times New Roman"/>
                <w:szCs w:val="20"/>
              </w:rPr>
              <w:t>e</w:t>
            </w:r>
            <w:r>
              <w:rPr>
                <w:rFonts w:eastAsia="Times New Roman" w:cs="Times New Roman"/>
                <w:spacing w:val="1"/>
                <w:szCs w:val="20"/>
              </w:rPr>
              <w:t>d</w:t>
            </w:r>
            <w:r>
              <w:rPr>
                <w:rFonts w:eastAsia="Times New Roman" w:cs="Times New Roman"/>
                <w:spacing w:val="2"/>
                <w:szCs w:val="20"/>
              </w:rPr>
              <w:t>ł</w:t>
            </w:r>
            <w:r>
              <w:rPr>
                <w:rFonts w:eastAsia="Times New Roman" w:cs="Times New Roman"/>
                <w:spacing w:val="-1"/>
                <w:szCs w:val="20"/>
              </w:rPr>
              <w:t>u</w:t>
            </w:r>
            <w:r>
              <w:rPr>
                <w:rFonts w:eastAsia="Times New Roman" w:cs="Times New Roman"/>
                <w:szCs w:val="20"/>
              </w:rPr>
              <w:t>g</w:t>
            </w:r>
            <w:r>
              <w:rPr>
                <w:rFonts w:eastAsia="Times New Roman" w:cs="Times New Roman"/>
                <w:spacing w:val="-7"/>
                <w:szCs w:val="20"/>
              </w:rPr>
              <w:t xml:space="preserve"> </w:t>
            </w:r>
            <w:r>
              <w:rPr>
                <w:rFonts w:eastAsia="Times New Roman" w:cs="Times New Roman"/>
                <w:spacing w:val="2"/>
                <w:szCs w:val="20"/>
              </w:rPr>
              <w:t>P</w:t>
            </w:r>
            <w:r>
              <w:rPr>
                <w:rFonts w:eastAsia="Times New Roman" w:cs="Times New Roman"/>
                <w:spacing w:val="5"/>
                <w:szCs w:val="20"/>
              </w:rPr>
              <w:t>N</w:t>
            </w:r>
            <w:r>
              <w:rPr>
                <w:rFonts w:eastAsia="Times New Roman" w:cs="Times New Roman"/>
                <w:spacing w:val="-2"/>
                <w:szCs w:val="20"/>
              </w:rPr>
              <w:t>-</w:t>
            </w:r>
            <w:r>
              <w:rPr>
                <w:rFonts w:eastAsia="Times New Roman" w:cs="Times New Roman"/>
                <w:szCs w:val="20"/>
              </w:rPr>
              <w:t>EN</w:t>
            </w:r>
            <w:r>
              <w:rPr>
                <w:rFonts w:eastAsia="Times New Roman" w:cs="Times New Roman"/>
                <w:spacing w:val="-3"/>
                <w:szCs w:val="20"/>
              </w:rPr>
              <w:t xml:space="preserve"> </w:t>
            </w:r>
            <w:r>
              <w:rPr>
                <w:rFonts w:eastAsia="Times New Roman" w:cs="Times New Roman"/>
                <w:spacing w:val="1"/>
                <w:szCs w:val="20"/>
              </w:rPr>
              <w:t>109</w:t>
            </w:r>
            <w:r>
              <w:rPr>
                <w:rFonts w:eastAsia="Times New Roman" w:cs="Times New Roman"/>
                <w:spacing w:val="2"/>
                <w:szCs w:val="20"/>
              </w:rPr>
              <w:t>7</w:t>
            </w:r>
            <w:r>
              <w:rPr>
                <w:rFonts w:eastAsia="Times New Roman" w:cs="Times New Roman"/>
                <w:szCs w:val="20"/>
              </w:rPr>
              <w:t>-</w:t>
            </w:r>
          </w:p>
          <w:p w:rsidR="00B77F00" w:rsidRDefault="00865FA3">
            <w:pPr>
              <w:pStyle w:val="Standard"/>
              <w:rPr>
                <w:szCs w:val="20"/>
              </w:rPr>
            </w:pPr>
            <w:r>
              <w:rPr>
                <w:rFonts w:eastAsia="Times New Roman" w:cs="Times New Roman"/>
                <w:spacing w:val="1"/>
                <w:szCs w:val="20"/>
              </w:rPr>
              <w:t>6</w:t>
            </w:r>
            <w:r>
              <w:rPr>
                <w:rFonts w:eastAsia="Times New Roman" w:cs="Times New Roman"/>
                <w:szCs w:val="20"/>
              </w:rPr>
              <w:t>,</w:t>
            </w:r>
          </w:p>
          <w:p w:rsidR="00B77F00" w:rsidRDefault="00865FA3">
            <w:pPr>
              <w:pStyle w:val="Standard"/>
              <w:rPr>
                <w:szCs w:val="20"/>
              </w:rPr>
            </w:pPr>
            <w:r>
              <w:rPr>
                <w:rFonts w:eastAsia="Times New Roman" w:cs="Times New Roman"/>
                <w:spacing w:val="1"/>
                <w:szCs w:val="20"/>
              </w:rPr>
              <w:t>ro</w:t>
            </w:r>
            <w:r>
              <w:rPr>
                <w:rFonts w:eastAsia="Times New Roman" w:cs="Times New Roman"/>
                <w:szCs w:val="20"/>
              </w:rPr>
              <w:t>z</w:t>
            </w:r>
            <w:r>
              <w:rPr>
                <w:rFonts w:eastAsia="Times New Roman" w:cs="Times New Roman"/>
                <w:spacing w:val="1"/>
                <w:szCs w:val="20"/>
              </w:rPr>
              <w:t>d</w:t>
            </w:r>
            <w:r>
              <w:rPr>
                <w:rFonts w:eastAsia="Times New Roman" w:cs="Times New Roman"/>
                <w:szCs w:val="20"/>
              </w:rPr>
              <w:t>z.</w:t>
            </w:r>
            <w:r>
              <w:rPr>
                <w:rFonts w:eastAsia="Times New Roman" w:cs="Times New Roman"/>
                <w:spacing w:val="-6"/>
                <w:szCs w:val="20"/>
              </w:rPr>
              <w:t xml:space="preserve"> </w:t>
            </w:r>
            <w:r>
              <w:rPr>
                <w:rFonts w:eastAsia="Times New Roman" w:cs="Times New Roman"/>
                <w:spacing w:val="1"/>
                <w:szCs w:val="20"/>
              </w:rPr>
              <w:t>7</w:t>
            </w:r>
            <w:r>
              <w:rPr>
                <w:rFonts w:eastAsia="Times New Roman" w:cs="Times New Roman"/>
                <w:szCs w:val="20"/>
              </w:rPr>
              <w:t>, 8 l</w:t>
            </w:r>
            <w:r>
              <w:rPr>
                <w:rFonts w:eastAsia="Times New Roman" w:cs="Times New Roman"/>
                <w:spacing w:val="-1"/>
                <w:szCs w:val="20"/>
              </w:rPr>
              <w:t>u</w:t>
            </w:r>
            <w:r>
              <w:rPr>
                <w:rFonts w:eastAsia="Times New Roman" w:cs="Times New Roman"/>
                <w:szCs w:val="20"/>
              </w:rPr>
              <w:t>b</w:t>
            </w:r>
            <w:r>
              <w:rPr>
                <w:rFonts w:eastAsia="Times New Roman" w:cs="Times New Roman"/>
                <w:spacing w:val="-2"/>
                <w:szCs w:val="20"/>
              </w:rPr>
              <w:t xml:space="preserve"> </w:t>
            </w:r>
            <w:r>
              <w:rPr>
                <w:rFonts w:eastAsia="Times New Roman" w:cs="Times New Roman"/>
                <w:spacing w:val="1"/>
                <w:szCs w:val="20"/>
              </w:rPr>
              <w:t>9</w:t>
            </w:r>
            <w:r>
              <w:rPr>
                <w:rFonts w:eastAsia="Times New Roman" w:cs="Times New Roman"/>
                <w:szCs w:val="20"/>
              </w:rPr>
              <w:t>:</w:t>
            </w:r>
          </w:p>
        </w:tc>
        <w:tc>
          <w:tcPr>
            <w:tcW w:w="1532" w:type="dxa"/>
            <w:gridSpan w:val="2"/>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B77F00">
            <w:pPr>
              <w:pStyle w:val="Standard"/>
              <w:rPr>
                <w:szCs w:val="20"/>
              </w:rPr>
            </w:pPr>
          </w:p>
          <w:p w:rsidR="00B77F00" w:rsidRDefault="00865FA3">
            <w:pPr>
              <w:pStyle w:val="Standard"/>
              <w:rPr>
                <w:szCs w:val="20"/>
              </w:rPr>
            </w:pPr>
            <w:r>
              <w:rPr>
                <w:rFonts w:eastAsia="Times New Roman" w:cs="Times New Roman"/>
                <w:spacing w:val="1"/>
                <w:szCs w:val="20"/>
              </w:rPr>
              <w:t>d</w:t>
            </w:r>
            <w:r>
              <w:rPr>
                <w:rFonts w:eastAsia="Times New Roman" w:cs="Times New Roman"/>
                <w:szCs w:val="20"/>
              </w:rPr>
              <w:t>e</w:t>
            </w:r>
            <w:r>
              <w:rPr>
                <w:rFonts w:eastAsia="Times New Roman" w:cs="Times New Roman"/>
                <w:spacing w:val="-1"/>
                <w:szCs w:val="20"/>
              </w:rPr>
              <w:t>k</w:t>
            </w:r>
            <w:r>
              <w:rPr>
                <w:rFonts w:eastAsia="Times New Roman" w:cs="Times New Roman"/>
                <w:szCs w:val="20"/>
              </w:rPr>
              <w:t>la</w:t>
            </w:r>
            <w:r>
              <w:rPr>
                <w:rFonts w:eastAsia="Times New Roman" w:cs="Times New Roman"/>
                <w:spacing w:val="1"/>
                <w:szCs w:val="20"/>
              </w:rPr>
              <w:t>r</w:t>
            </w:r>
            <w:r>
              <w:rPr>
                <w:rFonts w:eastAsia="Times New Roman" w:cs="Times New Roman"/>
                <w:spacing w:val="3"/>
                <w:szCs w:val="20"/>
              </w:rPr>
              <w:t>o</w:t>
            </w:r>
            <w:r>
              <w:rPr>
                <w:rFonts w:eastAsia="Times New Roman" w:cs="Times New Roman"/>
                <w:spacing w:val="-5"/>
                <w:szCs w:val="20"/>
              </w:rPr>
              <w:t>w</w:t>
            </w:r>
            <w:r>
              <w:rPr>
                <w:rFonts w:eastAsia="Times New Roman" w:cs="Times New Roman"/>
                <w:spacing w:val="3"/>
                <w:szCs w:val="20"/>
              </w:rPr>
              <w:t>a</w:t>
            </w:r>
            <w:r>
              <w:rPr>
                <w:rFonts w:eastAsia="Times New Roman" w:cs="Times New Roman"/>
                <w:spacing w:val="-1"/>
                <w:szCs w:val="20"/>
              </w:rPr>
              <w:t>n</w:t>
            </w:r>
            <w:r>
              <w:rPr>
                <w:rFonts w:eastAsia="Times New Roman" w:cs="Times New Roman"/>
                <w:szCs w:val="20"/>
              </w:rPr>
              <w:t>a</w:t>
            </w:r>
            <w:r>
              <w:rPr>
                <w:rFonts w:eastAsia="Times New Roman" w:cs="Times New Roman"/>
                <w:spacing w:val="-9"/>
                <w:szCs w:val="20"/>
              </w:rPr>
              <w:t xml:space="preserve"> </w:t>
            </w:r>
            <w:r>
              <w:rPr>
                <w:rFonts w:eastAsia="Times New Roman" w:cs="Times New Roman"/>
                <w:spacing w:val="1"/>
                <w:szCs w:val="20"/>
              </w:rPr>
              <w:t>pr</w:t>
            </w:r>
            <w:r>
              <w:rPr>
                <w:rFonts w:eastAsia="Times New Roman" w:cs="Times New Roman"/>
                <w:szCs w:val="20"/>
              </w:rPr>
              <w:t>z</w:t>
            </w:r>
            <w:r>
              <w:rPr>
                <w:rFonts w:eastAsia="Times New Roman" w:cs="Times New Roman"/>
                <w:spacing w:val="1"/>
                <w:szCs w:val="20"/>
              </w:rPr>
              <w:t>e</w:t>
            </w:r>
            <w:r>
              <w:rPr>
                <w:rFonts w:eastAsia="Times New Roman" w:cs="Times New Roman"/>
                <w:szCs w:val="20"/>
              </w:rPr>
              <w:t>z</w:t>
            </w:r>
            <w:r>
              <w:rPr>
                <w:rFonts w:eastAsia="Times New Roman" w:cs="Times New Roman"/>
                <w:spacing w:val="-3"/>
                <w:szCs w:val="20"/>
              </w:rPr>
              <w:t xml:space="preserve"> </w:t>
            </w:r>
            <w:r>
              <w:rPr>
                <w:rFonts w:eastAsia="Times New Roman" w:cs="Times New Roman"/>
                <w:spacing w:val="1"/>
                <w:szCs w:val="20"/>
              </w:rPr>
              <w:t>prod</w:t>
            </w:r>
            <w:r>
              <w:rPr>
                <w:rFonts w:eastAsia="Times New Roman" w:cs="Times New Roman"/>
                <w:spacing w:val="-1"/>
                <w:szCs w:val="20"/>
              </w:rPr>
              <w:t>u</w:t>
            </w:r>
            <w:r>
              <w:rPr>
                <w:rFonts w:eastAsia="Times New Roman" w:cs="Times New Roman"/>
                <w:szCs w:val="20"/>
              </w:rPr>
              <w:t>c</w:t>
            </w:r>
            <w:r>
              <w:rPr>
                <w:rFonts w:eastAsia="Times New Roman" w:cs="Times New Roman"/>
                <w:spacing w:val="1"/>
                <w:szCs w:val="20"/>
              </w:rPr>
              <w:t>e</w:t>
            </w:r>
            <w:r>
              <w:rPr>
                <w:rFonts w:eastAsia="Times New Roman" w:cs="Times New Roman"/>
                <w:spacing w:val="-1"/>
                <w:szCs w:val="20"/>
              </w:rPr>
              <w:t>n</w:t>
            </w:r>
            <w:r>
              <w:rPr>
                <w:rFonts w:eastAsia="Times New Roman" w:cs="Times New Roman"/>
                <w:szCs w:val="20"/>
              </w:rPr>
              <w:t>ta</w:t>
            </w:r>
          </w:p>
        </w:tc>
        <w:tc>
          <w:tcPr>
            <w:tcW w:w="1039" w:type="dxa"/>
          </w:tcPr>
          <w:p w:rsidR="00B77F00" w:rsidRDefault="00B77F00">
            <w:pPr>
              <w:pStyle w:val="Standard"/>
            </w:pPr>
          </w:p>
        </w:tc>
      </w:tr>
      <w:tr w:rsidR="00B77F00">
        <w:tblPrEx>
          <w:tblCellMar>
            <w:top w:w="0" w:type="dxa"/>
            <w:bottom w:w="0" w:type="dxa"/>
          </w:tblCellMar>
        </w:tblPrEx>
        <w:trPr>
          <w:cantSplit/>
        </w:trPr>
        <w:tc>
          <w:tcPr>
            <w:tcW w:w="7067"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tcPr>
          <w:p w:rsidR="00B77F00" w:rsidRDefault="00865FA3">
            <w:pPr>
              <w:pStyle w:val="Standard"/>
              <w:rPr>
                <w:szCs w:val="20"/>
              </w:rPr>
            </w:pPr>
            <w:r>
              <w:rPr>
                <w:rFonts w:eastAsia="Times New Roman" w:cs="Times New Roman"/>
                <w:szCs w:val="20"/>
              </w:rPr>
              <w:t>Nasią</w:t>
            </w:r>
            <w:r>
              <w:rPr>
                <w:rFonts w:eastAsia="Times New Roman" w:cs="Times New Roman"/>
                <w:spacing w:val="1"/>
                <w:szCs w:val="20"/>
              </w:rPr>
              <w:t>k</w:t>
            </w:r>
            <w:r>
              <w:rPr>
                <w:rFonts w:eastAsia="Times New Roman" w:cs="Times New Roman"/>
                <w:szCs w:val="20"/>
              </w:rPr>
              <w:t>l</w:t>
            </w:r>
            <w:r>
              <w:rPr>
                <w:rFonts w:eastAsia="Times New Roman" w:cs="Times New Roman"/>
                <w:spacing w:val="2"/>
                <w:szCs w:val="20"/>
              </w:rPr>
              <w:t>i</w:t>
            </w:r>
            <w:r>
              <w:rPr>
                <w:rFonts w:eastAsia="Times New Roman" w:cs="Times New Roman"/>
                <w:spacing w:val="-2"/>
                <w:szCs w:val="20"/>
              </w:rPr>
              <w:t>w</w:t>
            </w:r>
            <w:r>
              <w:rPr>
                <w:rFonts w:eastAsia="Times New Roman" w:cs="Times New Roman"/>
                <w:spacing w:val="1"/>
                <w:szCs w:val="20"/>
              </w:rPr>
              <w:t>o</w:t>
            </w:r>
            <w:r>
              <w:rPr>
                <w:rFonts w:eastAsia="Times New Roman" w:cs="Times New Roman"/>
                <w:spacing w:val="-1"/>
                <w:szCs w:val="20"/>
              </w:rPr>
              <w:t>ś</w:t>
            </w:r>
            <w:r>
              <w:rPr>
                <w:rFonts w:eastAsia="Times New Roman" w:cs="Times New Roman"/>
                <w:szCs w:val="20"/>
              </w:rPr>
              <w:t>ć</w:t>
            </w:r>
            <w:r>
              <w:rPr>
                <w:rFonts w:eastAsia="Times New Roman" w:cs="Times New Roman"/>
                <w:spacing w:val="-8"/>
                <w:szCs w:val="20"/>
              </w:rPr>
              <w:t xml:space="preserve"> </w:t>
            </w:r>
            <w:r>
              <w:rPr>
                <w:rFonts w:eastAsia="Times New Roman" w:cs="Times New Roman"/>
                <w:spacing w:val="-2"/>
                <w:szCs w:val="20"/>
              </w:rPr>
              <w:t>w</w:t>
            </w:r>
            <w:r>
              <w:rPr>
                <w:rFonts w:eastAsia="Times New Roman" w:cs="Times New Roman"/>
                <w:szCs w:val="20"/>
              </w:rPr>
              <w:t>e</w:t>
            </w:r>
            <w:r>
              <w:rPr>
                <w:rFonts w:eastAsia="Times New Roman" w:cs="Times New Roman"/>
                <w:spacing w:val="1"/>
                <w:szCs w:val="20"/>
              </w:rPr>
              <w:t>d</w:t>
            </w:r>
            <w:r>
              <w:rPr>
                <w:rFonts w:eastAsia="Times New Roman" w:cs="Times New Roman"/>
                <w:spacing w:val="2"/>
                <w:szCs w:val="20"/>
              </w:rPr>
              <w:t>ł</w:t>
            </w:r>
            <w:r>
              <w:rPr>
                <w:rFonts w:eastAsia="Times New Roman" w:cs="Times New Roman"/>
                <w:spacing w:val="-1"/>
                <w:szCs w:val="20"/>
              </w:rPr>
              <w:t>u</w:t>
            </w:r>
            <w:r>
              <w:rPr>
                <w:rFonts w:eastAsia="Times New Roman" w:cs="Times New Roman"/>
                <w:szCs w:val="20"/>
              </w:rPr>
              <w:t>g</w:t>
            </w:r>
            <w:r>
              <w:rPr>
                <w:rFonts w:eastAsia="Times New Roman" w:cs="Times New Roman"/>
                <w:spacing w:val="-7"/>
                <w:szCs w:val="20"/>
              </w:rPr>
              <w:t xml:space="preserve"> </w:t>
            </w:r>
            <w:r>
              <w:rPr>
                <w:rFonts w:eastAsia="Times New Roman" w:cs="Times New Roman"/>
                <w:spacing w:val="2"/>
                <w:szCs w:val="20"/>
              </w:rPr>
              <w:t>PN</w:t>
            </w:r>
            <w:r>
              <w:rPr>
                <w:rFonts w:eastAsia="Times New Roman" w:cs="Times New Roman"/>
                <w:spacing w:val="-2"/>
                <w:szCs w:val="20"/>
              </w:rPr>
              <w:t>-</w:t>
            </w:r>
            <w:r>
              <w:rPr>
                <w:rFonts w:eastAsia="Times New Roman" w:cs="Times New Roman"/>
                <w:szCs w:val="20"/>
              </w:rPr>
              <w:t>EN</w:t>
            </w:r>
            <w:r>
              <w:rPr>
                <w:rFonts w:eastAsia="Times New Roman" w:cs="Times New Roman"/>
                <w:spacing w:val="-3"/>
                <w:szCs w:val="20"/>
              </w:rPr>
              <w:t xml:space="preserve"> </w:t>
            </w:r>
            <w:r>
              <w:rPr>
                <w:rFonts w:eastAsia="Times New Roman" w:cs="Times New Roman"/>
                <w:spacing w:val="1"/>
                <w:szCs w:val="20"/>
              </w:rPr>
              <w:t>109</w:t>
            </w:r>
            <w:r>
              <w:rPr>
                <w:rFonts w:eastAsia="Times New Roman" w:cs="Times New Roman"/>
                <w:spacing w:val="2"/>
                <w:szCs w:val="20"/>
              </w:rPr>
              <w:t>7</w:t>
            </w:r>
            <w:r>
              <w:rPr>
                <w:rFonts w:eastAsia="Times New Roman" w:cs="Times New Roman"/>
                <w:spacing w:val="-2"/>
                <w:szCs w:val="20"/>
              </w:rPr>
              <w:t>-</w:t>
            </w:r>
            <w:r>
              <w:rPr>
                <w:rFonts w:eastAsia="Times New Roman" w:cs="Times New Roman"/>
                <w:spacing w:val="1"/>
                <w:szCs w:val="20"/>
              </w:rPr>
              <w:t>6</w:t>
            </w:r>
            <w:r>
              <w:rPr>
                <w:rFonts w:eastAsia="Times New Roman" w:cs="Times New Roman"/>
                <w:szCs w:val="20"/>
              </w:rPr>
              <w:t>,</w:t>
            </w:r>
          </w:p>
          <w:p w:rsidR="00B77F00" w:rsidRDefault="00865FA3">
            <w:pPr>
              <w:pStyle w:val="Standard"/>
              <w:rPr>
                <w:szCs w:val="20"/>
              </w:rPr>
            </w:pPr>
            <w:r>
              <w:rPr>
                <w:rFonts w:eastAsia="Times New Roman" w:cs="Times New Roman"/>
                <w:spacing w:val="1"/>
                <w:szCs w:val="20"/>
              </w:rPr>
              <w:t>ro</w:t>
            </w:r>
            <w:r>
              <w:rPr>
                <w:rFonts w:eastAsia="Times New Roman" w:cs="Times New Roman"/>
                <w:szCs w:val="20"/>
              </w:rPr>
              <w:t>z</w:t>
            </w:r>
            <w:r>
              <w:rPr>
                <w:rFonts w:eastAsia="Times New Roman" w:cs="Times New Roman"/>
                <w:spacing w:val="1"/>
                <w:szCs w:val="20"/>
              </w:rPr>
              <w:t>d</w:t>
            </w:r>
            <w:r>
              <w:rPr>
                <w:rFonts w:eastAsia="Times New Roman" w:cs="Times New Roman"/>
                <w:szCs w:val="20"/>
              </w:rPr>
              <w:t>z.</w:t>
            </w:r>
            <w:r>
              <w:rPr>
                <w:rFonts w:eastAsia="Times New Roman" w:cs="Times New Roman"/>
                <w:spacing w:val="-6"/>
                <w:szCs w:val="20"/>
              </w:rPr>
              <w:t xml:space="preserve"> </w:t>
            </w:r>
            <w:r>
              <w:rPr>
                <w:rFonts w:eastAsia="Times New Roman" w:cs="Times New Roman"/>
                <w:spacing w:val="1"/>
                <w:szCs w:val="20"/>
              </w:rPr>
              <w:t>7</w:t>
            </w:r>
            <w:r>
              <w:rPr>
                <w:rFonts w:eastAsia="Times New Roman" w:cs="Times New Roman"/>
                <w:szCs w:val="20"/>
              </w:rPr>
              <w:t>, 8 l</w:t>
            </w:r>
            <w:r>
              <w:rPr>
                <w:rFonts w:eastAsia="Times New Roman" w:cs="Times New Roman"/>
                <w:spacing w:val="-1"/>
                <w:szCs w:val="20"/>
              </w:rPr>
              <w:t>u</w:t>
            </w:r>
            <w:r>
              <w:rPr>
                <w:rFonts w:eastAsia="Times New Roman" w:cs="Times New Roman"/>
                <w:szCs w:val="20"/>
              </w:rPr>
              <w:t>b</w:t>
            </w:r>
            <w:r>
              <w:rPr>
                <w:rFonts w:eastAsia="Times New Roman" w:cs="Times New Roman"/>
                <w:spacing w:val="-2"/>
                <w:szCs w:val="20"/>
              </w:rPr>
              <w:t xml:space="preserve"> </w:t>
            </w:r>
            <w:r>
              <w:rPr>
                <w:rFonts w:eastAsia="Times New Roman" w:cs="Times New Roman"/>
                <w:szCs w:val="20"/>
              </w:rPr>
              <w:t>9</w:t>
            </w:r>
          </w:p>
        </w:tc>
        <w:tc>
          <w:tcPr>
            <w:tcW w:w="1532" w:type="dxa"/>
            <w:gridSpan w:val="2"/>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B77F00">
            <w:pPr>
              <w:pStyle w:val="Standard"/>
              <w:rPr>
                <w:szCs w:val="20"/>
              </w:rPr>
            </w:pPr>
          </w:p>
          <w:p w:rsidR="00B77F00" w:rsidRDefault="00865FA3">
            <w:pPr>
              <w:pStyle w:val="Standard"/>
              <w:rPr>
                <w:szCs w:val="20"/>
              </w:rPr>
            </w:pPr>
            <w:r>
              <w:rPr>
                <w:rFonts w:eastAsia="Times New Roman" w:cs="Times New Roman"/>
                <w:spacing w:val="1"/>
                <w:szCs w:val="20"/>
              </w:rPr>
              <w:t>d</w:t>
            </w:r>
            <w:r>
              <w:rPr>
                <w:rFonts w:eastAsia="Times New Roman" w:cs="Times New Roman"/>
                <w:szCs w:val="20"/>
              </w:rPr>
              <w:t>e</w:t>
            </w:r>
            <w:r>
              <w:rPr>
                <w:rFonts w:eastAsia="Times New Roman" w:cs="Times New Roman"/>
                <w:spacing w:val="-1"/>
                <w:szCs w:val="20"/>
              </w:rPr>
              <w:t>k</w:t>
            </w:r>
            <w:r>
              <w:rPr>
                <w:rFonts w:eastAsia="Times New Roman" w:cs="Times New Roman"/>
                <w:szCs w:val="20"/>
              </w:rPr>
              <w:t>la</w:t>
            </w:r>
            <w:r>
              <w:rPr>
                <w:rFonts w:eastAsia="Times New Roman" w:cs="Times New Roman"/>
                <w:spacing w:val="1"/>
                <w:szCs w:val="20"/>
              </w:rPr>
              <w:t>r</w:t>
            </w:r>
            <w:r>
              <w:rPr>
                <w:rFonts w:eastAsia="Times New Roman" w:cs="Times New Roman"/>
                <w:spacing w:val="3"/>
                <w:szCs w:val="20"/>
              </w:rPr>
              <w:t>o</w:t>
            </w:r>
            <w:r>
              <w:rPr>
                <w:rFonts w:eastAsia="Times New Roman" w:cs="Times New Roman"/>
                <w:spacing w:val="-5"/>
                <w:szCs w:val="20"/>
              </w:rPr>
              <w:t>w</w:t>
            </w:r>
            <w:r>
              <w:rPr>
                <w:rFonts w:eastAsia="Times New Roman" w:cs="Times New Roman"/>
                <w:spacing w:val="3"/>
                <w:szCs w:val="20"/>
              </w:rPr>
              <w:t>a</w:t>
            </w:r>
            <w:r>
              <w:rPr>
                <w:rFonts w:eastAsia="Times New Roman" w:cs="Times New Roman"/>
                <w:spacing w:val="-1"/>
                <w:szCs w:val="20"/>
              </w:rPr>
              <w:t>n</w:t>
            </w:r>
            <w:r>
              <w:rPr>
                <w:rFonts w:eastAsia="Times New Roman" w:cs="Times New Roman"/>
                <w:szCs w:val="20"/>
              </w:rPr>
              <w:t>a</w:t>
            </w:r>
            <w:r>
              <w:rPr>
                <w:rFonts w:eastAsia="Times New Roman" w:cs="Times New Roman"/>
                <w:spacing w:val="-9"/>
                <w:szCs w:val="20"/>
              </w:rPr>
              <w:t xml:space="preserve"> </w:t>
            </w:r>
            <w:r>
              <w:rPr>
                <w:rFonts w:eastAsia="Times New Roman" w:cs="Times New Roman"/>
                <w:spacing w:val="1"/>
                <w:szCs w:val="20"/>
              </w:rPr>
              <w:t>pr</w:t>
            </w:r>
            <w:r>
              <w:rPr>
                <w:rFonts w:eastAsia="Times New Roman" w:cs="Times New Roman"/>
                <w:szCs w:val="20"/>
              </w:rPr>
              <w:t>z</w:t>
            </w:r>
            <w:r>
              <w:rPr>
                <w:rFonts w:eastAsia="Times New Roman" w:cs="Times New Roman"/>
                <w:spacing w:val="1"/>
                <w:szCs w:val="20"/>
              </w:rPr>
              <w:t>e</w:t>
            </w:r>
            <w:r>
              <w:rPr>
                <w:rFonts w:eastAsia="Times New Roman" w:cs="Times New Roman"/>
                <w:szCs w:val="20"/>
              </w:rPr>
              <w:t>z</w:t>
            </w:r>
            <w:r>
              <w:rPr>
                <w:rFonts w:eastAsia="Times New Roman" w:cs="Times New Roman"/>
                <w:spacing w:val="-3"/>
                <w:szCs w:val="20"/>
              </w:rPr>
              <w:t xml:space="preserve"> </w:t>
            </w:r>
            <w:r>
              <w:rPr>
                <w:rFonts w:eastAsia="Times New Roman" w:cs="Times New Roman"/>
                <w:spacing w:val="1"/>
                <w:szCs w:val="20"/>
              </w:rPr>
              <w:t>prod</w:t>
            </w:r>
            <w:r>
              <w:rPr>
                <w:rFonts w:eastAsia="Times New Roman" w:cs="Times New Roman"/>
                <w:spacing w:val="-1"/>
                <w:szCs w:val="20"/>
              </w:rPr>
              <w:t>u</w:t>
            </w:r>
            <w:r>
              <w:rPr>
                <w:rFonts w:eastAsia="Times New Roman" w:cs="Times New Roman"/>
                <w:szCs w:val="20"/>
              </w:rPr>
              <w:t>c</w:t>
            </w:r>
            <w:r>
              <w:rPr>
                <w:rFonts w:eastAsia="Times New Roman" w:cs="Times New Roman"/>
                <w:spacing w:val="1"/>
                <w:szCs w:val="20"/>
              </w:rPr>
              <w:t>e</w:t>
            </w:r>
            <w:r>
              <w:rPr>
                <w:rFonts w:eastAsia="Times New Roman" w:cs="Times New Roman"/>
                <w:spacing w:val="-1"/>
                <w:szCs w:val="20"/>
              </w:rPr>
              <w:t>n</w:t>
            </w:r>
            <w:r>
              <w:rPr>
                <w:rFonts w:eastAsia="Times New Roman" w:cs="Times New Roman"/>
                <w:szCs w:val="20"/>
              </w:rPr>
              <w:t>ta</w:t>
            </w:r>
          </w:p>
        </w:tc>
        <w:tc>
          <w:tcPr>
            <w:tcW w:w="1039" w:type="dxa"/>
          </w:tcPr>
          <w:p w:rsidR="00B77F00" w:rsidRDefault="00B77F00">
            <w:pPr>
              <w:pStyle w:val="Standard"/>
            </w:pPr>
          </w:p>
        </w:tc>
      </w:tr>
      <w:tr w:rsidR="00B77F00">
        <w:tblPrEx>
          <w:tblCellMar>
            <w:top w:w="0" w:type="dxa"/>
            <w:bottom w:w="0" w:type="dxa"/>
          </w:tblCellMar>
        </w:tblPrEx>
        <w:trPr>
          <w:cantSplit/>
        </w:trPr>
        <w:tc>
          <w:tcPr>
            <w:tcW w:w="7067"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tcPr>
          <w:p w:rsidR="00B77F00" w:rsidRDefault="00865FA3">
            <w:pPr>
              <w:pStyle w:val="Standard"/>
              <w:rPr>
                <w:szCs w:val="20"/>
              </w:rPr>
            </w:pPr>
            <w:r>
              <w:rPr>
                <w:rFonts w:eastAsia="Times New Roman" w:cs="Times New Roman"/>
                <w:szCs w:val="20"/>
              </w:rPr>
              <w:t>G</w:t>
            </w:r>
            <w:r>
              <w:rPr>
                <w:rFonts w:eastAsia="Times New Roman" w:cs="Times New Roman"/>
                <w:spacing w:val="1"/>
                <w:szCs w:val="20"/>
              </w:rPr>
              <w:t>r</w:t>
            </w:r>
            <w:r>
              <w:rPr>
                <w:rFonts w:eastAsia="Times New Roman" w:cs="Times New Roman"/>
                <w:spacing w:val="-1"/>
                <w:szCs w:val="20"/>
              </w:rPr>
              <w:t>u</w:t>
            </w:r>
            <w:r>
              <w:rPr>
                <w:rFonts w:eastAsia="Times New Roman" w:cs="Times New Roman"/>
                <w:spacing w:val="1"/>
                <w:szCs w:val="20"/>
              </w:rPr>
              <w:t>b</w:t>
            </w:r>
            <w:r>
              <w:rPr>
                <w:rFonts w:eastAsia="Times New Roman" w:cs="Times New Roman"/>
                <w:szCs w:val="20"/>
              </w:rPr>
              <w:t>e</w:t>
            </w:r>
            <w:r>
              <w:rPr>
                <w:rFonts w:eastAsia="Times New Roman" w:cs="Times New Roman"/>
                <w:spacing w:val="-4"/>
                <w:szCs w:val="20"/>
              </w:rPr>
              <w:t xml:space="preserve"> </w:t>
            </w:r>
            <w:r>
              <w:rPr>
                <w:rFonts w:eastAsia="Times New Roman" w:cs="Times New Roman"/>
                <w:szCs w:val="20"/>
              </w:rPr>
              <w:t>z</w:t>
            </w:r>
            <w:r>
              <w:rPr>
                <w:rFonts w:eastAsia="Times New Roman" w:cs="Times New Roman"/>
                <w:spacing w:val="1"/>
                <w:szCs w:val="20"/>
              </w:rPr>
              <w:t>a</w:t>
            </w:r>
            <w:r>
              <w:rPr>
                <w:rFonts w:eastAsia="Times New Roman" w:cs="Times New Roman"/>
                <w:spacing w:val="-1"/>
                <w:szCs w:val="20"/>
              </w:rPr>
              <w:t>n</w:t>
            </w:r>
            <w:r>
              <w:rPr>
                <w:rFonts w:eastAsia="Times New Roman" w:cs="Times New Roman"/>
                <w:szCs w:val="20"/>
              </w:rPr>
              <w:t>iec</w:t>
            </w:r>
            <w:r>
              <w:rPr>
                <w:rFonts w:eastAsia="Times New Roman" w:cs="Times New Roman"/>
                <w:spacing w:val="3"/>
                <w:szCs w:val="20"/>
              </w:rPr>
              <w:t>z</w:t>
            </w:r>
            <w:r>
              <w:rPr>
                <w:rFonts w:eastAsia="Times New Roman" w:cs="Times New Roman"/>
                <w:spacing w:val="-1"/>
                <w:szCs w:val="20"/>
              </w:rPr>
              <w:t>ys</w:t>
            </w:r>
            <w:r>
              <w:rPr>
                <w:rFonts w:eastAsia="Times New Roman" w:cs="Times New Roman"/>
                <w:szCs w:val="20"/>
              </w:rPr>
              <w:t>z</w:t>
            </w:r>
            <w:r>
              <w:rPr>
                <w:rFonts w:eastAsia="Times New Roman" w:cs="Times New Roman"/>
                <w:spacing w:val="1"/>
                <w:szCs w:val="20"/>
              </w:rPr>
              <w:t>c</w:t>
            </w:r>
            <w:r>
              <w:rPr>
                <w:rFonts w:eastAsia="Times New Roman" w:cs="Times New Roman"/>
                <w:szCs w:val="20"/>
              </w:rPr>
              <w:t>z</w:t>
            </w:r>
            <w:r>
              <w:rPr>
                <w:rFonts w:eastAsia="Times New Roman" w:cs="Times New Roman"/>
                <w:spacing w:val="3"/>
                <w:szCs w:val="20"/>
              </w:rPr>
              <w:t>e</w:t>
            </w:r>
            <w:r>
              <w:rPr>
                <w:rFonts w:eastAsia="Times New Roman" w:cs="Times New Roman"/>
                <w:spacing w:val="-1"/>
                <w:szCs w:val="20"/>
              </w:rPr>
              <w:t>n</w:t>
            </w:r>
            <w:r>
              <w:rPr>
                <w:rFonts w:eastAsia="Times New Roman" w:cs="Times New Roman"/>
                <w:szCs w:val="20"/>
              </w:rPr>
              <w:t>ia</w:t>
            </w:r>
            <w:r>
              <w:rPr>
                <w:rFonts w:eastAsia="Times New Roman" w:cs="Times New Roman"/>
                <w:spacing w:val="-14"/>
                <w:szCs w:val="20"/>
              </w:rPr>
              <w:t xml:space="preserve"> </w:t>
            </w:r>
            <w:r>
              <w:rPr>
                <w:rFonts w:eastAsia="Times New Roman" w:cs="Times New Roman"/>
                <w:szCs w:val="20"/>
              </w:rPr>
              <w:t>le</w:t>
            </w:r>
            <w:r>
              <w:rPr>
                <w:rFonts w:eastAsia="Times New Roman" w:cs="Times New Roman"/>
                <w:spacing w:val="1"/>
                <w:szCs w:val="20"/>
              </w:rPr>
              <w:t>k</w:t>
            </w:r>
            <w:r>
              <w:rPr>
                <w:rFonts w:eastAsia="Times New Roman" w:cs="Times New Roman"/>
                <w:spacing w:val="-1"/>
                <w:szCs w:val="20"/>
              </w:rPr>
              <w:t>k</w:t>
            </w:r>
            <w:r>
              <w:rPr>
                <w:rFonts w:eastAsia="Times New Roman" w:cs="Times New Roman"/>
                <w:spacing w:val="2"/>
                <w:szCs w:val="20"/>
              </w:rPr>
              <w:t>i</w:t>
            </w:r>
            <w:r>
              <w:rPr>
                <w:rFonts w:eastAsia="Times New Roman" w:cs="Times New Roman"/>
                <w:szCs w:val="20"/>
              </w:rPr>
              <w:t>e,</w:t>
            </w:r>
          </w:p>
          <w:p w:rsidR="00B77F00" w:rsidRDefault="00865FA3">
            <w:pPr>
              <w:pStyle w:val="Standard"/>
              <w:rPr>
                <w:szCs w:val="20"/>
              </w:rPr>
            </w:pPr>
            <w:r>
              <w:rPr>
                <w:rFonts w:eastAsia="Times New Roman" w:cs="Times New Roman"/>
                <w:spacing w:val="-2"/>
                <w:szCs w:val="20"/>
              </w:rPr>
              <w:t>w</w:t>
            </w:r>
            <w:r>
              <w:rPr>
                <w:rFonts w:eastAsia="Times New Roman" w:cs="Times New Roman"/>
                <w:szCs w:val="20"/>
              </w:rPr>
              <w:t>e</w:t>
            </w:r>
            <w:r>
              <w:rPr>
                <w:rFonts w:eastAsia="Times New Roman" w:cs="Times New Roman"/>
                <w:spacing w:val="1"/>
                <w:szCs w:val="20"/>
              </w:rPr>
              <w:t>d</w:t>
            </w:r>
            <w:r>
              <w:rPr>
                <w:rFonts w:eastAsia="Times New Roman" w:cs="Times New Roman"/>
                <w:spacing w:val="2"/>
                <w:szCs w:val="20"/>
              </w:rPr>
              <w:t>ł</w:t>
            </w:r>
            <w:r>
              <w:rPr>
                <w:rFonts w:eastAsia="Times New Roman" w:cs="Times New Roman"/>
                <w:spacing w:val="-1"/>
                <w:szCs w:val="20"/>
              </w:rPr>
              <w:t>u</w:t>
            </w:r>
            <w:r>
              <w:rPr>
                <w:rFonts w:eastAsia="Times New Roman" w:cs="Times New Roman"/>
                <w:szCs w:val="20"/>
              </w:rPr>
              <w:t>g</w:t>
            </w:r>
            <w:r>
              <w:rPr>
                <w:rFonts w:eastAsia="Times New Roman" w:cs="Times New Roman"/>
                <w:spacing w:val="-7"/>
                <w:szCs w:val="20"/>
              </w:rPr>
              <w:t xml:space="preserve"> </w:t>
            </w:r>
            <w:r>
              <w:rPr>
                <w:rFonts w:eastAsia="Times New Roman" w:cs="Times New Roman"/>
                <w:spacing w:val="2"/>
                <w:szCs w:val="20"/>
              </w:rPr>
              <w:t>P</w:t>
            </w:r>
            <w:r>
              <w:rPr>
                <w:rFonts w:eastAsia="Times New Roman" w:cs="Times New Roman"/>
                <w:spacing w:val="1"/>
                <w:szCs w:val="20"/>
              </w:rPr>
              <w:t>N</w:t>
            </w:r>
            <w:r>
              <w:rPr>
                <w:rFonts w:eastAsia="Times New Roman" w:cs="Times New Roman"/>
                <w:spacing w:val="-2"/>
                <w:szCs w:val="20"/>
              </w:rPr>
              <w:t>-</w:t>
            </w:r>
            <w:r>
              <w:rPr>
                <w:rFonts w:eastAsia="Times New Roman" w:cs="Times New Roman"/>
                <w:spacing w:val="3"/>
                <w:szCs w:val="20"/>
              </w:rPr>
              <w:t>E</w:t>
            </w:r>
            <w:r>
              <w:rPr>
                <w:rFonts w:eastAsia="Times New Roman" w:cs="Times New Roman"/>
                <w:szCs w:val="20"/>
              </w:rPr>
              <w:t>N</w:t>
            </w:r>
            <w:r>
              <w:rPr>
                <w:rFonts w:eastAsia="Times New Roman" w:cs="Times New Roman"/>
                <w:spacing w:val="-6"/>
                <w:szCs w:val="20"/>
              </w:rPr>
              <w:t xml:space="preserve"> </w:t>
            </w:r>
            <w:r>
              <w:rPr>
                <w:rFonts w:eastAsia="Times New Roman" w:cs="Times New Roman"/>
                <w:spacing w:val="1"/>
                <w:szCs w:val="20"/>
              </w:rPr>
              <w:t>174</w:t>
            </w:r>
            <w:r>
              <w:rPr>
                <w:rFonts w:eastAsia="Times New Roman" w:cs="Times New Roman"/>
                <w:spacing w:val="2"/>
                <w:szCs w:val="20"/>
              </w:rPr>
              <w:t>4</w:t>
            </w:r>
            <w:r>
              <w:rPr>
                <w:rFonts w:eastAsia="Times New Roman" w:cs="Times New Roman"/>
                <w:spacing w:val="-1"/>
                <w:szCs w:val="20"/>
              </w:rPr>
              <w:t>-</w:t>
            </w:r>
            <w:r>
              <w:rPr>
                <w:rFonts w:eastAsia="Times New Roman" w:cs="Times New Roman"/>
                <w:szCs w:val="20"/>
              </w:rPr>
              <w:t>1</w:t>
            </w:r>
            <w:r>
              <w:rPr>
                <w:rFonts w:eastAsia="Times New Roman" w:cs="Times New Roman"/>
                <w:spacing w:val="-5"/>
                <w:szCs w:val="20"/>
              </w:rPr>
              <w:t xml:space="preserve"> </w:t>
            </w:r>
            <w:r>
              <w:rPr>
                <w:rFonts w:eastAsia="Times New Roman" w:cs="Times New Roman"/>
                <w:spacing w:val="1"/>
                <w:szCs w:val="20"/>
              </w:rPr>
              <w:t>p</w:t>
            </w:r>
            <w:r>
              <w:rPr>
                <w:rFonts w:eastAsia="Times New Roman" w:cs="Times New Roman"/>
                <w:szCs w:val="20"/>
              </w:rPr>
              <w:t>.</w:t>
            </w:r>
            <w:r>
              <w:rPr>
                <w:rFonts w:eastAsia="Times New Roman" w:cs="Times New Roman"/>
                <w:spacing w:val="-3"/>
                <w:szCs w:val="20"/>
              </w:rPr>
              <w:t xml:space="preserve"> </w:t>
            </w:r>
            <w:r>
              <w:rPr>
                <w:rFonts w:eastAsia="Times New Roman" w:cs="Times New Roman"/>
                <w:spacing w:val="1"/>
                <w:szCs w:val="20"/>
              </w:rPr>
              <w:t>14</w:t>
            </w:r>
            <w:r>
              <w:rPr>
                <w:rFonts w:eastAsia="Times New Roman" w:cs="Times New Roman"/>
                <w:szCs w:val="20"/>
              </w:rPr>
              <w:t>.</w:t>
            </w:r>
            <w:r>
              <w:rPr>
                <w:rFonts w:eastAsia="Times New Roman" w:cs="Times New Roman"/>
                <w:spacing w:val="-1"/>
                <w:szCs w:val="20"/>
              </w:rPr>
              <w:t>2</w:t>
            </w:r>
            <w:r>
              <w:rPr>
                <w:rFonts w:eastAsia="Times New Roman" w:cs="Times New Roman"/>
                <w:szCs w:val="20"/>
              </w:rPr>
              <w:t>,</w:t>
            </w:r>
          </w:p>
          <w:p w:rsidR="00B77F00" w:rsidRDefault="00865FA3">
            <w:pPr>
              <w:pStyle w:val="Standard"/>
              <w:rPr>
                <w:szCs w:val="20"/>
              </w:rPr>
            </w:pPr>
            <w:r>
              <w:rPr>
                <w:rFonts w:eastAsia="Times New Roman" w:cs="Times New Roman"/>
                <w:spacing w:val="-1"/>
                <w:szCs w:val="20"/>
              </w:rPr>
              <w:t>k</w:t>
            </w:r>
            <w:r>
              <w:rPr>
                <w:rFonts w:eastAsia="Times New Roman" w:cs="Times New Roman"/>
                <w:szCs w:val="20"/>
              </w:rPr>
              <w:t>ate</w:t>
            </w:r>
            <w:r>
              <w:rPr>
                <w:rFonts w:eastAsia="Times New Roman" w:cs="Times New Roman"/>
                <w:spacing w:val="-1"/>
                <w:szCs w:val="20"/>
              </w:rPr>
              <w:t>g</w:t>
            </w:r>
            <w:r>
              <w:rPr>
                <w:rFonts w:eastAsia="Times New Roman" w:cs="Times New Roman"/>
                <w:spacing w:val="1"/>
                <w:szCs w:val="20"/>
              </w:rPr>
              <w:t>or</w:t>
            </w:r>
            <w:r>
              <w:rPr>
                <w:rFonts w:eastAsia="Times New Roman" w:cs="Times New Roman"/>
                <w:szCs w:val="20"/>
              </w:rPr>
              <w:t>ia</w:t>
            </w:r>
            <w:r>
              <w:rPr>
                <w:rFonts w:eastAsia="Times New Roman" w:cs="Times New Roman"/>
                <w:spacing w:val="-4"/>
                <w:szCs w:val="20"/>
              </w:rPr>
              <w:t xml:space="preserve"> </w:t>
            </w:r>
            <w:r>
              <w:rPr>
                <w:rFonts w:eastAsia="Times New Roman" w:cs="Times New Roman"/>
                <w:spacing w:val="-1"/>
                <w:szCs w:val="20"/>
              </w:rPr>
              <w:t>n</w:t>
            </w:r>
            <w:r>
              <w:rPr>
                <w:rFonts w:eastAsia="Times New Roman" w:cs="Times New Roman"/>
                <w:szCs w:val="20"/>
              </w:rPr>
              <w:t>ie</w:t>
            </w:r>
            <w:r>
              <w:rPr>
                <w:rFonts w:eastAsia="Times New Roman" w:cs="Times New Roman"/>
                <w:spacing w:val="1"/>
                <w:szCs w:val="20"/>
              </w:rPr>
              <w:t xml:space="preserve"> </w:t>
            </w:r>
            <w:r>
              <w:rPr>
                <w:rFonts w:eastAsia="Times New Roman" w:cs="Times New Roman"/>
                <w:spacing w:val="-2"/>
                <w:szCs w:val="20"/>
              </w:rPr>
              <w:t>w</w:t>
            </w:r>
            <w:r>
              <w:rPr>
                <w:rFonts w:eastAsia="Times New Roman" w:cs="Times New Roman"/>
                <w:spacing w:val="-1"/>
                <w:szCs w:val="20"/>
              </w:rPr>
              <w:t>y</w:t>
            </w:r>
            <w:r>
              <w:rPr>
                <w:rFonts w:eastAsia="Times New Roman" w:cs="Times New Roman"/>
                <w:spacing w:val="3"/>
                <w:szCs w:val="20"/>
              </w:rPr>
              <w:t>ż</w:t>
            </w:r>
            <w:r>
              <w:rPr>
                <w:rFonts w:eastAsia="Times New Roman" w:cs="Times New Roman"/>
                <w:spacing w:val="-1"/>
                <w:szCs w:val="20"/>
              </w:rPr>
              <w:t>s</w:t>
            </w:r>
            <w:r>
              <w:rPr>
                <w:rFonts w:eastAsia="Times New Roman" w:cs="Times New Roman"/>
                <w:szCs w:val="20"/>
              </w:rPr>
              <w:t>za</w:t>
            </w:r>
            <w:r>
              <w:rPr>
                <w:rFonts w:eastAsia="Times New Roman" w:cs="Times New Roman"/>
                <w:spacing w:val="-5"/>
                <w:szCs w:val="20"/>
              </w:rPr>
              <w:t xml:space="preserve"> </w:t>
            </w:r>
            <w:r>
              <w:rPr>
                <w:rFonts w:eastAsia="Times New Roman" w:cs="Times New Roman"/>
                <w:spacing w:val="-1"/>
                <w:szCs w:val="20"/>
              </w:rPr>
              <w:t>n</w:t>
            </w:r>
            <w:r>
              <w:rPr>
                <w:rFonts w:eastAsia="Times New Roman" w:cs="Times New Roman"/>
                <w:szCs w:val="20"/>
              </w:rPr>
              <w:t>i</w:t>
            </w:r>
            <w:r>
              <w:rPr>
                <w:rFonts w:eastAsia="Times New Roman" w:cs="Times New Roman"/>
                <w:spacing w:val="2"/>
                <w:szCs w:val="20"/>
              </w:rPr>
              <w:t>ż</w:t>
            </w:r>
            <w:r>
              <w:rPr>
                <w:rFonts w:eastAsia="Times New Roman" w:cs="Times New Roman"/>
                <w:szCs w:val="20"/>
              </w:rPr>
              <w:t>:</w:t>
            </w:r>
          </w:p>
        </w:tc>
        <w:tc>
          <w:tcPr>
            <w:tcW w:w="1532" w:type="dxa"/>
            <w:gridSpan w:val="2"/>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B77F00">
            <w:pPr>
              <w:pStyle w:val="Standard"/>
              <w:rPr>
                <w:szCs w:val="20"/>
              </w:rPr>
            </w:pPr>
          </w:p>
          <w:p w:rsidR="00B77F00" w:rsidRDefault="00865FA3">
            <w:pPr>
              <w:pStyle w:val="Standard"/>
              <w:rPr>
                <w:szCs w:val="20"/>
              </w:rPr>
            </w:pPr>
            <w:r>
              <w:rPr>
                <w:rFonts w:eastAsia="Times New Roman" w:cs="Times New Roman"/>
                <w:i/>
                <w:w w:val="99"/>
                <w:szCs w:val="20"/>
              </w:rPr>
              <w:t>m</w:t>
            </w:r>
            <w:r>
              <w:rPr>
                <w:rFonts w:eastAsia="Times New Roman" w:cs="Times New Roman"/>
                <w:spacing w:val="-2"/>
                <w:w w:val="99"/>
                <w:position w:val="-5"/>
                <w:szCs w:val="20"/>
              </w:rPr>
              <w:t>L</w:t>
            </w:r>
            <w:r>
              <w:rPr>
                <w:rFonts w:eastAsia="Times New Roman" w:cs="Times New Roman"/>
                <w:spacing w:val="2"/>
                <w:w w:val="99"/>
                <w:position w:val="-5"/>
                <w:szCs w:val="20"/>
              </w:rPr>
              <w:t>P</w:t>
            </w:r>
            <w:r>
              <w:rPr>
                <w:rFonts w:eastAsia="Times New Roman" w:cs="Times New Roman"/>
                <w:w w:val="99"/>
                <w:position w:val="-5"/>
                <w:szCs w:val="20"/>
              </w:rPr>
              <w:t>C</w:t>
            </w:r>
            <w:r>
              <w:rPr>
                <w:rFonts w:eastAsia="Times New Roman" w:cs="Times New Roman"/>
                <w:spacing w:val="1"/>
                <w:w w:val="99"/>
                <w:szCs w:val="20"/>
              </w:rPr>
              <w:t>0</w:t>
            </w:r>
            <w:r>
              <w:rPr>
                <w:rFonts w:eastAsia="Times New Roman" w:cs="Times New Roman"/>
                <w:w w:val="99"/>
                <w:szCs w:val="20"/>
              </w:rPr>
              <w:t>,1</w:t>
            </w:r>
          </w:p>
        </w:tc>
        <w:tc>
          <w:tcPr>
            <w:tcW w:w="1039" w:type="dxa"/>
          </w:tcPr>
          <w:p w:rsidR="00B77F00" w:rsidRDefault="00B77F00">
            <w:pPr>
              <w:pStyle w:val="Standard"/>
            </w:pPr>
          </w:p>
        </w:tc>
      </w:tr>
    </w:tbl>
    <w:p w:rsidR="00B77F00" w:rsidRDefault="00B77F00">
      <w:pPr>
        <w:pStyle w:val="Standard"/>
        <w:rPr>
          <w:szCs w:val="20"/>
        </w:rPr>
      </w:pPr>
    </w:p>
    <w:p w:rsidR="00B77F00" w:rsidRDefault="00865FA3">
      <w:pPr>
        <w:pStyle w:val="Standard"/>
        <w:jc w:val="both"/>
        <w:rPr>
          <w:szCs w:val="20"/>
        </w:rPr>
      </w:pPr>
      <w:r>
        <w:rPr>
          <w:szCs w:val="20"/>
        </w:rPr>
        <w:t>2.2.1.2. Środek adhezyjny</w:t>
      </w:r>
    </w:p>
    <w:p w:rsidR="00B77F00" w:rsidRDefault="00865FA3">
      <w:pPr>
        <w:pStyle w:val="Standard"/>
        <w:jc w:val="both"/>
        <w:rPr>
          <w:szCs w:val="20"/>
        </w:rPr>
      </w:pPr>
      <w:r>
        <w:rPr>
          <w:szCs w:val="20"/>
        </w:rPr>
        <w:t xml:space="preserve">Zastosowane kruszywo mineralne i lepiszcze asfaltowe powinny wykazywać powinowactwo fizykochemiczne, </w:t>
      </w:r>
      <w:r>
        <w:rPr>
          <w:szCs w:val="20"/>
        </w:rPr>
        <w:lastRenderedPageBreak/>
        <w:t xml:space="preserve">zapewniające odpowiednią przyczepność (adhezję) lepiszcza do kruszywa i odporność mieszanki </w:t>
      </w:r>
      <w:r>
        <w:rPr>
          <w:szCs w:val="20"/>
        </w:rPr>
        <w:t>mineralno - asfaltowej na działanie wody. W celu poprawy powinowactwa lepiszcza asfaltowego do kruszywa należy stosować środki poprawiające adhezję. Środek adhezyjny i jego ilość powinny być dostosowane do konkretnego kruszywa i lepiszcza. Ocenę przyczepno</w:t>
      </w:r>
      <w:r>
        <w:rPr>
          <w:szCs w:val="20"/>
        </w:rPr>
        <w:t>ści należy określić na podstawie badania według PN-EN 12697-11, metoda A po 6 h obracania, kruszywo 8/11 jako podstawowe. Dopuszcza się inne wymiary w przypadku braku wymiaru podstawowego do tego badania. Przyczepność kruszywa powinna wynosić co najmniej 8</w:t>
      </w:r>
      <w:r>
        <w:rPr>
          <w:szCs w:val="20"/>
        </w:rPr>
        <w:t>0%.</w:t>
      </w:r>
    </w:p>
    <w:p w:rsidR="00B77F00" w:rsidRDefault="00865FA3">
      <w:pPr>
        <w:pStyle w:val="Standard"/>
        <w:jc w:val="both"/>
        <w:rPr>
          <w:szCs w:val="20"/>
        </w:rPr>
      </w:pPr>
      <w:r>
        <w:rPr>
          <w:szCs w:val="20"/>
        </w:rPr>
        <w:t>2.3. Lepiszcze asfaltowe</w:t>
      </w:r>
    </w:p>
    <w:p w:rsidR="00B77F00" w:rsidRDefault="00865FA3">
      <w:pPr>
        <w:pStyle w:val="Standard"/>
        <w:jc w:val="both"/>
        <w:rPr>
          <w:szCs w:val="20"/>
        </w:rPr>
      </w:pPr>
      <w:r>
        <w:rPr>
          <w:szCs w:val="20"/>
        </w:rPr>
        <w:t>Jako lepiszcze asfaltowe do do warstwy wiążącej należy stosować polimeroasfalt PMB 25/55-60 spełniający wymagania PN-EN 14023.</w:t>
      </w:r>
    </w:p>
    <w:p w:rsidR="00B77F00" w:rsidRDefault="00B77F00">
      <w:pPr>
        <w:pStyle w:val="Standard"/>
        <w:rPr>
          <w:szCs w:val="20"/>
        </w:rPr>
      </w:pPr>
    </w:p>
    <w:p w:rsidR="00B77F00" w:rsidRDefault="00865FA3">
      <w:pPr>
        <w:pStyle w:val="Standard"/>
        <w:rPr>
          <w:szCs w:val="20"/>
        </w:rPr>
      </w:pPr>
      <w:r>
        <w:rPr>
          <w:szCs w:val="20"/>
        </w:rPr>
        <w:t>Tablica 4. Wymagania dla polimeroasfaltu PMB 25/55-60</w:t>
      </w:r>
    </w:p>
    <w:tbl>
      <w:tblPr>
        <w:tblW w:w="9638" w:type="dxa"/>
        <w:tblLayout w:type="fixed"/>
        <w:tblCellMar>
          <w:left w:w="10" w:type="dxa"/>
          <w:right w:w="10" w:type="dxa"/>
        </w:tblCellMar>
        <w:tblLook w:val="0000" w:firstRow="0" w:lastRow="0" w:firstColumn="0" w:lastColumn="0" w:noHBand="0" w:noVBand="0"/>
      </w:tblPr>
      <w:tblGrid>
        <w:gridCol w:w="1695"/>
        <w:gridCol w:w="1654"/>
        <w:gridCol w:w="1969"/>
        <w:gridCol w:w="1297"/>
        <w:gridCol w:w="1728"/>
        <w:gridCol w:w="1295"/>
      </w:tblGrid>
      <w:tr w:rsidR="00B77F00">
        <w:tblPrEx>
          <w:tblCellMar>
            <w:top w:w="0" w:type="dxa"/>
            <w:bottom w:w="0" w:type="dxa"/>
          </w:tblCellMar>
        </w:tblPrEx>
        <w:trPr>
          <w:cantSplit/>
          <w:tblHeader/>
        </w:trPr>
        <w:tc>
          <w:tcPr>
            <w:tcW w:w="1695" w:type="dxa"/>
            <w:vMerge w:val="restart"/>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1"/>
                <w:szCs w:val="20"/>
              </w:rPr>
              <w:t>W</w:t>
            </w:r>
            <w:r>
              <w:rPr>
                <w:rFonts w:eastAsia="Times New Roman" w:cs="Times New Roman"/>
                <w:spacing w:val="-1"/>
                <w:szCs w:val="20"/>
              </w:rPr>
              <w:t>ym</w:t>
            </w:r>
            <w:r>
              <w:rPr>
                <w:rFonts w:eastAsia="Times New Roman" w:cs="Times New Roman"/>
                <w:spacing w:val="3"/>
                <w:szCs w:val="20"/>
              </w:rPr>
              <w:t>a</w:t>
            </w:r>
            <w:r>
              <w:rPr>
                <w:rFonts w:eastAsia="Times New Roman" w:cs="Times New Roman"/>
                <w:spacing w:val="-1"/>
                <w:szCs w:val="20"/>
              </w:rPr>
              <w:t>g</w:t>
            </w:r>
            <w:r>
              <w:rPr>
                <w:rFonts w:eastAsia="Times New Roman" w:cs="Times New Roman"/>
                <w:szCs w:val="20"/>
              </w:rPr>
              <w:t>a</w:t>
            </w:r>
            <w:r>
              <w:rPr>
                <w:rFonts w:eastAsia="Times New Roman" w:cs="Times New Roman"/>
                <w:spacing w:val="1"/>
                <w:szCs w:val="20"/>
              </w:rPr>
              <w:t>n</w:t>
            </w:r>
            <w:r>
              <w:rPr>
                <w:rFonts w:eastAsia="Times New Roman" w:cs="Times New Roman"/>
                <w:szCs w:val="20"/>
              </w:rPr>
              <w:t xml:space="preserve">ie </w:t>
            </w:r>
            <w:r>
              <w:rPr>
                <w:rFonts w:eastAsia="Times New Roman" w:cs="Times New Roman"/>
                <w:spacing w:val="1"/>
                <w:szCs w:val="20"/>
              </w:rPr>
              <w:t>pod</w:t>
            </w:r>
            <w:r>
              <w:rPr>
                <w:rFonts w:eastAsia="Times New Roman" w:cs="Times New Roman"/>
                <w:spacing w:val="-1"/>
                <w:szCs w:val="20"/>
              </w:rPr>
              <w:t>s</w:t>
            </w:r>
            <w:r>
              <w:rPr>
                <w:rFonts w:eastAsia="Times New Roman" w:cs="Times New Roman"/>
                <w:szCs w:val="20"/>
              </w:rPr>
              <w:t>t</w:t>
            </w:r>
            <w:r>
              <w:rPr>
                <w:rFonts w:eastAsia="Times New Roman" w:cs="Times New Roman"/>
                <w:spacing w:val="2"/>
                <w:szCs w:val="20"/>
              </w:rPr>
              <w:t>a</w:t>
            </w:r>
            <w:r>
              <w:rPr>
                <w:rFonts w:eastAsia="Times New Roman" w:cs="Times New Roman"/>
                <w:spacing w:val="-5"/>
                <w:szCs w:val="20"/>
              </w:rPr>
              <w:t>w</w:t>
            </w:r>
            <w:r>
              <w:rPr>
                <w:rFonts w:eastAsia="Times New Roman" w:cs="Times New Roman"/>
                <w:spacing w:val="3"/>
                <w:szCs w:val="20"/>
              </w:rPr>
              <w:t>o</w:t>
            </w:r>
            <w:r>
              <w:rPr>
                <w:rFonts w:eastAsia="Times New Roman" w:cs="Times New Roman"/>
                <w:spacing w:val="-2"/>
                <w:szCs w:val="20"/>
              </w:rPr>
              <w:t>w</w:t>
            </w:r>
            <w:r>
              <w:rPr>
                <w:rFonts w:eastAsia="Times New Roman" w:cs="Times New Roman"/>
                <w:szCs w:val="20"/>
              </w:rPr>
              <w:t>e</w:t>
            </w:r>
          </w:p>
        </w:tc>
        <w:tc>
          <w:tcPr>
            <w:tcW w:w="1654" w:type="dxa"/>
            <w:vMerge w:val="restart"/>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1"/>
                <w:szCs w:val="20"/>
              </w:rPr>
              <w:t>W</w:t>
            </w:r>
            <w:r>
              <w:rPr>
                <w:rFonts w:eastAsia="Times New Roman" w:cs="Times New Roman"/>
                <w:szCs w:val="20"/>
              </w:rPr>
              <w:t>łaśc</w:t>
            </w:r>
            <w:r>
              <w:rPr>
                <w:rFonts w:eastAsia="Times New Roman" w:cs="Times New Roman"/>
                <w:spacing w:val="2"/>
                <w:szCs w:val="20"/>
              </w:rPr>
              <w:t>i</w:t>
            </w:r>
            <w:r>
              <w:rPr>
                <w:rFonts w:eastAsia="Times New Roman" w:cs="Times New Roman"/>
                <w:spacing w:val="-5"/>
                <w:szCs w:val="20"/>
              </w:rPr>
              <w:t>w</w:t>
            </w:r>
            <w:r>
              <w:rPr>
                <w:rFonts w:eastAsia="Times New Roman" w:cs="Times New Roman"/>
                <w:spacing w:val="3"/>
                <w:szCs w:val="20"/>
              </w:rPr>
              <w:t>o</w:t>
            </w:r>
            <w:r>
              <w:rPr>
                <w:rFonts w:eastAsia="Times New Roman" w:cs="Times New Roman"/>
                <w:spacing w:val="-1"/>
                <w:szCs w:val="20"/>
              </w:rPr>
              <w:t>ś</w:t>
            </w:r>
            <w:r>
              <w:rPr>
                <w:rFonts w:eastAsia="Times New Roman" w:cs="Times New Roman"/>
                <w:szCs w:val="20"/>
              </w:rPr>
              <w:t>ć</w:t>
            </w:r>
          </w:p>
        </w:tc>
        <w:tc>
          <w:tcPr>
            <w:tcW w:w="1969" w:type="dxa"/>
            <w:vMerge w:val="restart"/>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w w:val="99"/>
                <w:szCs w:val="20"/>
              </w:rPr>
              <w:t>M</w:t>
            </w:r>
            <w:r>
              <w:rPr>
                <w:rFonts w:eastAsia="Times New Roman" w:cs="Times New Roman"/>
                <w:spacing w:val="1"/>
                <w:w w:val="99"/>
                <w:szCs w:val="20"/>
              </w:rPr>
              <w:t>e</w:t>
            </w:r>
            <w:r>
              <w:rPr>
                <w:rFonts w:eastAsia="Times New Roman" w:cs="Times New Roman"/>
                <w:w w:val="99"/>
                <w:szCs w:val="20"/>
              </w:rPr>
              <w:t>t</w:t>
            </w:r>
            <w:r>
              <w:rPr>
                <w:rFonts w:eastAsia="Times New Roman" w:cs="Times New Roman"/>
                <w:spacing w:val="1"/>
                <w:w w:val="99"/>
                <w:szCs w:val="20"/>
              </w:rPr>
              <w:t>od</w:t>
            </w:r>
            <w:r>
              <w:rPr>
                <w:rFonts w:eastAsia="Times New Roman" w:cs="Times New Roman"/>
                <w:w w:val="99"/>
                <w:szCs w:val="20"/>
              </w:rPr>
              <w:t xml:space="preserve">a </w:t>
            </w:r>
            <w:r>
              <w:rPr>
                <w:rFonts w:eastAsia="Times New Roman" w:cs="Times New Roman"/>
                <w:spacing w:val="1"/>
                <w:w w:val="99"/>
                <w:szCs w:val="20"/>
              </w:rPr>
              <w:t>b</w:t>
            </w:r>
            <w:r>
              <w:rPr>
                <w:rFonts w:eastAsia="Times New Roman" w:cs="Times New Roman"/>
                <w:w w:val="99"/>
                <w:szCs w:val="20"/>
              </w:rPr>
              <w:t>a</w:t>
            </w:r>
            <w:r>
              <w:rPr>
                <w:rFonts w:eastAsia="Times New Roman" w:cs="Times New Roman"/>
                <w:spacing w:val="1"/>
                <w:w w:val="99"/>
                <w:szCs w:val="20"/>
              </w:rPr>
              <w:t>d</w:t>
            </w:r>
            <w:r>
              <w:rPr>
                <w:rFonts w:eastAsia="Times New Roman" w:cs="Times New Roman"/>
                <w:w w:val="99"/>
                <w:szCs w:val="20"/>
              </w:rPr>
              <w:t>a</w:t>
            </w:r>
            <w:r>
              <w:rPr>
                <w:rFonts w:eastAsia="Times New Roman" w:cs="Times New Roman"/>
                <w:spacing w:val="-1"/>
                <w:w w:val="99"/>
                <w:szCs w:val="20"/>
              </w:rPr>
              <w:t>n</w:t>
            </w:r>
            <w:r>
              <w:rPr>
                <w:rFonts w:eastAsia="Times New Roman" w:cs="Times New Roman"/>
                <w:w w:val="99"/>
                <w:szCs w:val="20"/>
              </w:rPr>
              <w:t>ia</w:t>
            </w:r>
          </w:p>
        </w:tc>
        <w:tc>
          <w:tcPr>
            <w:tcW w:w="1297" w:type="dxa"/>
            <w:vMerge w:val="restart"/>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2"/>
                <w:szCs w:val="20"/>
              </w:rPr>
              <w:t>J</w:t>
            </w:r>
            <w:r>
              <w:rPr>
                <w:rFonts w:eastAsia="Times New Roman" w:cs="Times New Roman"/>
                <w:szCs w:val="20"/>
              </w:rPr>
              <w:t>e</w:t>
            </w:r>
            <w:r>
              <w:rPr>
                <w:rFonts w:eastAsia="Times New Roman" w:cs="Times New Roman"/>
                <w:spacing w:val="1"/>
                <w:szCs w:val="20"/>
              </w:rPr>
              <w:t>d</w:t>
            </w:r>
            <w:r>
              <w:rPr>
                <w:rFonts w:eastAsia="Times New Roman" w:cs="Times New Roman"/>
                <w:spacing w:val="-1"/>
                <w:szCs w:val="20"/>
              </w:rPr>
              <w:t>n</w:t>
            </w:r>
            <w:r>
              <w:rPr>
                <w:rFonts w:eastAsia="Times New Roman" w:cs="Times New Roman"/>
                <w:spacing w:val="1"/>
                <w:szCs w:val="20"/>
              </w:rPr>
              <w:t>o</w:t>
            </w:r>
            <w:r>
              <w:rPr>
                <w:rFonts w:eastAsia="Times New Roman" w:cs="Times New Roman"/>
                <w:spacing w:val="-1"/>
                <w:szCs w:val="20"/>
              </w:rPr>
              <w:t>s</w:t>
            </w:r>
            <w:r>
              <w:rPr>
                <w:rFonts w:eastAsia="Times New Roman" w:cs="Times New Roman"/>
                <w:szCs w:val="20"/>
              </w:rPr>
              <w:t>t</w:t>
            </w:r>
            <w:r>
              <w:rPr>
                <w:rFonts w:eastAsia="Times New Roman" w:cs="Times New Roman"/>
                <w:spacing w:val="-1"/>
                <w:szCs w:val="20"/>
              </w:rPr>
              <w:t>k</w:t>
            </w:r>
            <w:r>
              <w:rPr>
                <w:rFonts w:eastAsia="Times New Roman" w:cs="Times New Roman"/>
                <w:szCs w:val="20"/>
              </w:rPr>
              <w:t>a</w:t>
            </w:r>
          </w:p>
        </w:tc>
        <w:tc>
          <w:tcPr>
            <w:tcW w:w="1728"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Gat</w:t>
            </w:r>
            <w:r>
              <w:rPr>
                <w:rFonts w:eastAsia="Times New Roman" w:cs="Times New Roman"/>
                <w:spacing w:val="1"/>
                <w:szCs w:val="20"/>
              </w:rPr>
              <w:t>u</w:t>
            </w:r>
            <w:r>
              <w:rPr>
                <w:rFonts w:eastAsia="Times New Roman" w:cs="Times New Roman"/>
                <w:spacing w:val="-1"/>
                <w:szCs w:val="20"/>
              </w:rPr>
              <w:t>n</w:t>
            </w:r>
            <w:r>
              <w:rPr>
                <w:rFonts w:eastAsia="Times New Roman" w:cs="Times New Roman"/>
                <w:szCs w:val="20"/>
              </w:rPr>
              <w:t>ek</w:t>
            </w:r>
            <w:r>
              <w:rPr>
                <w:rFonts w:eastAsia="Times New Roman" w:cs="Times New Roman"/>
                <w:spacing w:val="-8"/>
                <w:szCs w:val="20"/>
              </w:rPr>
              <w:t xml:space="preserve"> </w:t>
            </w:r>
            <w:r>
              <w:rPr>
                <w:rFonts w:eastAsia="Times New Roman" w:cs="Times New Roman"/>
                <w:spacing w:val="3"/>
                <w:szCs w:val="20"/>
              </w:rPr>
              <w:t>a</w:t>
            </w:r>
            <w:r>
              <w:rPr>
                <w:rFonts w:eastAsia="Times New Roman" w:cs="Times New Roman"/>
                <w:spacing w:val="-1"/>
                <w:szCs w:val="20"/>
              </w:rPr>
              <w:t>s</w:t>
            </w:r>
            <w:r>
              <w:rPr>
                <w:rFonts w:eastAsia="Times New Roman" w:cs="Times New Roman"/>
                <w:spacing w:val="-2"/>
                <w:szCs w:val="20"/>
              </w:rPr>
              <w:t>f</w:t>
            </w:r>
            <w:r>
              <w:rPr>
                <w:rFonts w:eastAsia="Times New Roman" w:cs="Times New Roman"/>
                <w:szCs w:val="20"/>
              </w:rPr>
              <w:t>a</w:t>
            </w:r>
            <w:r>
              <w:rPr>
                <w:rFonts w:eastAsia="Times New Roman" w:cs="Times New Roman"/>
                <w:spacing w:val="2"/>
                <w:szCs w:val="20"/>
              </w:rPr>
              <w:t>l</w:t>
            </w:r>
            <w:r>
              <w:rPr>
                <w:rFonts w:eastAsia="Times New Roman" w:cs="Times New Roman"/>
                <w:szCs w:val="20"/>
              </w:rPr>
              <w:t>tu</w:t>
            </w:r>
            <w:r>
              <w:rPr>
                <w:rFonts w:eastAsia="Times New Roman" w:cs="Times New Roman"/>
                <w:spacing w:val="-4"/>
                <w:szCs w:val="20"/>
              </w:rPr>
              <w:t xml:space="preserve"> </w:t>
            </w:r>
            <w:r>
              <w:rPr>
                <w:rFonts w:eastAsia="Times New Roman" w:cs="Times New Roman"/>
                <w:spacing w:val="-1"/>
                <w:w w:val="99"/>
                <w:szCs w:val="20"/>
              </w:rPr>
              <w:t>m</w:t>
            </w:r>
            <w:r>
              <w:rPr>
                <w:rFonts w:eastAsia="Times New Roman" w:cs="Times New Roman"/>
                <w:spacing w:val="1"/>
                <w:w w:val="99"/>
                <w:szCs w:val="20"/>
              </w:rPr>
              <w:t>o</w:t>
            </w:r>
            <w:r>
              <w:rPr>
                <w:rFonts w:eastAsia="Times New Roman" w:cs="Times New Roman"/>
                <w:spacing w:val="3"/>
                <w:w w:val="99"/>
                <w:szCs w:val="20"/>
              </w:rPr>
              <w:t>d</w:t>
            </w:r>
            <w:r>
              <w:rPr>
                <w:rFonts w:eastAsia="Times New Roman" w:cs="Times New Roman"/>
                <w:spacing w:val="-1"/>
                <w:w w:val="99"/>
                <w:szCs w:val="20"/>
              </w:rPr>
              <w:t>y</w:t>
            </w:r>
            <w:r>
              <w:rPr>
                <w:rFonts w:eastAsia="Times New Roman" w:cs="Times New Roman"/>
                <w:spacing w:val="-2"/>
                <w:w w:val="99"/>
                <w:szCs w:val="20"/>
              </w:rPr>
              <w:t>f</w:t>
            </w:r>
            <w:r>
              <w:rPr>
                <w:rFonts w:eastAsia="Times New Roman" w:cs="Times New Roman"/>
                <w:spacing w:val="2"/>
                <w:w w:val="99"/>
                <w:szCs w:val="20"/>
              </w:rPr>
              <w:t>i</w:t>
            </w:r>
            <w:r>
              <w:rPr>
                <w:rFonts w:eastAsia="Times New Roman" w:cs="Times New Roman"/>
                <w:spacing w:val="-1"/>
                <w:w w:val="99"/>
                <w:szCs w:val="20"/>
              </w:rPr>
              <w:t>k</w:t>
            </w:r>
            <w:r>
              <w:rPr>
                <w:rFonts w:eastAsia="Times New Roman" w:cs="Times New Roman"/>
                <w:spacing w:val="3"/>
                <w:w w:val="99"/>
                <w:szCs w:val="20"/>
              </w:rPr>
              <w:t>o</w:t>
            </w:r>
            <w:r>
              <w:rPr>
                <w:rFonts w:eastAsia="Times New Roman" w:cs="Times New Roman"/>
                <w:spacing w:val="-5"/>
                <w:w w:val="99"/>
                <w:szCs w:val="20"/>
              </w:rPr>
              <w:t>w</w:t>
            </w:r>
            <w:r>
              <w:rPr>
                <w:rFonts w:eastAsia="Times New Roman" w:cs="Times New Roman"/>
                <w:spacing w:val="3"/>
                <w:w w:val="99"/>
                <w:szCs w:val="20"/>
              </w:rPr>
              <w:t>a</w:t>
            </w:r>
            <w:r>
              <w:rPr>
                <w:rFonts w:eastAsia="Times New Roman" w:cs="Times New Roman"/>
                <w:spacing w:val="1"/>
                <w:w w:val="99"/>
                <w:szCs w:val="20"/>
              </w:rPr>
              <w:t>n</w:t>
            </w:r>
            <w:r>
              <w:rPr>
                <w:rFonts w:eastAsia="Times New Roman" w:cs="Times New Roman"/>
                <w:w w:val="99"/>
                <w:szCs w:val="20"/>
              </w:rPr>
              <w:t>e</w:t>
            </w:r>
            <w:r>
              <w:rPr>
                <w:rFonts w:eastAsia="Times New Roman" w:cs="Times New Roman"/>
                <w:spacing w:val="-1"/>
                <w:w w:val="99"/>
                <w:szCs w:val="20"/>
              </w:rPr>
              <w:t>g</w:t>
            </w:r>
            <w:r>
              <w:rPr>
                <w:rFonts w:eastAsia="Times New Roman" w:cs="Times New Roman"/>
                <w:w w:val="99"/>
                <w:szCs w:val="20"/>
              </w:rPr>
              <w:t xml:space="preserve">o </w:t>
            </w:r>
            <w:r>
              <w:rPr>
                <w:rFonts w:eastAsia="Times New Roman" w:cs="Times New Roman"/>
                <w:spacing w:val="1"/>
                <w:szCs w:val="20"/>
              </w:rPr>
              <w:t>po</w:t>
            </w:r>
            <w:r>
              <w:rPr>
                <w:rFonts w:eastAsia="Times New Roman" w:cs="Times New Roman"/>
                <w:szCs w:val="20"/>
              </w:rPr>
              <w:t>li</w:t>
            </w:r>
            <w:r>
              <w:rPr>
                <w:rFonts w:eastAsia="Times New Roman" w:cs="Times New Roman"/>
                <w:spacing w:val="-4"/>
                <w:szCs w:val="20"/>
              </w:rPr>
              <w:t>m</w:t>
            </w:r>
            <w:r>
              <w:rPr>
                <w:rFonts w:eastAsia="Times New Roman" w:cs="Times New Roman"/>
                <w:szCs w:val="20"/>
              </w:rPr>
              <w:t>e</w:t>
            </w:r>
            <w:r>
              <w:rPr>
                <w:rFonts w:eastAsia="Times New Roman" w:cs="Times New Roman"/>
                <w:spacing w:val="1"/>
                <w:szCs w:val="20"/>
              </w:rPr>
              <w:t>r</w:t>
            </w:r>
            <w:r>
              <w:rPr>
                <w:rFonts w:eastAsia="Times New Roman" w:cs="Times New Roman"/>
                <w:spacing w:val="3"/>
                <w:szCs w:val="20"/>
              </w:rPr>
              <w:t>a</w:t>
            </w:r>
            <w:r>
              <w:rPr>
                <w:rFonts w:eastAsia="Times New Roman" w:cs="Times New Roman"/>
                <w:spacing w:val="-1"/>
                <w:szCs w:val="20"/>
              </w:rPr>
              <w:t>m</w:t>
            </w:r>
            <w:r>
              <w:rPr>
                <w:rFonts w:eastAsia="Times New Roman" w:cs="Times New Roman"/>
                <w:szCs w:val="20"/>
              </w:rPr>
              <w:t>i</w:t>
            </w:r>
            <w:r>
              <w:rPr>
                <w:rFonts w:eastAsia="Times New Roman" w:cs="Times New Roman"/>
                <w:spacing w:val="-9"/>
                <w:szCs w:val="20"/>
              </w:rPr>
              <w:t xml:space="preserve"> </w:t>
            </w:r>
            <w:r>
              <w:rPr>
                <w:rFonts w:eastAsia="Times New Roman" w:cs="Times New Roman"/>
                <w:spacing w:val="1"/>
                <w:szCs w:val="20"/>
              </w:rPr>
              <w:t>(</w:t>
            </w:r>
            <w:r>
              <w:rPr>
                <w:rFonts w:eastAsia="Times New Roman" w:cs="Times New Roman"/>
                <w:spacing w:val="2"/>
                <w:szCs w:val="20"/>
              </w:rPr>
              <w:t>P</w:t>
            </w:r>
            <w:r>
              <w:rPr>
                <w:rFonts w:eastAsia="Times New Roman" w:cs="Times New Roman"/>
                <w:szCs w:val="20"/>
              </w:rPr>
              <w:t>M</w:t>
            </w:r>
            <w:r>
              <w:rPr>
                <w:rFonts w:eastAsia="Times New Roman" w:cs="Times New Roman"/>
                <w:spacing w:val="2"/>
                <w:szCs w:val="20"/>
              </w:rPr>
              <w:t>B</w:t>
            </w:r>
            <w:r>
              <w:rPr>
                <w:rFonts w:eastAsia="Times New Roman" w:cs="Times New Roman"/>
                <w:szCs w:val="20"/>
              </w:rPr>
              <w:t>)</w:t>
            </w:r>
            <w:r>
              <w:rPr>
                <w:rFonts w:eastAsia="Times New Roman" w:cs="Times New Roman"/>
                <w:spacing w:val="-5"/>
                <w:szCs w:val="20"/>
              </w:rPr>
              <w:t xml:space="preserve"> </w:t>
            </w:r>
            <w:r>
              <w:rPr>
                <w:rFonts w:eastAsia="Times New Roman" w:cs="Times New Roman"/>
                <w:spacing w:val="1"/>
                <w:szCs w:val="20"/>
              </w:rPr>
              <w:t>25</w:t>
            </w:r>
            <w:r>
              <w:rPr>
                <w:rFonts w:eastAsia="Times New Roman" w:cs="Times New Roman"/>
                <w:szCs w:val="20"/>
              </w:rPr>
              <w:t>/</w:t>
            </w:r>
            <w:r>
              <w:rPr>
                <w:rFonts w:eastAsia="Times New Roman" w:cs="Times New Roman"/>
                <w:spacing w:val="-1"/>
                <w:szCs w:val="20"/>
              </w:rPr>
              <w:t>5</w:t>
            </w:r>
            <w:r>
              <w:rPr>
                <w:rFonts w:eastAsia="Times New Roman" w:cs="Times New Roman"/>
                <w:szCs w:val="20"/>
              </w:rPr>
              <w:t>5 –</w:t>
            </w:r>
            <w:r>
              <w:rPr>
                <w:rFonts w:eastAsia="Times New Roman" w:cs="Times New Roman"/>
                <w:spacing w:val="-2"/>
                <w:szCs w:val="20"/>
              </w:rPr>
              <w:t xml:space="preserve"> </w:t>
            </w:r>
            <w:r>
              <w:rPr>
                <w:rFonts w:eastAsia="Times New Roman" w:cs="Times New Roman"/>
                <w:spacing w:val="1"/>
                <w:w w:val="99"/>
                <w:szCs w:val="20"/>
              </w:rPr>
              <w:t>60</w:t>
            </w:r>
          </w:p>
        </w:tc>
        <w:tc>
          <w:tcPr>
            <w:tcW w:w="129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1"/>
                <w:szCs w:val="20"/>
              </w:rPr>
              <w:t>W</w:t>
            </w:r>
            <w:r>
              <w:rPr>
                <w:rFonts w:eastAsia="Times New Roman" w:cs="Times New Roman"/>
                <w:spacing w:val="-1"/>
                <w:szCs w:val="20"/>
              </w:rPr>
              <w:t>ym</w:t>
            </w:r>
            <w:r>
              <w:rPr>
                <w:rFonts w:eastAsia="Times New Roman" w:cs="Times New Roman"/>
                <w:spacing w:val="3"/>
                <w:szCs w:val="20"/>
              </w:rPr>
              <w:t>a</w:t>
            </w:r>
            <w:r>
              <w:rPr>
                <w:rFonts w:eastAsia="Times New Roman" w:cs="Times New Roman"/>
                <w:spacing w:val="-1"/>
                <w:szCs w:val="20"/>
              </w:rPr>
              <w:t>g</w:t>
            </w:r>
            <w:r>
              <w:rPr>
                <w:rFonts w:eastAsia="Times New Roman" w:cs="Times New Roman"/>
                <w:szCs w:val="20"/>
              </w:rPr>
              <w:t>a</w:t>
            </w:r>
            <w:r>
              <w:rPr>
                <w:rFonts w:eastAsia="Times New Roman" w:cs="Times New Roman"/>
                <w:spacing w:val="1"/>
                <w:szCs w:val="20"/>
              </w:rPr>
              <w:t>n</w:t>
            </w:r>
            <w:r>
              <w:rPr>
                <w:rFonts w:eastAsia="Times New Roman" w:cs="Times New Roman"/>
                <w:szCs w:val="20"/>
              </w:rPr>
              <w:t xml:space="preserve">ie </w:t>
            </w:r>
            <w:r>
              <w:rPr>
                <w:rFonts w:eastAsia="Times New Roman" w:cs="Times New Roman"/>
                <w:spacing w:val="1"/>
                <w:szCs w:val="20"/>
              </w:rPr>
              <w:t>pod</w:t>
            </w:r>
            <w:r>
              <w:rPr>
                <w:rFonts w:eastAsia="Times New Roman" w:cs="Times New Roman"/>
                <w:spacing w:val="-1"/>
                <w:szCs w:val="20"/>
              </w:rPr>
              <w:t>s</w:t>
            </w:r>
            <w:r>
              <w:rPr>
                <w:rFonts w:eastAsia="Times New Roman" w:cs="Times New Roman"/>
                <w:szCs w:val="20"/>
              </w:rPr>
              <w:t>t</w:t>
            </w:r>
            <w:r>
              <w:rPr>
                <w:rFonts w:eastAsia="Times New Roman" w:cs="Times New Roman"/>
                <w:spacing w:val="2"/>
                <w:szCs w:val="20"/>
              </w:rPr>
              <w:t>a</w:t>
            </w:r>
            <w:r>
              <w:rPr>
                <w:rFonts w:eastAsia="Times New Roman" w:cs="Times New Roman"/>
                <w:spacing w:val="-5"/>
                <w:szCs w:val="20"/>
              </w:rPr>
              <w:t>w</w:t>
            </w:r>
            <w:r>
              <w:rPr>
                <w:rFonts w:eastAsia="Times New Roman" w:cs="Times New Roman"/>
                <w:spacing w:val="3"/>
                <w:szCs w:val="20"/>
              </w:rPr>
              <w:t>o</w:t>
            </w:r>
            <w:r>
              <w:rPr>
                <w:rFonts w:eastAsia="Times New Roman" w:cs="Times New Roman"/>
                <w:spacing w:val="-2"/>
                <w:szCs w:val="20"/>
              </w:rPr>
              <w:t>w</w:t>
            </w:r>
            <w:r>
              <w:rPr>
                <w:rFonts w:eastAsia="Times New Roman" w:cs="Times New Roman"/>
                <w:szCs w:val="20"/>
              </w:rPr>
              <w:t>e</w:t>
            </w:r>
          </w:p>
        </w:tc>
      </w:tr>
      <w:tr w:rsidR="00B77F00">
        <w:tblPrEx>
          <w:tblCellMar>
            <w:top w:w="0" w:type="dxa"/>
            <w:bottom w:w="0" w:type="dxa"/>
          </w:tblCellMar>
        </w:tblPrEx>
        <w:trPr>
          <w:cantSplit/>
          <w:tblHeader/>
        </w:trPr>
        <w:tc>
          <w:tcPr>
            <w:tcW w:w="1695" w:type="dxa"/>
            <w:vMerge/>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000000" w:rsidRDefault="00865FA3"/>
        </w:tc>
        <w:tc>
          <w:tcPr>
            <w:tcW w:w="1654" w:type="dxa"/>
            <w:vMerge/>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000000" w:rsidRDefault="00865FA3"/>
        </w:tc>
        <w:tc>
          <w:tcPr>
            <w:tcW w:w="1969" w:type="dxa"/>
            <w:vMerge/>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000000" w:rsidRDefault="00865FA3"/>
        </w:tc>
        <w:tc>
          <w:tcPr>
            <w:tcW w:w="1297" w:type="dxa"/>
            <w:vMerge/>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000000" w:rsidRDefault="00865FA3"/>
        </w:tc>
        <w:tc>
          <w:tcPr>
            <w:tcW w:w="1728" w:type="dxa"/>
            <w:tcBorders>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w</w:t>
            </w:r>
            <w:r>
              <w:rPr>
                <w:rFonts w:eastAsia="Times New Roman" w:cs="Times New Roman"/>
                <w:spacing w:val="1"/>
                <w:szCs w:val="20"/>
              </w:rPr>
              <w:t>y</w:t>
            </w:r>
            <w:r>
              <w:rPr>
                <w:rFonts w:eastAsia="Times New Roman" w:cs="Times New Roman"/>
                <w:spacing w:val="-1"/>
                <w:szCs w:val="20"/>
              </w:rPr>
              <w:t>m</w:t>
            </w:r>
            <w:r>
              <w:rPr>
                <w:rFonts w:eastAsia="Times New Roman" w:cs="Times New Roman"/>
                <w:szCs w:val="20"/>
              </w:rPr>
              <w:t>a</w:t>
            </w:r>
            <w:r>
              <w:rPr>
                <w:rFonts w:eastAsia="Times New Roman" w:cs="Times New Roman"/>
                <w:spacing w:val="-1"/>
                <w:szCs w:val="20"/>
              </w:rPr>
              <w:t>g</w:t>
            </w:r>
            <w:r>
              <w:rPr>
                <w:rFonts w:eastAsia="Times New Roman" w:cs="Times New Roman"/>
                <w:spacing w:val="3"/>
                <w:szCs w:val="20"/>
              </w:rPr>
              <w:t>a</w:t>
            </w:r>
            <w:r>
              <w:rPr>
                <w:rFonts w:eastAsia="Times New Roman" w:cs="Times New Roman"/>
                <w:spacing w:val="-1"/>
                <w:szCs w:val="20"/>
              </w:rPr>
              <w:t>n</w:t>
            </w:r>
            <w:r>
              <w:rPr>
                <w:rFonts w:eastAsia="Times New Roman" w:cs="Times New Roman"/>
                <w:szCs w:val="20"/>
              </w:rPr>
              <w:t>ie</w:t>
            </w:r>
          </w:p>
        </w:tc>
        <w:tc>
          <w:tcPr>
            <w:tcW w:w="1295" w:type="dxa"/>
            <w:tcBorders>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1"/>
                <w:w w:val="99"/>
                <w:szCs w:val="20"/>
              </w:rPr>
              <w:t>k</w:t>
            </w:r>
            <w:r>
              <w:rPr>
                <w:rFonts w:eastAsia="Times New Roman" w:cs="Times New Roman"/>
                <w:w w:val="99"/>
                <w:szCs w:val="20"/>
              </w:rPr>
              <w:t>lasa</w:t>
            </w:r>
          </w:p>
        </w:tc>
      </w:tr>
      <w:tr w:rsidR="00B77F00">
        <w:tblPrEx>
          <w:tblCellMar>
            <w:top w:w="0" w:type="dxa"/>
            <w:bottom w:w="0" w:type="dxa"/>
          </w:tblCellMar>
        </w:tblPrEx>
        <w:trPr>
          <w:cantSplit/>
        </w:trPr>
        <w:tc>
          <w:tcPr>
            <w:tcW w:w="1695" w:type="dxa"/>
            <w:tcBorders>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K</w:t>
            </w:r>
            <w:r>
              <w:rPr>
                <w:rFonts w:eastAsia="Times New Roman" w:cs="Times New Roman"/>
                <w:spacing w:val="1"/>
                <w:szCs w:val="20"/>
              </w:rPr>
              <w:t>o</w:t>
            </w:r>
            <w:r>
              <w:rPr>
                <w:rFonts w:eastAsia="Times New Roman" w:cs="Times New Roman"/>
                <w:spacing w:val="-1"/>
                <w:szCs w:val="20"/>
              </w:rPr>
              <w:t>n</w:t>
            </w:r>
            <w:r>
              <w:rPr>
                <w:rFonts w:eastAsia="Times New Roman" w:cs="Times New Roman"/>
                <w:spacing w:val="2"/>
                <w:szCs w:val="20"/>
              </w:rPr>
              <w:t>s</w:t>
            </w:r>
            <w:r>
              <w:rPr>
                <w:rFonts w:eastAsia="Times New Roman" w:cs="Times New Roman"/>
                <w:spacing w:val="-1"/>
                <w:szCs w:val="20"/>
              </w:rPr>
              <w:t>ys</w:t>
            </w:r>
            <w:r>
              <w:rPr>
                <w:rFonts w:eastAsia="Times New Roman" w:cs="Times New Roman"/>
                <w:szCs w:val="20"/>
              </w:rPr>
              <w:t>t</w:t>
            </w:r>
            <w:r>
              <w:rPr>
                <w:rFonts w:eastAsia="Times New Roman" w:cs="Times New Roman"/>
                <w:spacing w:val="2"/>
                <w:szCs w:val="20"/>
              </w:rPr>
              <w:t>e</w:t>
            </w:r>
            <w:r>
              <w:rPr>
                <w:rFonts w:eastAsia="Times New Roman" w:cs="Times New Roman"/>
                <w:spacing w:val="-1"/>
                <w:szCs w:val="20"/>
              </w:rPr>
              <w:t>n</w:t>
            </w:r>
            <w:r>
              <w:rPr>
                <w:rFonts w:eastAsia="Times New Roman" w:cs="Times New Roman"/>
                <w:szCs w:val="20"/>
              </w:rPr>
              <w:t>c</w:t>
            </w:r>
            <w:r>
              <w:rPr>
                <w:rFonts w:eastAsia="Times New Roman" w:cs="Times New Roman"/>
                <w:spacing w:val="2"/>
                <w:szCs w:val="20"/>
              </w:rPr>
              <w:t>j</w:t>
            </w:r>
            <w:r>
              <w:rPr>
                <w:rFonts w:eastAsia="Times New Roman" w:cs="Times New Roman"/>
                <w:szCs w:val="20"/>
              </w:rPr>
              <w:t>a</w:t>
            </w:r>
            <w:r>
              <w:rPr>
                <w:rFonts w:eastAsia="Times New Roman" w:cs="Times New Roman"/>
                <w:spacing w:val="-8"/>
                <w:szCs w:val="20"/>
              </w:rPr>
              <w:t xml:space="preserve"> </w:t>
            </w:r>
            <w:r>
              <w:rPr>
                <w:rFonts w:eastAsia="Times New Roman" w:cs="Times New Roman"/>
                <w:szCs w:val="20"/>
              </w:rPr>
              <w:t>w </w:t>
            </w:r>
            <w:r>
              <w:rPr>
                <w:rFonts w:eastAsia="Times New Roman" w:cs="Times New Roman"/>
                <w:spacing w:val="1"/>
                <w:szCs w:val="20"/>
              </w:rPr>
              <w:t>po</w:t>
            </w:r>
            <w:r>
              <w:rPr>
                <w:rFonts w:eastAsia="Times New Roman" w:cs="Times New Roman"/>
                <w:spacing w:val="-1"/>
                <w:szCs w:val="20"/>
              </w:rPr>
              <w:t>ś</w:t>
            </w:r>
            <w:r>
              <w:rPr>
                <w:rFonts w:eastAsia="Times New Roman" w:cs="Times New Roman"/>
                <w:spacing w:val="1"/>
                <w:szCs w:val="20"/>
              </w:rPr>
              <w:t>r</w:t>
            </w:r>
            <w:r>
              <w:rPr>
                <w:rFonts w:eastAsia="Times New Roman" w:cs="Times New Roman"/>
                <w:szCs w:val="20"/>
              </w:rPr>
              <w:t>e</w:t>
            </w:r>
            <w:r>
              <w:rPr>
                <w:rFonts w:eastAsia="Times New Roman" w:cs="Times New Roman"/>
                <w:spacing w:val="1"/>
                <w:szCs w:val="20"/>
              </w:rPr>
              <w:t>d</w:t>
            </w:r>
            <w:r>
              <w:rPr>
                <w:rFonts w:eastAsia="Times New Roman" w:cs="Times New Roman"/>
                <w:spacing w:val="-1"/>
                <w:szCs w:val="20"/>
              </w:rPr>
              <w:t>n</w:t>
            </w:r>
            <w:r>
              <w:rPr>
                <w:rFonts w:eastAsia="Times New Roman" w:cs="Times New Roman"/>
                <w:szCs w:val="20"/>
              </w:rPr>
              <w:t>ich</w:t>
            </w:r>
          </w:p>
          <w:p w:rsidR="00B77F00" w:rsidRDefault="00865FA3">
            <w:pPr>
              <w:pStyle w:val="Standard"/>
              <w:rPr>
                <w:szCs w:val="20"/>
              </w:rPr>
            </w:pPr>
            <w:r>
              <w:rPr>
                <w:rFonts w:eastAsia="Times New Roman" w:cs="Times New Roman"/>
                <w:szCs w:val="20"/>
              </w:rPr>
              <w:t>t</w:t>
            </w:r>
            <w:r>
              <w:rPr>
                <w:rFonts w:eastAsia="Times New Roman" w:cs="Times New Roman"/>
                <w:spacing w:val="2"/>
                <w:szCs w:val="20"/>
              </w:rPr>
              <w:t>e</w:t>
            </w:r>
            <w:r>
              <w:rPr>
                <w:rFonts w:eastAsia="Times New Roman" w:cs="Times New Roman"/>
                <w:spacing w:val="-4"/>
                <w:szCs w:val="20"/>
              </w:rPr>
              <w:t>m</w:t>
            </w:r>
            <w:r>
              <w:rPr>
                <w:rFonts w:eastAsia="Times New Roman" w:cs="Times New Roman"/>
                <w:spacing w:val="1"/>
                <w:szCs w:val="20"/>
              </w:rPr>
              <w:t>p</w:t>
            </w:r>
            <w:r>
              <w:rPr>
                <w:rFonts w:eastAsia="Times New Roman" w:cs="Times New Roman"/>
                <w:szCs w:val="20"/>
              </w:rPr>
              <w:t>e</w:t>
            </w:r>
            <w:r>
              <w:rPr>
                <w:rFonts w:eastAsia="Times New Roman" w:cs="Times New Roman"/>
                <w:spacing w:val="1"/>
                <w:szCs w:val="20"/>
              </w:rPr>
              <w:t>r</w:t>
            </w:r>
            <w:r>
              <w:rPr>
                <w:rFonts w:eastAsia="Times New Roman" w:cs="Times New Roman"/>
                <w:szCs w:val="20"/>
              </w:rPr>
              <w:t>at</w:t>
            </w:r>
            <w:r>
              <w:rPr>
                <w:rFonts w:eastAsia="Times New Roman" w:cs="Times New Roman"/>
                <w:spacing w:val="-1"/>
                <w:szCs w:val="20"/>
              </w:rPr>
              <w:t>u</w:t>
            </w:r>
            <w:r>
              <w:rPr>
                <w:rFonts w:eastAsia="Times New Roman" w:cs="Times New Roman"/>
                <w:spacing w:val="1"/>
                <w:szCs w:val="20"/>
              </w:rPr>
              <w:t>r</w:t>
            </w:r>
            <w:r>
              <w:rPr>
                <w:rFonts w:eastAsia="Times New Roman" w:cs="Times New Roman"/>
                <w:szCs w:val="20"/>
              </w:rPr>
              <w:t>a</w:t>
            </w:r>
            <w:r>
              <w:rPr>
                <w:rFonts w:eastAsia="Times New Roman" w:cs="Times New Roman"/>
                <w:spacing w:val="3"/>
                <w:szCs w:val="20"/>
              </w:rPr>
              <w:t>c</w:t>
            </w:r>
            <w:r>
              <w:rPr>
                <w:rFonts w:eastAsia="Times New Roman" w:cs="Times New Roman"/>
                <w:szCs w:val="20"/>
              </w:rPr>
              <w:t>h e</w:t>
            </w:r>
            <w:r>
              <w:rPr>
                <w:rFonts w:eastAsia="Times New Roman" w:cs="Times New Roman"/>
                <w:spacing w:val="-1"/>
                <w:szCs w:val="20"/>
              </w:rPr>
              <w:t>ks</w:t>
            </w:r>
            <w:r>
              <w:rPr>
                <w:rFonts w:eastAsia="Times New Roman" w:cs="Times New Roman"/>
                <w:spacing w:val="1"/>
                <w:szCs w:val="20"/>
              </w:rPr>
              <w:t>p</w:t>
            </w:r>
            <w:r>
              <w:rPr>
                <w:rFonts w:eastAsia="Times New Roman" w:cs="Times New Roman"/>
                <w:szCs w:val="20"/>
              </w:rPr>
              <w:t>l</w:t>
            </w:r>
            <w:r>
              <w:rPr>
                <w:rFonts w:eastAsia="Times New Roman" w:cs="Times New Roman"/>
                <w:spacing w:val="1"/>
                <w:szCs w:val="20"/>
              </w:rPr>
              <w:t>o</w:t>
            </w:r>
            <w:r>
              <w:rPr>
                <w:rFonts w:eastAsia="Times New Roman" w:cs="Times New Roman"/>
                <w:szCs w:val="20"/>
              </w:rPr>
              <w:t>ata</w:t>
            </w:r>
            <w:r>
              <w:rPr>
                <w:rFonts w:eastAsia="Times New Roman" w:cs="Times New Roman"/>
                <w:spacing w:val="3"/>
                <w:szCs w:val="20"/>
              </w:rPr>
              <w:t>c</w:t>
            </w:r>
            <w:r>
              <w:rPr>
                <w:rFonts w:eastAsia="Times New Roman" w:cs="Times New Roman"/>
                <w:spacing w:val="-4"/>
                <w:szCs w:val="20"/>
              </w:rPr>
              <w:t>y</w:t>
            </w:r>
            <w:r>
              <w:rPr>
                <w:rFonts w:eastAsia="Times New Roman" w:cs="Times New Roman"/>
                <w:spacing w:val="2"/>
                <w:szCs w:val="20"/>
              </w:rPr>
              <w:t>j</w:t>
            </w:r>
            <w:r>
              <w:rPr>
                <w:rFonts w:eastAsia="Times New Roman" w:cs="Times New Roman"/>
                <w:spacing w:val="1"/>
                <w:szCs w:val="20"/>
              </w:rPr>
              <w:t>n</w:t>
            </w:r>
            <w:r>
              <w:rPr>
                <w:rFonts w:eastAsia="Times New Roman" w:cs="Times New Roman"/>
                <w:spacing w:val="-1"/>
                <w:szCs w:val="20"/>
              </w:rPr>
              <w:t>y</w:t>
            </w:r>
            <w:r>
              <w:rPr>
                <w:rFonts w:eastAsia="Times New Roman" w:cs="Times New Roman"/>
                <w:spacing w:val="3"/>
                <w:szCs w:val="20"/>
              </w:rPr>
              <w:t>c</w:t>
            </w:r>
            <w:r>
              <w:rPr>
                <w:rFonts w:eastAsia="Times New Roman" w:cs="Times New Roman"/>
                <w:szCs w:val="20"/>
              </w:rPr>
              <w:t>h</w:t>
            </w:r>
          </w:p>
        </w:tc>
        <w:tc>
          <w:tcPr>
            <w:tcW w:w="1654" w:type="dxa"/>
            <w:tcBorders>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2"/>
                <w:szCs w:val="20"/>
              </w:rPr>
              <w:t>P</w:t>
            </w:r>
            <w:r>
              <w:rPr>
                <w:rFonts w:eastAsia="Times New Roman" w:cs="Times New Roman"/>
                <w:szCs w:val="20"/>
              </w:rPr>
              <w:t>e</w:t>
            </w:r>
            <w:r>
              <w:rPr>
                <w:rFonts w:eastAsia="Times New Roman" w:cs="Times New Roman"/>
                <w:spacing w:val="-1"/>
                <w:szCs w:val="20"/>
              </w:rPr>
              <w:t>n</w:t>
            </w:r>
            <w:r>
              <w:rPr>
                <w:rFonts w:eastAsia="Times New Roman" w:cs="Times New Roman"/>
                <w:szCs w:val="20"/>
              </w:rPr>
              <w:t>et</w:t>
            </w:r>
            <w:r>
              <w:rPr>
                <w:rFonts w:eastAsia="Times New Roman" w:cs="Times New Roman"/>
                <w:spacing w:val="1"/>
                <w:szCs w:val="20"/>
              </w:rPr>
              <w:t>r</w:t>
            </w:r>
            <w:r>
              <w:rPr>
                <w:rFonts w:eastAsia="Times New Roman" w:cs="Times New Roman"/>
                <w:szCs w:val="20"/>
              </w:rPr>
              <w:t>a</w:t>
            </w:r>
            <w:r>
              <w:rPr>
                <w:rFonts w:eastAsia="Times New Roman" w:cs="Times New Roman"/>
                <w:spacing w:val="1"/>
                <w:szCs w:val="20"/>
              </w:rPr>
              <w:t>c</w:t>
            </w:r>
            <w:r>
              <w:rPr>
                <w:rFonts w:eastAsia="Times New Roman" w:cs="Times New Roman"/>
                <w:spacing w:val="2"/>
                <w:szCs w:val="20"/>
              </w:rPr>
              <w:t>j</w:t>
            </w:r>
            <w:r>
              <w:rPr>
                <w:rFonts w:eastAsia="Times New Roman" w:cs="Times New Roman"/>
                <w:szCs w:val="20"/>
              </w:rPr>
              <w:t>a</w:t>
            </w:r>
          </w:p>
          <w:p w:rsidR="00B77F00" w:rsidRDefault="00865FA3">
            <w:pPr>
              <w:pStyle w:val="Standard"/>
              <w:rPr>
                <w:szCs w:val="20"/>
              </w:rPr>
            </w:pPr>
            <w:r>
              <w:rPr>
                <w:rFonts w:eastAsia="Times New Roman" w:cs="Times New Roman"/>
                <w:szCs w:val="20"/>
              </w:rPr>
              <w:t>w</w:t>
            </w:r>
            <w:r>
              <w:rPr>
                <w:rFonts w:eastAsia="Times New Roman" w:cs="Times New Roman"/>
                <w:spacing w:val="-3"/>
                <w:szCs w:val="20"/>
              </w:rPr>
              <w:t xml:space="preserve"> </w:t>
            </w:r>
            <w:r>
              <w:rPr>
                <w:rFonts w:eastAsia="Times New Roman" w:cs="Times New Roman"/>
                <w:spacing w:val="1"/>
                <w:szCs w:val="20"/>
              </w:rPr>
              <w:t>25</w:t>
            </w:r>
            <w:r>
              <w:rPr>
                <w:rFonts w:eastAsia="Times New Roman" w:cs="Times New Roman"/>
                <w:szCs w:val="20"/>
              </w:rPr>
              <w:t>°C</w:t>
            </w:r>
          </w:p>
        </w:tc>
        <w:tc>
          <w:tcPr>
            <w:tcW w:w="1969" w:type="dxa"/>
            <w:tcBorders>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2"/>
                <w:szCs w:val="20"/>
              </w:rPr>
              <w:t>P</w:t>
            </w:r>
            <w:r>
              <w:rPr>
                <w:rFonts w:eastAsia="Times New Roman" w:cs="Times New Roman"/>
                <w:szCs w:val="20"/>
              </w:rPr>
              <w:t>N</w:t>
            </w:r>
            <w:r>
              <w:rPr>
                <w:rFonts w:eastAsia="Times New Roman" w:cs="Times New Roman"/>
                <w:spacing w:val="-2"/>
                <w:szCs w:val="20"/>
              </w:rPr>
              <w:t>-</w:t>
            </w:r>
            <w:r>
              <w:rPr>
                <w:rFonts w:eastAsia="Times New Roman" w:cs="Times New Roman"/>
                <w:szCs w:val="20"/>
              </w:rPr>
              <w:t>EN</w:t>
            </w:r>
            <w:r>
              <w:rPr>
                <w:rFonts w:eastAsia="Times New Roman" w:cs="Times New Roman"/>
                <w:spacing w:val="-6"/>
                <w:szCs w:val="20"/>
              </w:rPr>
              <w:t xml:space="preserve"> </w:t>
            </w:r>
            <w:r>
              <w:rPr>
                <w:rFonts w:eastAsia="Times New Roman" w:cs="Times New Roman"/>
                <w:spacing w:val="1"/>
                <w:szCs w:val="20"/>
              </w:rPr>
              <w:t>142</w:t>
            </w:r>
            <w:r>
              <w:rPr>
                <w:rFonts w:eastAsia="Times New Roman" w:cs="Times New Roman"/>
                <w:szCs w:val="20"/>
              </w:rPr>
              <w:t>6</w:t>
            </w:r>
          </w:p>
        </w:tc>
        <w:tc>
          <w:tcPr>
            <w:tcW w:w="1297" w:type="dxa"/>
            <w:tcBorders>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1"/>
                <w:szCs w:val="20"/>
              </w:rPr>
              <w:t>0</w:t>
            </w:r>
            <w:r>
              <w:rPr>
                <w:rFonts w:eastAsia="Times New Roman" w:cs="Times New Roman"/>
                <w:szCs w:val="20"/>
              </w:rPr>
              <w:t>,1</w:t>
            </w:r>
            <w:r>
              <w:rPr>
                <w:rFonts w:eastAsia="Times New Roman" w:cs="Times New Roman"/>
                <w:spacing w:val="-2"/>
                <w:szCs w:val="20"/>
              </w:rPr>
              <w:t xml:space="preserve"> </w:t>
            </w:r>
            <w:r>
              <w:rPr>
                <w:rFonts w:eastAsia="Times New Roman" w:cs="Times New Roman"/>
                <w:spacing w:val="-1"/>
                <w:szCs w:val="20"/>
              </w:rPr>
              <w:t>m</w:t>
            </w:r>
            <w:r>
              <w:rPr>
                <w:rFonts w:eastAsia="Times New Roman" w:cs="Times New Roman"/>
                <w:szCs w:val="20"/>
              </w:rPr>
              <w:t>m</w:t>
            </w:r>
          </w:p>
        </w:tc>
        <w:tc>
          <w:tcPr>
            <w:tcW w:w="1728" w:type="dxa"/>
            <w:tcBorders>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1"/>
                <w:w w:val="99"/>
                <w:szCs w:val="20"/>
              </w:rPr>
              <w:t>25</w:t>
            </w:r>
            <w:r>
              <w:rPr>
                <w:rFonts w:eastAsia="Times New Roman" w:cs="Times New Roman"/>
                <w:spacing w:val="-2"/>
                <w:w w:val="99"/>
                <w:szCs w:val="20"/>
              </w:rPr>
              <w:t>-</w:t>
            </w:r>
            <w:r>
              <w:rPr>
                <w:rFonts w:eastAsia="Times New Roman" w:cs="Times New Roman"/>
                <w:spacing w:val="1"/>
                <w:w w:val="99"/>
                <w:szCs w:val="20"/>
              </w:rPr>
              <w:t>55</w:t>
            </w:r>
          </w:p>
        </w:tc>
        <w:tc>
          <w:tcPr>
            <w:tcW w:w="1295" w:type="dxa"/>
            <w:tcBorders>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w w:val="99"/>
                <w:szCs w:val="20"/>
              </w:rPr>
            </w:pPr>
            <w:r>
              <w:rPr>
                <w:rFonts w:eastAsia="Times New Roman" w:cs="Times New Roman"/>
                <w:w w:val="99"/>
                <w:szCs w:val="20"/>
              </w:rPr>
              <w:t>3</w:t>
            </w:r>
          </w:p>
        </w:tc>
      </w:tr>
      <w:tr w:rsidR="00B77F00">
        <w:tblPrEx>
          <w:tblCellMar>
            <w:top w:w="0" w:type="dxa"/>
            <w:bottom w:w="0" w:type="dxa"/>
          </w:tblCellMar>
        </w:tblPrEx>
        <w:trPr>
          <w:cantSplit/>
        </w:trPr>
        <w:tc>
          <w:tcPr>
            <w:tcW w:w="169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K</w:t>
            </w:r>
            <w:r>
              <w:rPr>
                <w:rFonts w:eastAsia="Times New Roman" w:cs="Times New Roman"/>
                <w:spacing w:val="1"/>
                <w:szCs w:val="20"/>
              </w:rPr>
              <w:t>o</w:t>
            </w:r>
            <w:r>
              <w:rPr>
                <w:rFonts w:eastAsia="Times New Roman" w:cs="Times New Roman"/>
                <w:spacing w:val="-1"/>
                <w:szCs w:val="20"/>
              </w:rPr>
              <w:t>n</w:t>
            </w:r>
            <w:r>
              <w:rPr>
                <w:rFonts w:eastAsia="Times New Roman" w:cs="Times New Roman"/>
                <w:spacing w:val="2"/>
                <w:szCs w:val="20"/>
              </w:rPr>
              <w:t>s</w:t>
            </w:r>
            <w:r>
              <w:rPr>
                <w:rFonts w:eastAsia="Times New Roman" w:cs="Times New Roman"/>
                <w:spacing w:val="-1"/>
                <w:szCs w:val="20"/>
              </w:rPr>
              <w:t>ys</w:t>
            </w:r>
            <w:r>
              <w:rPr>
                <w:rFonts w:eastAsia="Times New Roman" w:cs="Times New Roman"/>
                <w:szCs w:val="20"/>
              </w:rPr>
              <w:t>t</w:t>
            </w:r>
            <w:r>
              <w:rPr>
                <w:rFonts w:eastAsia="Times New Roman" w:cs="Times New Roman"/>
                <w:spacing w:val="2"/>
                <w:szCs w:val="20"/>
              </w:rPr>
              <w:t>e</w:t>
            </w:r>
            <w:r>
              <w:rPr>
                <w:rFonts w:eastAsia="Times New Roman" w:cs="Times New Roman"/>
                <w:spacing w:val="-1"/>
                <w:szCs w:val="20"/>
              </w:rPr>
              <w:t>n</w:t>
            </w:r>
            <w:r>
              <w:rPr>
                <w:rFonts w:eastAsia="Times New Roman" w:cs="Times New Roman"/>
                <w:szCs w:val="20"/>
              </w:rPr>
              <w:t>c</w:t>
            </w:r>
            <w:r>
              <w:rPr>
                <w:rFonts w:eastAsia="Times New Roman" w:cs="Times New Roman"/>
                <w:spacing w:val="2"/>
                <w:szCs w:val="20"/>
              </w:rPr>
              <w:t>j</w:t>
            </w:r>
            <w:r>
              <w:rPr>
                <w:rFonts w:eastAsia="Times New Roman" w:cs="Times New Roman"/>
                <w:szCs w:val="20"/>
              </w:rPr>
              <w:t>a</w:t>
            </w:r>
            <w:r>
              <w:rPr>
                <w:rFonts w:eastAsia="Times New Roman" w:cs="Times New Roman"/>
                <w:spacing w:val="42"/>
                <w:szCs w:val="20"/>
              </w:rPr>
              <w:t xml:space="preserve"> </w:t>
            </w:r>
            <w:r>
              <w:rPr>
                <w:rFonts w:eastAsia="Times New Roman" w:cs="Times New Roman"/>
                <w:szCs w:val="20"/>
              </w:rPr>
              <w:t>w w</w:t>
            </w:r>
            <w:r>
              <w:rPr>
                <w:rFonts w:eastAsia="Times New Roman" w:cs="Times New Roman"/>
                <w:spacing w:val="-1"/>
                <w:szCs w:val="20"/>
              </w:rPr>
              <w:t>ys</w:t>
            </w:r>
            <w:r>
              <w:rPr>
                <w:rFonts w:eastAsia="Times New Roman" w:cs="Times New Roman"/>
                <w:spacing w:val="3"/>
                <w:szCs w:val="20"/>
              </w:rPr>
              <w:t>o</w:t>
            </w:r>
            <w:r>
              <w:rPr>
                <w:rFonts w:eastAsia="Times New Roman" w:cs="Times New Roman"/>
                <w:spacing w:val="-1"/>
                <w:szCs w:val="20"/>
              </w:rPr>
              <w:t>k</w:t>
            </w:r>
            <w:r>
              <w:rPr>
                <w:rFonts w:eastAsia="Times New Roman" w:cs="Times New Roman"/>
                <w:szCs w:val="20"/>
              </w:rPr>
              <w:t>ich t</w:t>
            </w:r>
            <w:r>
              <w:rPr>
                <w:rFonts w:eastAsia="Times New Roman" w:cs="Times New Roman"/>
                <w:spacing w:val="2"/>
                <w:szCs w:val="20"/>
              </w:rPr>
              <w:t>e</w:t>
            </w:r>
            <w:r>
              <w:rPr>
                <w:rFonts w:eastAsia="Times New Roman" w:cs="Times New Roman"/>
                <w:spacing w:val="-4"/>
                <w:szCs w:val="20"/>
              </w:rPr>
              <w:t>m</w:t>
            </w:r>
            <w:r>
              <w:rPr>
                <w:rFonts w:eastAsia="Times New Roman" w:cs="Times New Roman"/>
                <w:spacing w:val="1"/>
                <w:szCs w:val="20"/>
              </w:rPr>
              <w:t>p</w:t>
            </w:r>
            <w:r>
              <w:rPr>
                <w:rFonts w:eastAsia="Times New Roman" w:cs="Times New Roman"/>
                <w:szCs w:val="20"/>
              </w:rPr>
              <w:t>e</w:t>
            </w:r>
            <w:r>
              <w:rPr>
                <w:rFonts w:eastAsia="Times New Roman" w:cs="Times New Roman"/>
                <w:spacing w:val="1"/>
                <w:szCs w:val="20"/>
              </w:rPr>
              <w:t>r</w:t>
            </w:r>
            <w:r>
              <w:rPr>
                <w:rFonts w:eastAsia="Times New Roman" w:cs="Times New Roman"/>
                <w:szCs w:val="20"/>
              </w:rPr>
              <w:t>at</w:t>
            </w:r>
            <w:r>
              <w:rPr>
                <w:rFonts w:eastAsia="Times New Roman" w:cs="Times New Roman"/>
                <w:spacing w:val="-1"/>
                <w:szCs w:val="20"/>
              </w:rPr>
              <w:t>u</w:t>
            </w:r>
            <w:r>
              <w:rPr>
                <w:rFonts w:eastAsia="Times New Roman" w:cs="Times New Roman"/>
                <w:spacing w:val="1"/>
                <w:szCs w:val="20"/>
              </w:rPr>
              <w:t>r</w:t>
            </w:r>
            <w:r>
              <w:rPr>
                <w:rFonts w:eastAsia="Times New Roman" w:cs="Times New Roman"/>
                <w:szCs w:val="20"/>
              </w:rPr>
              <w:t>a</w:t>
            </w:r>
            <w:r>
              <w:rPr>
                <w:rFonts w:eastAsia="Times New Roman" w:cs="Times New Roman"/>
                <w:spacing w:val="3"/>
                <w:szCs w:val="20"/>
              </w:rPr>
              <w:t>c</w:t>
            </w:r>
            <w:r>
              <w:rPr>
                <w:rFonts w:eastAsia="Times New Roman" w:cs="Times New Roman"/>
                <w:szCs w:val="20"/>
              </w:rPr>
              <w:t>h e</w:t>
            </w:r>
            <w:r>
              <w:rPr>
                <w:rFonts w:eastAsia="Times New Roman" w:cs="Times New Roman"/>
                <w:spacing w:val="-1"/>
                <w:szCs w:val="20"/>
              </w:rPr>
              <w:t>ks</w:t>
            </w:r>
            <w:r>
              <w:rPr>
                <w:rFonts w:eastAsia="Times New Roman" w:cs="Times New Roman"/>
                <w:spacing w:val="1"/>
                <w:szCs w:val="20"/>
              </w:rPr>
              <w:t>p</w:t>
            </w:r>
            <w:r>
              <w:rPr>
                <w:rFonts w:eastAsia="Times New Roman" w:cs="Times New Roman"/>
                <w:szCs w:val="20"/>
              </w:rPr>
              <w:t>l</w:t>
            </w:r>
            <w:r>
              <w:rPr>
                <w:rFonts w:eastAsia="Times New Roman" w:cs="Times New Roman"/>
                <w:spacing w:val="1"/>
                <w:szCs w:val="20"/>
              </w:rPr>
              <w:t>o</w:t>
            </w:r>
            <w:r>
              <w:rPr>
                <w:rFonts w:eastAsia="Times New Roman" w:cs="Times New Roman"/>
                <w:szCs w:val="20"/>
              </w:rPr>
              <w:t>ata</w:t>
            </w:r>
            <w:r>
              <w:rPr>
                <w:rFonts w:eastAsia="Times New Roman" w:cs="Times New Roman"/>
                <w:spacing w:val="3"/>
                <w:szCs w:val="20"/>
              </w:rPr>
              <w:t>c</w:t>
            </w:r>
            <w:r>
              <w:rPr>
                <w:rFonts w:eastAsia="Times New Roman" w:cs="Times New Roman"/>
                <w:spacing w:val="-4"/>
                <w:szCs w:val="20"/>
              </w:rPr>
              <w:t>y</w:t>
            </w:r>
            <w:r>
              <w:rPr>
                <w:rFonts w:eastAsia="Times New Roman" w:cs="Times New Roman"/>
                <w:spacing w:val="2"/>
                <w:szCs w:val="20"/>
              </w:rPr>
              <w:t>j</w:t>
            </w:r>
            <w:r>
              <w:rPr>
                <w:rFonts w:eastAsia="Times New Roman" w:cs="Times New Roman"/>
                <w:spacing w:val="1"/>
                <w:szCs w:val="20"/>
              </w:rPr>
              <w:t>n</w:t>
            </w:r>
            <w:r>
              <w:rPr>
                <w:rFonts w:eastAsia="Times New Roman" w:cs="Times New Roman"/>
                <w:spacing w:val="-1"/>
                <w:szCs w:val="20"/>
              </w:rPr>
              <w:t>y</w:t>
            </w:r>
            <w:r>
              <w:rPr>
                <w:rFonts w:eastAsia="Times New Roman" w:cs="Times New Roman"/>
                <w:spacing w:val="3"/>
                <w:szCs w:val="20"/>
              </w:rPr>
              <w:t>c</w:t>
            </w:r>
            <w:r>
              <w:rPr>
                <w:rFonts w:eastAsia="Times New Roman" w:cs="Times New Roman"/>
                <w:szCs w:val="20"/>
              </w:rPr>
              <w:t>h</w:t>
            </w:r>
          </w:p>
        </w:tc>
        <w:tc>
          <w:tcPr>
            <w:tcW w:w="1654"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3"/>
                <w:szCs w:val="20"/>
              </w:rPr>
              <w:t>T</w:t>
            </w:r>
            <w:r>
              <w:rPr>
                <w:rFonts w:eastAsia="Times New Roman" w:cs="Times New Roman"/>
                <w:szCs w:val="20"/>
              </w:rPr>
              <w:t>e</w:t>
            </w:r>
            <w:r>
              <w:rPr>
                <w:rFonts w:eastAsia="Times New Roman" w:cs="Times New Roman"/>
                <w:spacing w:val="-3"/>
                <w:szCs w:val="20"/>
              </w:rPr>
              <w:t>m</w:t>
            </w:r>
            <w:r>
              <w:rPr>
                <w:rFonts w:eastAsia="Times New Roman" w:cs="Times New Roman"/>
                <w:spacing w:val="1"/>
                <w:szCs w:val="20"/>
              </w:rPr>
              <w:t>p</w:t>
            </w:r>
            <w:r>
              <w:rPr>
                <w:rFonts w:eastAsia="Times New Roman" w:cs="Times New Roman"/>
                <w:szCs w:val="20"/>
              </w:rPr>
              <w:t>e</w:t>
            </w:r>
            <w:r>
              <w:rPr>
                <w:rFonts w:eastAsia="Times New Roman" w:cs="Times New Roman"/>
                <w:spacing w:val="1"/>
                <w:szCs w:val="20"/>
              </w:rPr>
              <w:t>r</w:t>
            </w:r>
            <w:r>
              <w:rPr>
                <w:rFonts w:eastAsia="Times New Roman" w:cs="Times New Roman"/>
                <w:szCs w:val="20"/>
              </w:rPr>
              <w:t>at</w:t>
            </w:r>
            <w:r>
              <w:rPr>
                <w:rFonts w:eastAsia="Times New Roman" w:cs="Times New Roman"/>
                <w:spacing w:val="-1"/>
                <w:szCs w:val="20"/>
              </w:rPr>
              <w:t>u</w:t>
            </w:r>
            <w:r>
              <w:rPr>
                <w:rFonts w:eastAsia="Times New Roman" w:cs="Times New Roman"/>
                <w:spacing w:val="1"/>
                <w:szCs w:val="20"/>
              </w:rPr>
              <w:t>r</w:t>
            </w:r>
            <w:r>
              <w:rPr>
                <w:rFonts w:eastAsia="Times New Roman" w:cs="Times New Roman"/>
                <w:szCs w:val="20"/>
              </w:rPr>
              <w:t>a</w:t>
            </w:r>
          </w:p>
          <w:p w:rsidR="00B77F00" w:rsidRDefault="00865FA3">
            <w:pPr>
              <w:pStyle w:val="Standard"/>
              <w:rPr>
                <w:szCs w:val="20"/>
              </w:rPr>
            </w:pPr>
            <w:r>
              <w:rPr>
                <w:rFonts w:eastAsia="Times New Roman" w:cs="Times New Roman"/>
                <w:spacing w:val="-1"/>
                <w:szCs w:val="20"/>
              </w:rPr>
              <w:t>m</w:t>
            </w:r>
            <w:r>
              <w:rPr>
                <w:rFonts w:eastAsia="Times New Roman" w:cs="Times New Roman"/>
                <w:szCs w:val="20"/>
              </w:rPr>
              <w:t>i</w:t>
            </w:r>
            <w:r>
              <w:rPr>
                <w:rFonts w:eastAsia="Times New Roman" w:cs="Times New Roman"/>
                <w:spacing w:val="2"/>
                <w:szCs w:val="20"/>
              </w:rPr>
              <w:t>ę</w:t>
            </w:r>
            <w:r>
              <w:rPr>
                <w:rFonts w:eastAsia="Times New Roman" w:cs="Times New Roman"/>
                <w:spacing w:val="-1"/>
                <w:szCs w:val="20"/>
              </w:rPr>
              <w:t>kn</w:t>
            </w:r>
            <w:r>
              <w:rPr>
                <w:rFonts w:eastAsia="Times New Roman" w:cs="Times New Roman"/>
                <w:szCs w:val="20"/>
              </w:rPr>
              <w:t>i</w:t>
            </w:r>
            <w:r>
              <w:rPr>
                <w:rFonts w:eastAsia="Times New Roman" w:cs="Times New Roman"/>
                <w:spacing w:val="2"/>
                <w:szCs w:val="20"/>
              </w:rPr>
              <w:t>e</w:t>
            </w:r>
            <w:r>
              <w:rPr>
                <w:rFonts w:eastAsia="Times New Roman" w:cs="Times New Roman"/>
                <w:spacing w:val="-1"/>
                <w:szCs w:val="20"/>
              </w:rPr>
              <w:t>n</w:t>
            </w:r>
            <w:r>
              <w:rPr>
                <w:rFonts w:eastAsia="Times New Roman" w:cs="Times New Roman"/>
                <w:szCs w:val="20"/>
              </w:rPr>
              <w:t>ia</w:t>
            </w:r>
          </w:p>
        </w:tc>
        <w:tc>
          <w:tcPr>
            <w:tcW w:w="1969"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2"/>
                <w:szCs w:val="20"/>
              </w:rPr>
              <w:t>P</w:t>
            </w:r>
            <w:r>
              <w:rPr>
                <w:rFonts w:eastAsia="Times New Roman" w:cs="Times New Roman"/>
                <w:szCs w:val="20"/>
              </w:rPr>
              <w:t>N</w:t>
            </w:r>
            <w:r>
              <w:rPr>
                <w:rFonts w:eastAsia="Times New Roman" w:cs="Times New Roman"/>
                <w:spacing w:val="-2"/>
                <w:szCs w:val="20"/>
              </w:rPr>
              <w:t>-</w:t>
            </w:r>
            <w:r>
              <w:rPr>
                <w:rFonts w:eastAsia="Times New Roman" w:cs="Times New Roman"/>
                <w:szCs w:val="20"/>
              </w:rPr>
              <w:t>EN</w:t>
            </w:r>
            <w:r>
              <w:rPr>
                <w:rFonts w:eastAsia="Times New Roman" w:cs="Times New Roman"/>
                <w:spacing w:val="-6"/>
                <w:szCs w:val="20"/>
              </w:rPr>
              <w:t xml:space="preserve"> </w:t>
            </w:r>
            <w:r>
              <w:rPr>
                <w:rFonts w:eastAsia="Times New Roman" w:cs="Times New Roman"/>
                <w:spacing w:val="1"/>
                <w:szCs w:val="20"/>
              </w:rPr>
              <w:t>142</w:t>
            </w:r>
            <w:r>
              <w:rPr>
                <w:rFonts w:eastAsia="Times New Roman" w:cs="Times New Roman"/>
                <w:szCs w:val="20"/>
              </w:rPr>
              <w:t>7</w:t>
            </w:r>
          </w:p>
        </w:tc>
        <w:tc>
          <w:tcPr>
            <w:tcW w:w="1297"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w w:val="99"/>
                <w:szCs w:val="20"/>
              </w:rPr>
            </w:pPr>
            <w:r>
              <w:rPr>
                <w:rFonts w:eastAsia="Times New Roman" w:cs="Times New Roman"/>
                <w:w w:val="99"/>
                <w:szCs w:val="20"/>
              </w:rPr>
              <w:t>°C</w:t>
            </w:r>
          </w:p>
        </w:tc>
        <w:tc>
          <w:tcPr>
            <w:tcW w:w="1728"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 xml:space="preserve">≥ </w:t>
            </w:r>
            <w:r>
              <w:rPr>
                <w:rFonts w:eastAsia="Times New Roman" w:cs="Times New Roman"/>
                <w:spacing w:val="1"/>
                <w:w w:val="99"/>
                <w:szCs w:val="20"/>
              </w:rPr>
              <w:t>6</w:t>
            </w:r>
            <w:r>
              <w:rPr>
                <w:rFonts w:eastAsia="Times New Roman" w:cs="Times New Roman"/>
                <w:w w:val="99"/>
                <w:szCs w:val="20"/>
              </w:rPr>
              <w:t>0</w:t>
            </w:r>
          </w:p>
        </w:tc>
        <w:tc>
          <w:tcPr>
            <w:tcW w:w="129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w w:val="99"/>
                <w:szCs w:val="20"/>
              </w:rPr>
            </w:pPr>
            <w:r>
              <w:rPr>
                <w:rFonts w:eastAsia="Times New Roman" w:cs="Times New Roman"/>
                <w:w w:val="99"/>
                <w:szCs w:val="20"/>
              </w:rPr>
              <w:t>6</w:t>
            </w:r>
          </w:p>
        </w:tc>
      </w:tr>
      <w:tr w:rsidR="00B77F00">
        <w:tblPrEx>
          <w:tblCellMar>
            <w:top w:w="0" w:type="dxa"/>
            <w:bottom w:w="0" w:type="dxa"/>
          </w:tblCellMar>
        </w:tblPrEx>
        <w:trPr>
          <w:cantSplit/>
        </w:trPr>
        <w:tc>
          <w:tcPr>
            <w:tcW w:w="1695" w:type="dxa"/>
            <w:vMerge w:val="restart"/>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K</w:t>
            </w:r>
            <w:r>
              <w:rPr>
                <w:rFonts w:eastAsia="Times New Roman" w:cs="Times New Roman"/>
                <w:spacing w:val="1"/>
                <w:szCs w:val="20"/>
              </w:rPr>
              <w:t>o</w:t>
            </w:r>
            <w:r>
              <w:rPr>
                <w:rFonts w:eastAsia="Times New Roman" w:cs="Times New Roman"/>
                <w:spacing w:val="-1"/>
                <w:szCs w:val="20"/>
              </w:rPr>
              <w:t>h</w:t>
            </w:r>
            <w:r>
              <w:rPr>
                <w:rFonts w:eastAsia="Times New Roman" w:cs="Times New Roman"/>
                <w:szCs w:val="20"/>
              </w:rPr>
              <w:t>e</w:t>
            </w:r>
            <w:r>
              <w:rPr>
                <w:rFonts w:eastAsia="Times New Roman" w:cs="Times New Roman"/>
                <w:spacing w:val="1"/>
                <w:szCs w:val="20"/>
              </w:rPr>
              <w:t>z</w:t>
            </w:r>
            <w:r>
              <w:rPr>
                <w:rFonts w:eastAsia="Times New Roman" w:cs="Times New Roman"/>
                <w:spacing w:val="2"/>
                <w:szCs w:val="20"/>
              </w:rPr>
              <w:t>j</w:t>
            </w:r>
            <w:r>
              <w:rPr>
                <w:rFonts w:eastAsia="Times New Roman" w:cs="Times New Roman"/>
                <w:szCs w:val="20"/>
              </w:rPr>
              <w:t>a</w:t>
            </w:r>
          </w:p>
        </w:tc>
        <w:tc>
          <w:tcPr>
            <w:tcW w:w="1654"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Si</w:t>
            </w:r>
            <w:r>
              <w:rPr>
                <w:rFonts w:eastAsia="Times New Roman" w:cs="Times New Roman"/>
                <w:spacing w:val="-1"/>
                <w:szCs w:val="20"/>
              </w:rPr>
              <w:t>ł</w:t>
            </w:r>
            <w:r>
              <w:rPr>
                <w:rFonts w:eastAsia="Times New Roman" w:cs="Times New Roman"/>
                <w:szCs w:val="20"/>
              </w:rPr>
              <w:t>a</w:t>
            </w:r>
            <w:r>
              <w:rPr>
                <w:rFonts w:eastAsia="Times New Roman" w:cs="Times New Roman"/>
                <w:spacing w:val="-2"/>
                <w:szCs w:val="20"/>
              </w:rPr>
              <w:t xml:space="preserve"> </w:t>
            </w:r>
            <w:r>
              <w:rPr>
                <w:rFonts w:eastAsia="Times New Roman" w:cs="Times New Roman"/>
                <w:spacing w:val="1"/>
                <w:szCs w:val="20"/>
              </w:rPr>
              <w:t>ro</w:t>
            </w:r>
            <w:r>
              <w:rPr>
                <w:rFonts w:eastAsia="Times New Roman" w:cs="Times New Roman"/>
                <w:szCs w:val="20"/>
              </w:rPr>
              <w:t>z</w:t>
            </w:r>
            <w:r>
              <w:rPr>
                <w:rFonts w:eastAsia="Times New Roman" w:cs="Times New Roman"/>
                <w:spacing w:val="1"/>
                <w:szCs w:val="20"/>
              </w:rPr>
              <w:t>c</w:t>
            </w:r>
            <w:r>
              <w:rPr>
                <w:rFonts w:eastAsia="Times New Roman" w:cs="Times New Roman"/>
                <w:szCs w:val="20"/>
              </w:rPr>
              <w:t>ią</w:t>
            </w:r>
            <w:r>
              <w:rPr>
                <w:rFonts w:eastAsia="Times New Roman" w:cs="Times New Roman"/>
                <w:spacing w:val="-1"/>
                <w:szCs w:val="20"/>
              </w:rPr>
              <w:t>g</w:t>
            </w:r>
            <w:r>
              <w:rPr>
                <w:rFonts w:eastAsia="Times New Roman" w:cs="Times New Roman"/>
                <w:szCs w:val="20"/>
              </w:rPr>
              <w:t>a</w:t>
            </w:r>
            <w:r>
              <w:rPr>
                <w:rFonts w:eastAsia="Times New Roman" w:cs="Times New Roman"/>
                <w:spacing w:val="1"/>
                <w:szCs w:val="20"/>
              </w:rPr>
              <w:t>n</w:t>
            </w:r>
            <w:r>
              <w:rPr>
                <w:rFonts w:eastAsia="Times New Roman" w:cs="Times New Roman"/>
                <w:szCs w:val="20"/>
              </w:rPr>
              <w:t xml:space="preserve">ia </w:t>
            </w:r>
            <w:r>
              <w:rPr>
                <w:rFonts w:eastAsia="Times New Roman" w:cs="Times New Roman"/>
                <w:spacing w:val="3"/>
                <w:szCs w:val="20"/>
              </w:rPr>
              <w:t>(</w:t>
            </w:r>
            <w:r>
              <w:rPr>
                <w:rFonts w:eastAsia="Times New Roman" w:cs="Times New Roman"/>
                <w:spacing w:val="-4"/>
                <w:szCs w:val="20"/>
              </w:rPr>
              <w:t>m</w:t>
            </w:r>
            <w:r>
              <w:rPr>
                <w:rFonts w:eastAsia="Times New Roman" w:cs="Times New Roman"/>
                <w:szCs w:val="20"/>
              </w:rPr>
              <w:t>ała</w:t>
            </w:r>
            <w:r>
              <w:rPr>
                <w:rFonts w:eastAsia="Times New Roman" w:cs="Times New Roman"/>
                <w:spacing w:val="-4"/>
                <w:szCs w:val="20"/>
              </w:rPr>
              <w:t xml:space="preserve"> </w:t>
            </w:r>
            <w:r>
              <w:rPr>
                <w:rFonts w:eastAsia="Times New Roman" w:cs="Times New Roman"/>
                <w:spacing w:val="1"/>
                <w:szCs w:val="20"/>
              </w:rPr>
              <w:t>pr</w:t>
            </w:r>
            <w:r>
              <w:rPr>
                <w:rFonts w:eastAsia="Times New Roman" w:cs="Times New Roman"/>
                <w:szCs w:val="20"/>
              </w:rPr>
              <w:t>ę</w:t>
            </w:r>
            <w:r>
              <w:rPr>
                <w:rFonts w:eastAsia="Times New Roman" w:cs="Times New Roman"/>
                <w:spacing w:val="1"/>
                <w:szCs w:val="20"/>
              </w:rPr>
              <w:t>d</w:t>
            </w:r>
            <w:r>
              <w:rPr>
                <w:rFonts w:eastAsia="Times New Roman" w:cs="Times New Roman"/>
                <w:spacing w:val="-1"/>
                <w:szCs w:val="20"/>
              </w:rPr>
              <w:t>k</w:t>
            </w:r>
            <w:r>
              <w:rPr>
                <w:rFonts w:eastAsia="Times New Roman" w:cs="Times New Roman"/>
                <w:spacing w:val="1"/>
                <w:szCs w:val="20"/>
              </w:rPr>
              <w:t>o</w:t>
            </w:r>
            <w:r>
              <w:rPr>
                <w:rFonts w:eastAsia="Times New Roman" w:cs="Times New Roman"/>
                <w:spacing w:val="-1"/>
                <w:szCs w:val="20"/>
              </w:rPr>
              <w:t>ś</w:t>
            </w:r>
            <w:r>
              <w:rPr>
                <w:rFonts w:eastAsia="Times New Roman" w:cs="Times New Roman"/>
                <w:szCs w:val="20"/>
              </w:rPr>
              <w:t xml:space="preserve">ć </w:t>
            </w:r>
            <w:r>
              <w:rPr>
                <w:rFonts w:eastAsia="Times New Roman" w:cs="Times New Roman"/>
                <w:spacing w:val="1"/>
                <w:szCs w:val="20"/>
              </w:rPr>
              <w:t>ro</w:t>
            </w:r>
            <w:r>
              <w:rPr>
                <w:rFonts w:eastAsia="Times New Roman" w:cs="Times New Roman"/>
                <w:szCs w:val="20"/>
              </w:rPr>
              <w:t>z</w:t>
            </w:r>
            <w:r>
              <w:rPr>
                <w:rFonts w:eastAsia="Times New Roman" w:cs="Times New Roman"/>
                <w:spacing w:val="1"/>
                <w:szCs w:val="20"/>
              </w:rPr>
              <w:t>c</w:t>
            </w:r>
            <w:r>
              <w:rPr>
                <w:rFonts w:eastAsia="Times New Roman" w:cs="Times New Roman"/>
                <w:szCs w:val="20"/>
              </w:rPr>
              <w:t>ią</w:t>
            </w:r>
            <w:r>
              <w:rPr>
                <w:rFonts w:eastAsia="Times New Roman" w:cs="Times New Roman"/>
                <w:spacing w:val="-1"/>
                <w:szCs w:val="20"/>
              </w:rPr>
              <w:t>g</w:t>
            </w:r>
            <w:r>
              <w:rPr>
                <w:rFonts w:eastAsia="Times New Roman" w:cs="Times New Roman"/>
                <w:szCs w:val="20"/>
              </w:rPr>
              <w:t>a</w:t>
            </w:r>
            <w:r>
              <w:rPr>
                <w:rFonts w:eastAsia="Times New Roman" w:cs="Times New Roman"/>
                <w:spacing w:val="-1"/>
                <w:szCs w:val="20"/>
              </w:rPr>
              <w:t>n</w:t>
            </w:r>
            <w:r>
              <w:rPr>
                <w:rFonts w:eastAsia="Times New Roman" w:cs="Times New Roman"/>
                <w:szCs w:val="20"/>
              </w:rPr>
              <w:t>ia)</w:t>
            </w:r>
          </w:p>
        </w:tc>
        <w:tc>
          <w:tcPr>
            <w:tcW w:w="1969"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2"/>
                <w:szCs w:val="20"/>
              </w:rPr>
              <w:t>P</w:t>
            </w:r>
            <w:r>
              <w:rPr>
                <w:rFonts w:eastAsia="Times New Roman" w:cs="Times New Roman"/>
                <w:szCs w:val="20"/>
              </w:rPr>
              <w:t>N</w:t>
            </w:r>
            <w:r>
              <w:rPr>
                <w:rFonts w:eastAsia="Times New Roman" w:cs="Times New Roman"/>
                <w:spacing w:val="-2"/>
                <w:szCs w:val="20"/>
              </w:rPr>
              <w:t>-</w:t>
            </w:r>
            <w:r>
              <w:rPr>
                <w:rFonts w:eastAsia="Times New Roman" w:cs="Times New Roman"/>
                <w:szCs w:val="20"/>
              </w:rPr>
              <w:t>EN</w:t>
            </w:r>
            <w:r>
              <w:rPr>
                <w:rFonts w:eastAsia="Times New Roman" w:cs="Times New Roman"/>
                <w:spacing w:val="-6"/>
                <w:szCs w:val="20"/>
              </w:rPr>
              <w:t xml:space="preserve"> </w:t>
            </w:r>
            <w:r>
              <w:rPr>
                <w:rFonts w:eastAsia="Times New Roman" w:cs="Times New Roman"/>
                <w:spacing w:val="1"/>
                <w:szCs w:val="20"/>
              </w:rPr>
              <w:t>1358</w:t>
            </w:r>
            <w:r>
              <w:rPr>
                <w:rFonts w:eastAsia="Times New Roman" w:cs="Times New Roman"/>
                <w:szCs w:val="20"/>
              </w:rPr>
              <w:t>9</w:t>
            </w:r>
          </w:p>
          <w:p w:rsidR="00B77F00" w:rsidRDefault="00865FA3">
            <w:pPr>
              <w:pStyle w:val="Standard"/>
              <w:rPr>
                <w:szCs w:val="20"/>
              </w:rPr>
            </w:pPr>
            <w:r>
              <w:rPr>
                <w:rFonts w:eastAsia="Times New Roman" w:cs="Times New Roman"/>
                <w:spacing w:val="2"/>
                <w:szCs w:val="20"/>
              </w:rPr>
              <w:t>P</w:t>
            </w:r>
            <w:r>
              <w:rPr>
                <w:rFonts w:eastAsia="Times New Roman" w:cs="Times New Roman"/>
                <w:szCs w:val="20"/>
              </w:rPr>
              <w:t>N</w:t>
            </w:r>
            <w:r>
              <w:rPr>
                <w:rFonts w:eastAsia="Times New Roman" w:cs="Times New Roman"/>
                <w:spacing w:val="-2"/>
                <w:szCs w:val="20"/>
              </w:rPr>
              <w:t>-</w:t>
            </w:r>
            <w:r>
              <w:rPr>
                <w:rFonts w:eastAsia="Times New Roman" w:cs="Times New Roman"/>
                <w:szCs w:val="20"/>
              </w:rPr>
              <w:t>EN</w:t>
            </w:r>
            <w:r>
              <w:rPr>
                <w:rFonts w:eastAsia="Times New Roman" w:cs="Times New Roman"/>
                <w:spacing w:val="-6"/>
                <w:szCs w:val="20"/>
              </w:rPr>
              <w:t xml:space="preserve"> </w:t>
            </w:r>
            <w:r>
              <w:rPr>
                <w:rFonts w:eastAsia="Times New Roman" w:cs="Times New Roman"/>
                <w:spacing w:val="1"/>
                <w:szCs w:val="20"/>
              </w:rPr>
              <w:t>1370</w:t>
            </w:r>
            <w:r>
              <w:rPr>
                <w:rFonts w:eastAsia="Times New Roman" w:cs="Times New Roman"/>
                <w:szCs w:val="20"/>
              </w:rPr>
              <w:t>3</w:t>
            </w:r>
          </w:p>
        </w:tc>
        <w:tc>
          <w:tcPr>
            <w:tcW w:w="1297"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2"/>
                <w:position w:val="1"/>
                <w:szCs w:val="20"/>
              </w:rPr>
              <w:t>J</w:t>
            </w:r>
            <w:r>
              <w:rPr>
                <w:rFonts w:eastAsia="Times New Roman" w:cs="Times New Roman"/>
                <w:position w:val="1"/>
                <w:szCs w:val="20"/>
              </w:rPr>
              <w:t>/cm</w:t>
            </w:r>
            <w:r>
              <w:rPr>
                <w:rFonts w:eastAsia="Times New Roman" w:cs="Times New Roman"/>
                <w:szCs w:val="20"/>
                <w:vertAlign w:val="superscript"/>
              </w:rPr>
              <w:t>2</w:t>
            </w:r>
          </w:p>
        </w:tc>
        <w:tc>
          <w:tcPr>
            <w:tcW w:w="1728"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 2 w</w:t>
            </w:r>
            <w:r>
              <w:rPr>
                <w:rFonts w:eastAsia="Times New Roman" w:cs="Times New Roman"/>
                <w:spacing w:val="-5"/>
                <w:szCs w:val="20"/>
              </w:rPr>
              <w:t xml:space="preserve"> </w:t>
            </w:r>
            <w:r>
              <w:rPr>
                <w:rFonts w:eastAsia="Times New Roman" w:cs="Times New Roman"/>
                <w:spacing w:val="1"/>
                <w:szCs w:val="20"/>
              </w:rPr>
              <w:t>5</w:t>
            </w:r>
            <w:r>
              <w:rPr>
                <w:rFonts w:eastAsia="Times New Roman" w:cs="Times New Roman"/>
                <w:spacing w:val="2"/>
                <w:szCs w:val="20"/>
              </w:rPr>
              <w:t>°</w:t>
            </w:r>
            <w:r>
              <w:rPr>
                <w:rFonts w:eastAsia="Times New Roman" w:cs="Times New Roman"/>
                <w:szCs w:val="20"/>
              </w:rPr>
              <w:t>C</w:t>
            </w:r>
          </w:p>
        </w:tc>
        <w:tc>
          <w:tcPr>
            <w:tcW w:w="129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w w:val="99"/>
                <w:szCs w:val="20"/>
              </w:rPr>
            </w:pPr>
            <w:r>
              <w:rPr>
                <w:rFonts w:eastAsia="Times New Roman" w:cs="Times New Roman"/>
                <w:w w:val="99"/>
                <w:szCs w:val="20"/>
              </w:rPr>
              <w:t>3</w:t>
            </w:r>
          </w:p>
        </w:tc>
      </w:tr>
      <w:tr w:rsidR="00B77F00">
        <w:tblPrEx>
          <w:tblCellMar>
            <w:top w:w="0" w:type="dxa"/>
            <w:bottom w:w="0" w:type="dxa"/>
          </w:tblCellMar>
        </w:tblPrEx>
        <w:trPr>
          <w:cantSplit/>
        </w:trPr>
        <w:tc>
          <w:tcPr>
            <w:tcW w:w="1695" w:type="dxa"/>
            <w:vMerge/>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000000" w:rsidRDefault="00865FA3"/>
        </w:tc>
        <w:tc>
          <w:tcPr>
            <w:tcW w:w="1654"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Si</w:t>
            </w:r>
            <w:r>
              <w:rPr>
                <w:rFonts w:eastAsia="Times New Roman" w:cs="Times New Roman"/>
                <w:spacing w:val="-1"/>
                <w:szCs w:val="20"/>
              </w:rPr>
              <w:t>ł</w:t>
            </w:r>
            <w:r>
              <w:rPr>
                <w:rFonts w:eastAsia="Times New Roman" w:cs="Times New Roman"/>
                <w:szCs w:val="20"/>
              </w:rPr>
              <w:t>a</w:t>
            </w:r>
            <w:r>
              <w:rPr>
                <w:rFonts w:eastAsia="Times New Roman" w:cs="Times New Roman"/>
                <w:spacing w:val="-2"/>
                <w:szCs w:val="20"/>
              </w:rPr>
              <w:t xml:space="preserve"> </w:t>
            </w:r>
            <w:r>
              <w:rPr>
                <w:rFonts w:eastAsia="Times New Roman" w:cs="Times New Roman"/>
                <w:spacing w:val="1"/>
                <w:szCs w:val="20"/>
              </w:rPr>
              <w:t>ro</w:t>
            </w:r>
            <w:r>
              <w:rPr>
                <w:rFonts w:eastAsia="Times New Roman" w:cs="Times New Roman"/>
                <w:szCs w:val="20"/>
              </w:rPr>
              <w:t>z</w:t>
            </w:r>
            <w:r>
              <w:rPr>
                <w:rFonts w:eastAsia="Times New Roman" w:cs="Times New Roman"/>
                <w:spacing w:val="1"/>
                <w:szCs w:val="20"/>
              </w:rPr>
              <w:t>c</w:t>
            </w:r>
            <w:r>
              <w:rPr>
                <w:rFonts w:eastAsia="Times New Roman" w:cs="Times New Roman"/>
                <w:szCs w:val="20"/>
              </w:rPr>
              <w:t>ią</w:t>
            </w:r>
            <w:r>
              <w:rPr>
                <w:rFonts w:eastAsia="Times New Roman" w:cs="Times New Roman"/>
                <w:spacing w:val="-1"/>
                <w:szCs w:val="20"/>
              </w:rPr>
              <w:t>g</w:t>
            </w:r>
            <w:r>
              <w:rPr>
                <w:rFonts w:eastAsia="Times New Roman" w:cs="Times New Roman"/>
                <w:szCs w:val="20"/>
              </w:rPr>
              <w:t>a</w:t>
            </w:r>
            <w:r>
              <w:rPr>
                <w:rFonts w:eastAsia="Times New Roman" w:cs="Times New Roman"/>
                <w:spacing w:val="1"/>
                <w:szCs w:val="20"/>
              </w:rPr>
              <w:t>n</w:t>
            </w:r>
            <w:r>
              <w:rPr>
                <w:rFonts w:eastAsia="Times New Roman" w:cs="Times New Roman"/>
                <w:szCs w:val="20"/>
              </w:rPr>
              <w:t>ia w</w:t>
            </w:r>
            <w:r>
              <w:rPr>
                <w:rFonts w:eastAsia="Times New Roman" w:cs="Times New Roman"/>
                <w:spacing w:val="-3"/>
                <w:szCs w:val="20"/>
              </w:rPr>
              <w:t> </w:t>
            </w:r>
            <w:r>
              <w:rPr>
                <w:rFonts w:eastAsia="Times New Roman" w:cs="Times New Roman"/>
                <w:spacing w:val="1"/>
                <w:szCs w:val="20"/>
              </w:rPr>
              <w:t>5</w:t>
            </w:r>
            <w:r>
              <w:rPr>
                <w:rFonts w:eastAsia="Times New Roman" w:cs="Times New Roman"/>
                <w:spacing w:val="2"/>
                <w:szCs w:val="20"/>
              </w:rPr>
              <w:t>°</w:t>
            </w:r>
            <w:r>
              <w:rPr>
                <w:rFonts w:eastAsia="Times New Roman" w:cs="Times New Roman"/>
                <w:szCs w:val="20"/>
              </w:rPr>
              <w:t>C</w:t>
            </w:r>
            <w:r>
              <w:rPr>
                <w:rFonts w:eastAsia="Times New Roman" w:cs="Times New Roman"/>
                <w:spacing w:val="-4"/>
                <w:szCs w:val="20"/>
              </w:rPr>
              <w:t xml:space="preserve"> </w:t>
            </w:r>
            <w:r>
              <w:rPr>
                <w:rFonts w:eastAsia="Times New Roman" w:cs="Times New Roman"/>
                <w:spacing w:val="1"/>
                <w:szCs w:val="20"/>
              </w:rPr>
              <w:t>(d</w:t>
            </w:r>
            <w:r>
              <w:rPr>
                <w:rFonts w:eastAsia="Times New Roman" w:cs="Times New Roman"/>
                <w:spacing w:val="-1"/>
                <w:szCs w:val="20"/>
              </w:rPr>
              <w:t>u</w:t>
            </w:r>
            <w:r>
              <w:rPr>
                <w:rFonts w:eastAsia="Times New Roman" w:cs="Times New Roman"/>
                <w:szCs w:val="20"/>
              </w:rPr>
              <w:t xml:space="preserve">ża </w:t>
            </w:r>
            <w:r>
              <w:rPr>
                <w:rFonts w:eastAsia="Times New Roman" w:cs="Times New Roman"/>
                <w:spacing w:val="1"/>
                <w:szCs w:val="20"/>
              </w:rPr>
              <w:t>pr</w:t>
            </w:r>
            <w:r>
              <w:rPr>
                <w:rFonts w:eastAsia="Times New Roman" w:cs="Times New Roman"/>
                <w:szCs w:val="20"/>
              </w:rPr>
              <w:t>ę</w:t>
            </w:r>
            <w:r>
              <w:rPr>
                <w:rFonts w:eastAsia="Times New Roman" w:cs="Times New Roman"/>
                <w:spacing w:val="1"/>
                <w:szCs w:val="20"/>
              </w:rPr>
              <w:t>d</w:t>
            </w:r>
            <w:r>
              <w:rPr>
                <w:rFonts w:eastAsia="Times New Roman" w:cs="Times New Roman"/>
                <w:spacing w:val="-1"/>
                <w:szCs w:val="20"/>
              </w:rPr>
              <w:t>k</w:t>
            </w:r>
            <w:r>
              <w:rPr>
                <w:rFonts w:eastAsia="Times New Roman" w:cs="Times New Roman"/>
                <w:spacing w:val="1"/>
                <w:szCs w:val="20"/>
              </w:rPr>
              <w:t>o</w:t>
            </w:r>
            <w:r>
              <w:rPr>
                <w:rFonts w:eastAsia="Times New Roman" w:cs="Times New Roman"/>
                <w:spacing w:val="-1"/>
                <w:szCs w:val="20"/>
              </w:rPr>
              <w:t>ś</w:t>
            </w:r>
            <w:r>
              <w:rPr>
                <w:rFonts w:eastAsia="Times New Roman" w:cs="Times New Roman"/>
                <w:szCs w:val="20"/>
              </w:rPr>
              <w:t xml:space="preserve">ć </w:t>
            </w:r>
            <w:r>
              <w:rPr>
                <w:rFonts w:eastAsia="Times New Roman" w:cs="Times New Roman"/>
                <w:spacing w:val="1"/>
                <w:szCs w:val="20"/>
              </w:rPr>
              <w:t>ro</w:t>
            </w:r>
            <w:r>
              <w:rPr>
                <w:rFonts w:eastAsia="Times New Roman" w:cs="Times New Roman"/>
                <w:szCs w:val="20"/>
              </w:rPr>
              <w:t>z</w:t>
            </w:r>
            <w:r>
              <w:rPr>
                <w:rFonts w:eastAsia="Times New Roman" w:cs="Times New Roman"/>
                <w:spacing w:val="1"/>
                <w:szCs w:val="20"/>
              </w:rPr>
              <w:t>c</w:t>
            </w:r>
            <w:r>
              <w:rPr>
                <w:rFonts w:eastAsia="Times New Roman" w:cs="Times New Roman"/>
                <w:szCs w:val="20"/>
              </w:rPr>
              <w:t>ią</w:t>
            </w:r>
            <w:r>
              <w:rPr>
                <w:rFonts w:eastAsia="Times New Roman" w:cs="Times New Roman"/>
                <w:spacing w:val="-1"/>
                <w:szCs w:val="20"/>
              </w:rPr>
              <w:t>g</w:t>
            </w:r>
            <w:r>
              <w:rPr>
                <w:rFonts w:eastAsia="Times New Roman" w:cs="Times New Roman"/>
                <w:szCs w:val="20"/>
              </w:rPr>
              <w:t>a</w:t>
            </w:r>
            <w:r>
              <w:rPr>
                <w:rFonts w:eastAsia="Times New Roman" w:cs="Times New Roman"/>
                <w:spacing w:val="-1"/>
                <w:szCs w:val="20"/>
              </w:rPr>
              <w:t>n</w:t>
            </w:r>
            <w:r>
              <w:rPr>
                <w:rFonts w:eastAsia="Times New Roman" w:cs="Times New Roman"/>
                <w:szCs w:val="20"/>
              </w:rPr>
              <w:t>ia)</w:t>
            </w:r>
          </w:p>
        </w:tc>
        <w:tc>
          <w:tcPr>
            <w:tcW w:w="1969"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2"/>
                <w:szCs w:val="20"/>
              </w:rPr>
              <w:t>P</w:t>
            </w:r>
            <w:r>
              <w:rPr>
                <w:rFonts w:eastAsia="Times New Roman" w:cs="Times New Roman"/>
                <w:szCs w:val="20"/>
              </w:rPr>
              <w:t>N</w:t>
            </w:r>
            <w:r>
              <w:rPr>
                <w:rFonts w:eastAsia="Times New Roman" w:cs="Times New Roman"/>
                <w:spacing w:val="-2"/>
                <w:szCs w:val="20"/>
              </w:rPr>
              <w:t>-</w:t>
            </w:r>
            <w:r>
              <w:rPr>
                <w:rFonts w:eastAsia="Times New Roman" w:cs="Times New Roman"/>
                <w:szCs w:val="20"/>
              </w:rPr>
              <w:t>EN</w:t>
            </w:r>
            <w:r>
              <w:rPr>
                <w:rFonts w:eastAsia="Times New Roman" w:cs="Times New Roman"/>
                <w:spacing w:val="-6"/>
                <w:szCs w:val="20"/>
              </w:rPr>
              <w:t xml:space="preserve"> </w:t>
            </w:r>
            <w:r>
              <w:rPr>
                <w:rFonts w:eastAsia="Times New Roman" w:cs="Times New Roman"/>
                <w:spacing w:val="1"/>
                <w:szCs w:val="20"/>
              </w:rPr>
              <w:t>1358</w:t>
            </w:r>
            <w:r>
              <w:rPr>
                <w:rFonts w:eastAsia="Times New Roman" w:cs="Times New Roman"/>
                <w:szCs w:val="20"/>
              </w:rPr>
              <w:t>7</w:t>
            </w:r>
          </w:p>
          <w:p w:rsidR="00B77F00" w:rsidRDefault="00865FA3">
            <w:pPr>
              <w:pStyle w:val="Standard"/>
              <w:rPr>
                <w:szCs w:val="20"/>
              </w:rPr>
            </w:pPr>
            <w:r>
              <w:rPr>
                <w:rFonts w:eastAsia="Times New Roman" w:cs="Times New Roman"/>
                <w:spacing w:val="2"/>
                <w:szCs w:val="20"/>
              </w:rPr>
              <w:t>P</w:t>
            </w:r>
            <w:r>
              <w:rPr>
                <w:rFonts w:eastAsia="Times New Roman" w:cs="Times New Roman"/>
                <w:szCs w:val="20"/>
              </w:rPr>
              <w:t>N</w:t>
            </w:r>
            <w:r>
              <w:rPr>
                <w:rFonts w:eastAsia="Times New Roman" w:cs="Times New Roman"/>
                <w:spacing w:val="-2"/>
                <w:szCs w:val="20"/>
              </w:rPr>
              <w:t>-</w:t>
            </w:r>
            <w:r>
              <w:rPr>
                <w:rFonts w:eastAsia="Times New Roman" w:cs="Times New Roman"/>
                <w:szCs w:val="20"/>
              </w:rPr>
              <w:t>EN</w:t>
            </w:r>
            <w:r>
              <w:rPr>
                <w:rFonts w:eastAsia="Times New Roman" w:cs="Times New Roman"/>
                <w:spacing w:val="-6"/>
                <w:szCs w:val="20"/>
              </w:rPr>
              <w:t xml:space="preserve"> </w:t>
            </w:r>
            <w:r>
              <w:rPr>
                <w:rFonts w:eastAsia="Times New Roman" w:cs="Times New Roman"/>
                <w:spacing w:val="1"/>
                <w:szCs w:val="20"/>
              </w:rPr>
              <w:t>1370</w:t>
            </w:r>
            <w:r>
              <w:rPr>
                <w:rFonts w:eastAsia="Times New Roman" w:cs="Times New Roman"/>
                <w:szCs w:val="20"/>
              </w:rPr>
              <w:t>3</w:t>
            </w:r>
          </w:p>
        </w:tc>
        <w:tc>
          <w:tcPr>
            <w:tcW w:w="1297"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2"/>
                <w:position w:val="1"/>
                <w:szCs w:val="20"/>
              </w:rPr>
              <w:t>J</w:t>
            </w:r>
            <w:r>
              <w:rPr>
                <w:rFonts w:eastAsia="Times New Roman" w:cs="Times New Roman"/>
                <w:position w:val="1"/>
                <w:szCs w:val="20"/>
              </w:rPr>
              <w:t>/cm</w:t>
            </w:r>
            <w:r>
              <w:rPr>
                <w:rFonts w:eastAsia="Times New Roman" w:cs="Times New Roman"/>
                <w:szCs w:val="20"/>
                <w:vertAlign w:val="superscript"/>
              </w:rPr>
              <w:t>2</w:t>
            </w:r>
          </w:p>
        </w:tc>
        <w:tc>
          <w:tcPr>
            <w:tcW w:w="1728"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w w:val="99"/>
                <w:szCs w:val="20"/>
              </w:rPr>
              <w:t>N</w:t>
            </w:r>
            <w:r>
              <w:rPr>
                <w:rFonts w:eastAsia="Times New Roman" w:cs="Times New Roman"/>
                <w:spacing w:val="2"/>
                <w:w w:val="99"/>
                <w:szCs w:val="20"/>
              </w:rPr>
              <w:t>P</w:t>
            </w:r>
            <w:r>
              <w:rPr>
                <w:rFonts w:eastAsia="Times New Roman" w:cs="Times New Roman"/>
                <w:w w:val="99"/>
                <w:szCs w:val="20"/>
              </w:rPr>
              <w:t>D</w:t>
            </w:r>
            <w:r>
              <w:rPr>
                <w:rFonts w:eastAsia="Times New Roman" w:cs="Times New Roman"/>
                <w:w w:val="99"/>
                <w:position w:val="14"/>
                <w:szCs w:val="20"/>
              </w:rPr>
              <w:t>a</w:t>
            </w:r>
          </w:p>
        </w:tc>
        <w:tc>
          <w:tcPr>
            <w:tcW w:w="129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w w:val="99"/>
                <w:szCs w:val="20"/>
              </w:rPr>
            </w:pPr>
            <w:r>
              <w:rPr>
                <w:rFonts w:eastAsia="Times New Roman" w:cs="Times New Roman"/>
                <w:w w:val="99"/>
                <w:szCs w:val="20"/>
              </w:rPr>
              <w:t>0</w:t>
            </w:r>
          </w:p>
        </w:tc>
      </w:tr>
      <w:tr w:rsidR="00B77F00">
        <w:tblPrEx>
          <w:tblCellMar>
            <w:top w:w="0" w:type="dxa"/>
            <w:bottom w:w="0" w:type="dxa"/>
          </w:tblCellMar>
        </w:tblPrEx>
        <w:trPr>
          <w:cantSplit/>
        </w:trPr>
        <w:tc>
          <w:tcPr>
            <w:tcW w:w="1695" w:type="dxa"/>
            <w:vMerge/>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000000" w:rsidRDefault="00865FA3"/>
        </w:tc>
        <w:tc>
          <w:tcPr>
            <w:tcW w:w="1654"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1"/>
                <w:szCs w:val="20"/>
              </w:rPr>
              <w:t>W</w:t>
            </w:r>
            <w:r>
              <w:rPr>
                <w:rFonts w:eastAsia="Times New Roman" w:cs="Times New Roman"/>
                <w:szCs w:val="20"/>
              </w:rPr>
              <w:t>a</w:t>
            </w:r>
            <w:r>
              <w:rPr>
                <w:rFonts w:eastAsia="Times New Roman" w:cs="Times New Roman"/>
                <w:spacing w:val="-1"/>
                <w:szCs w:val="20"/>
              </w:rPr>
              <w:t>h</w:t>
            </w:r>
            <w:r>
              <w:rPr>
                <w:rFonts w:eastAsia="Times New Roman" w:cs="Times New Roman"/>
                <w:szCs w:val="20"/>
              </w:rPr>
              <w:t>a</w:t>
            </w:r>
            <w:r>
              <w:rPr>
                <w:rFonts w:eastAsia="Times New Roman" w:cs="Times New Roman"/>
                <w:spacing w:val="1"/>
                <w:szCs w:val="20"/>
              </w:rPr>
              <w:t>d</w:t>
            </w:r>
            <w:r>
              <w:rPr>
                <w:rFonts w:eastAsia="Times New Roman" w:cs="Times New Roman"/>
                <w:szCs w:val="20"/>
              </w:rPr>
              <w:t>ło</w:t>
            </w:r>
            <w:r>
              <w:rPr>
                <w:rFonts w:eastAsia="Times New Roman" w:cs="Times New Roman"/>
                <w:spacing w:val="-6"/>
                <w:szCs w:val="20"/>
              </w:rPr>
              <w:t xml:space="preserve"> </w:t>
            </w:r>
            <w:r>
              <w:rPr>
                <w:rFonts w:eastAsia="Times New Roman" w:cs="Times New Roman"/>
                <w:szCs w:val="20"/>
              </w:rPr>
              <w:t>Vialit</w:t>
            </w:r>
          </w:p>
          <w:p w:rsidR="00B77F00" w:rsidRDefault="00865FA3">
            <w:pPr>
              <w:pStyle w:val="Standard"/>
              <w:rPr>
                <w:szCs w:val="20"/>
              </w:rPr>
            </w:pPr>
            <w:r>
              <w:rPr>
                <w:rFonts w:eastAsia="Times New Roman" w:cs="Times New Roman"/>
                <w:spacing w:val="3"/>
                <w:szCs w:val="20"/>
              </w:rPr>
              <w:t>(</w:t>
            </w:r>
            <w:r>
              <w:rPr>
                <w:rFonts w:eastAsia="Times New Roman" w:cs="Times New Roman"/>
                <w:spacing w:val="-4"/>
                <w:szCs w:val="20"/>
              </w:rPr>
              <w:t>m</w:t>
            </w:r>
            <w:r>
              <w:rPr>
                <w:rFonts w:eastAsia="Times New Roman" w:cs="Times New Roman"/>
                <w:szCs w:val="20"/>
              </w:rPr>
              <w:t>et</w:t>
            </w:r>
            <w:r>
              <w:rPr>
                <w:rFonts w:eastAsia="Times New Roman" w:cs="Times New Roman"/>
                <w:spacing w:val="1"/>
                <w:szCs w:val="20"/>
              </w:rPr>
              <w:t>od</w:t>
            </w:r>
            <w:r>
              <w:rPr>
                <w:rFonts w:eastAsia="Times New Roman" w:cs="Times New Roman"/>
                <w:szCs w:val="20"/>
              </w:rPr>
              <w:t xml:space="preserve">a </w:t>
            </w:r>
            <w:r>
              <w:rPr>
                <w:rFonts w:eastAsia="Times New Roman" w:cs="Times New Roman"/>
                <w:spacing w:val="-1"/>
                <w:szCs w:val="20"/>
              </w:rPr>
              <w:t>u</w:t>
            </w:r>
            <w:r>
              <w:rPr>
                <w:rFonts w:eastAsia="Times New Roman" w:cs="Times New Roman"/>
                <w:spacing w:val="1"/>
                <w:szCs w:val="20"/>
              </w:rPr>
              <w:t>d</w:t>
            </w:r>
            <w:r>
              <w:rPr>
                <w:rFonts w:eastAsia="Times New Roman" w:cs="Times New Roman"/>
                <w:szCs w:val="20"/>
              </w:rPr>
              <w:t>e</w:t>
            </w:r>
            <w:r>
              <w:rPr>
                <w:rFonts w:eastAsia="Times New Roman" w:cs="Times New Roman"/>
                <w:spacing w:val="1"/>
                <w:szCs w:val="20"/>
              </w:rPr>
              <w:t>r</w:t>
            </w:r>
            <w:r>
              <w:rPr>
                <w:rFonts w:eastAsia="Times New Roman" w:cs="Times New Roman"/>
                <w:szCs w:val="20"/>
              </w:rPr>
              <w:t>z</w:t>
            </w:r>
            <w:r>
              <w:rPr>
                <w:rFonts w:eastAsia="Times New Roman" w:cs="Times New Roman"/>
                <w:spacing w:val="1"/>
                <w:szCs w:val="20"/>
              </w:rPr>
              <w:t>e</w:t>
            </w:r>
            <w:r>
              <w:rPr>
                <w:rFonts w:eastAsia="Times New Roman" w:cs="Times New Roman"/>
                <w:spacing w:val="-1"/>
                <w:szCs w:val="20"/>
              </w:rPr>
              <w:t>n</w:t>
            </w:r>
            <w:r>
              <w:rPr>
                <w:rFonts w:eastAsia="Times New Roman" w:cs="Times New Roman"/>
                <w:szCs w:val="20"/>
              </w:rPr>
              <w:t>ia)</w:t>
            </w:r>
          </w:p>
        </w:tc>
        <w:tc>
          <w:tcPr>
            <w:tcW w:w="1969"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2"/>
                <w:szCs w:val="20"/>
              </w:rPr>
              <w:t>P</w:t>
            </w:r>
            <w:r>
              <w:rPr>
                <w:rFonts w:eastAsia="Times New Roman" w:cs="Times New Roman"/>
                <w:szCs w:val="20"/>
              </w:rPr>
              <w:t>N</w:t>
            </w:r>
            <w:r>
              <w:rPr>
                <w:rFonts w:eastAsia="Times New Roman" w:cs="Times New Roman"/>
                <w:spacing w:val="-2"/>
                <w:szCs w:val="20"/>
              </w:rPr>
              <w:t>-</w:t>
            </w:r>
            <w:r>
              <w:rPr>
                <w:rFonts w:eastAsia="Times New Roman" w:cs="Times New Roman"/>
                <w:szCs w:val="20"/>
              </w:rPr>
              <w:t>EN</w:t>
            </w:r>
            <w:r>
              <w:rPr>
                <w:rFonts w:eastAsia="Times New Roman" w:cs="Times New Roman"/>
                <w:spacing w:val="-6"/>
                <w:szCs w:val="20"/>
              </w:rPr>
              <w:t xml:space="preserve"> </w:t>
            </w:r>
            <w:r>
              <w:rPr>
                <w:rFonts w:eastAsia="Times New Roman" w:cs="Times New Roman"/>
                <w:spacing w:val="1"/>
                <w:szCs w:val="20"/>
              </w:rPr>
              <w:t>1358</w:t>
            </w:r>
            <w:r>
              <w:rPr>
                <w:rFonts w:eastAsia="Times New Roman" w:cs="Times New Roman"/>
                <w:szCs w:val="20"/>
              </w:rPr>
              <w:t>8</w:t>
            </w:r>
          </w:p>
        </w:tc>
        <w:tc>
          <w:tcPr>
            <w:tcW w:w="1297"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2"/>
                <w:szCs w:val="20"/>
              </w:rPr>
              <w:t>J</w:t>
            </w:r>
            <w:r>
              <w:rPr>
                <w:rFonts w:eastAsia="Times New Roman" w:cs="Times New Roman"/>
                <w:szCs w:val="20"/>
              </w:rPr>
              <w:t>/c</w:t>
            </w:r>
            <w:r>
              <w:rPr>
                <w:rFonts w:eastAsia="Times New Roman" w:cs="Times New Roman"/>
                <w:spacing w:val="-3"/>
                <w:szCs w:val="20"/>
              </w:rPr>
              <w:t>m</w:t>
            </w:r>
            <w:r>
              <w:rPr>
                <w:rFonts w:eastAsia="Times New Roman" w:cs="Times New Roman"/>
                <w:position w:val="14"/>
                <w:szCs w:val="20"/>
              </w:rPr>
              <w:t>2</w:t>
            </w:r>
          </w:p>
        </w:tc>
        <w:tc>
          <w:tcPr>
            <w:tcW w:w="1728"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w w:val="99"/>
                <w:szCs w:val="20"/>
              </w:rPr>
              <w:t>N</w:t>
            </w:r>
            <w:r>
              <w:rPr>
                <w:rFonts w:eastAsia="Times New Roman" w:cs="Times New Roman"/>
                <w:spacing w:val="2"/>
                <w:w w:val="99"/>
                <w:szCs w:val="20"/>
              </w:rPr>
              <w:t>P</w:t>
            </w:r>
            <w:r>
              <w:rPr>
                <w:rFonts w:eastAsia="Times New Roman" w:cs="Times New Roman"/>
                <w:w w:val="99"/>
                <w:szCs w:val="20"/>
              </w:rPr>
              <w:t>D</w:t>
            </w:r>
            <w:r>
              <w:rPr>
                <w:rFonts w:eastAsia="Times New Roman" w:cs="Times New Roman"/>
                <w:w w:val="99"/>
                <w:position w:val="14"/>
                <w:szCs w:val="20"/>
              </w:rPr>
              <w:t>a</w:t>
            </w:r>
          </w:p>
        </w:tc>
        <w:tc>
          <w:tcPr>
            <w:tcW w:w="129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w w:val="99"/>
                <w:szCs w:val="20"/>
              </w:rPr>
            </w:pPr>
            <w:r>
              <w:rPr>
                <w:rFonts w:eastAsia="Times New Roman" w:cs="Times New Roman"/>
                <w:w w:val="99"/>
                <w:szCs w:val="20"/>
              </w:rPr>
              <w:t>0</w:t>
            </w:r>
          </w:p>
        </w:tc>
      </w:tr>
      <w:tr w:rsidR="00B77F00">
        <w:tblPrEx>
          <w:tblCellMar>
            <w:top w:w="0" w:type="dxa"/>
            <w:bottom w:w="0" w:type="dxa"/>
          </w:tblCellMar>
        </w:tblPrEx>
        <w:trPr>
          <w:cantSplit/>
        </w:trPr>
        <w:tc>
          <w:tcPr>
            <w:tcW w:w="1695" w:type="dxa"/>
            <w:vMerge w:val="restart"/>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Stał</w:t>
            </w:r>
            <w:r>
              <w:rPr>
                <w:rFonts w:eastAsia="Times New Roman" w:cs="Times New Roman"/>
                <w:spacing w:val="1"/>
                <w:szCs w:val="20"/>
              </w:rPr>
              <w:t>o</w:t>
            </w:r>
            <w:r>
              <w:rPr>
                <w:rFonts w:eastAsia="Times New Roman" w:cs="Times New Roman"/>
                <w:spacing w:val="-1"/>
                <w:szCs w:val="20"/>
              </w:rPr>
              <w:t>ś</w:t>
            </w:r>
            <w:r>
              <w:rPr>
                <w:rFonts w:eastAsia="Times New Roman" w:cs="Times New Roman"/>
                <w:szCs w:val="20"/>
              </w:rPr>
              <w:t>ć</w:t>
            </w:r>
          </w:p>
          <w:p w:rsidR="00B77F00" w:rsidRDefault="00865FA3">
            <w:pPr>
              <w:pStyle w:val="Standard"/>
              <w:rPr>
                <w:szCs w:val="20"/>
              </w:rPr>
            </w:pPr>
            <w:r>
              <w:rPr>
                <w:rFonts w:eastAsia="Times New Roman" w:cs="Times New Roman"/>
                <w:spacing w:val="-1"/>
                <w:szCs w:val="20"/>
              </w:rPr>
              <w:t>k</w:t>
            </w:r>
            <w:r>
              <w:rPr>
                <w:rFonts w:eastAsia="Times New Roman" w:cs="Times New Roman"/>
                <w:spacing w:val="1"/>
                <w:szCs w:val="20"/>
              </w:rPr>
              <w:t>o</w:t>
            </w:r>
            <w:r>
              <w:rPr>
                <w:rFonts w:eastAsia="Times New Roman" w:cs="Times New Roman"/>
                <w:spacing w:val="-1"/>
                <w:szCs w:val="20"/>
              </w:rPr>
              <w:t>n</w:t>
            </w:r>
            <w:r>
              <w:rPr>
                <w:rFonts w:eastAsia="Times New Roman" w:cs="Times New Roman"/>
                <w:spacing w:val="2"/>
                <w:szCs w:val="20"/>
              </w:rPr>
              <w:t>s</w:t>
            </w:r>
            <w:r>
              <w:rPr>
                <w:rFonts w:eastAsia="Times New Roman" w:cs="Times New Roman"/>
                <w:spacing w:val="-1"/>
                <w:szCs w:val="20"/>
              </w:rPr>
              <w:t>y</w:t>
            </w:r>
            <w:r>
              <w:rPr>
                <w:rFonts w:eastAsia="Times New Roman" w:cs="Times New Roman"/>
                <w:spacing w:val="2"/>
                <w:szCs w:val="20"/>
              </w:rPr>
              <w:t>s</w:t>
            </w:r>
            <w:r>
              <w:rPr>
                <w:rFonts w:eastAsia="Times New Roman" w:cs="Times New Roman"/>
                <w:szCs w:val="20"/>
              </w:rPr>
              <w:t>te</w:t>
            </w:r>
            <w:r>
              <w:rPr>
                <w:rFonts w:eastAsia="Times New Roman" w:cs="Times New Roman"/>
                <w:spacing w:val="-1"/>
                <w:szCs w:val="20"/>
              </w:rPr>
              <w:t>n</w:t>
            </w:r>
            <w:r>
              <w:rPr>
                <w:rFonts w:eastAsia="Times New Roman" w:cs="Times New Roman"/>
                <w:szCs w:val="20"/>
              </w:rPr>
              <w:t>c</w:t>
            </w:r>
            <w:r>
              <w:rPr>
                <w:rFonts w:eastAsia="Times New Roman" w:cs="Times New Roman"/>
                <w:spacing w:val="2"/>
                <w:szCs w:val="20"/>
              </w:rPr>
              <w:t>j</w:t>
            </w:r>
            <w:r>
              <w:rPr>
                <w:rFonts w:eastAsia="Times New Roman" w:cs="Times New Roman"/>
                <w:szCs w:val="20"/>
              </w:rPr>
              <w:t xml:space="preserve">i </w:t>
            </w:r>
            <w:r>
              <w:rPr>
                <w:rFonts w:eastAsia="Times New Roman" w:cs="Times New Roman"/>
                <w:spacing w:val="1"/>
                <w:szCs w:val="20"/>
              </w:rPr>
              <w:t>(</w:t>
            </w:r>
            <w:r>
              <w:rPr>
                <w:rFonts w:eastAsia="Times New Roman" w:cs="Times New Roman"/>
                <w:szCs w:val="20"/>
              </w:rPr>
              <w:t>O</w:t>
            </w:r>
            <w:r>
              <w:rPr>
                <w:rFonts w:eastAsia="Times New Roman" w:cs="Times New Roman"/>
                <w:spacing w:val="1"/>
                <w:szCs w:val="20"/>
              </w:rPr>
              <w:t>dpor</w:t>
            </w:r>
            <w:r>
              <w:rPr>
                <w:rFonts w:eastAsia="Times New Roman" w:cs="Times New Roman"/>
                <w:spacing w:val="-1"/>
                <w:szCs w:val="20"/>
              </w:rPr>
              <w:t>n</w:t>
            </w:r>
            <w:r>
              <w:rPr>
                <w:rFonts w:eastAsia="Times New Roman" w:cs="Times New Roman"/>
                <w:spacing w:val="1"/>
                <w:szCs w:val="20"/>
              </w:rPr>
              <w:t>o</w:t>
            </w:r>
            <w:r>
              <w:rPr>
                <w:rFonts w:eastAsia="Times New Roman" w:cs="Times New Roman"/>
                <w:spacing w:val="-1"/>
                <w:szCs w:val="20"/>
              </w:rPr>
              <w:t>ś</w:t>
            </w:r>
            <w:r>
              <w:rPr>
                <w:rFonts w:eastAsia="Times New Roman" w:cs="Times New Roman"/>
                <w:szCs w:val="20"/>
              </w:rPr>
              <w:t>ć</w:t>
            </w:r>
            <w:r>
              <w:rPr>
                <w:rFonts w:eastAsia="Times New Roman" w:cs="Times New Roman"/>
                <w:spacing w:val="-8"/>
                <w:szCs w:val="20"/>
              </w:rPr>
              <w:t xml:space="preserve"> </w:t>
            </w:r>
            <w:r>
              <w:rPr>
                <w:rFonts w:eastAsia="Times New Roman" w:cs="Times New Roman"/>
                <w:spacing w:val="-1"/>
                <w:szCs w:val="20"/>
              </w:rPr>
              <w:t>n</w:t>
            </w:r>
            <w:r>
              <w:rPr>
                <w:rFonts w:eastAsia="Times New Roman" w:cs="Times New Roman"/>
                <w:szCs w:val="20"/>
              </w:rPr>
              <w:t xml:space="preserve">a </w:t>
            </w:r>
            <w:r>
              <w:rPr>
                <w:rFonts w:eastAsia="Times New Roman" w:cs="Times New Roman"/>
                <w:spacing w:val="-1"/>
                <w:szCs w:val="20"/>
              </w:rPr>
              <w:t>s</w:t>
            </w:r>
            <w:r>
              <w:rPr>
                <w:rFonts w:eastAsia="Times New Roman" w:cs="Times New Roman"/>
                <w:szCs w:val="20"/>
              </w:rPr>
              <w:t>ta</w:t>
            </w:r>
            <w:r>
              <w:rPr>
                <w:rFonts w:eastAsia="Times New Roman" w:cs="Times New Roman"/>
                <w:spacing w:val="1"/>
                <w:szCs w:val="20"/>
              </w:rPr>
              <w:t>r</w:t>
            </w:r>
            <w:r>
              <w:rPr>
                <w:rFonts w:eastAsia="Times New Roman" w:cs="Times New Roman"/>
                <w:szCs w:val="20"/>
              </w:rPr>
              <w:t>z</w:t>
            </w:r>
            <w:r>
              <w:rPr>
                <w:rFonts w:eastAsia="Times New Roman" w:cs="Times New Roman"/>
                <w:spacing w:val="1"/>
                <w:szCs w:val="20"/>
              </w:rPr>
              <w:t>e</w:t>
            </w:r>
            <w:r>
              <w:rPr>
                <w:rFonts w:eastAsia="Times New Roman" w:cs="Times New Roman"/>
                <w:spacing w:val="-1"/>
                <w:szCs w:val="20"/>
              </w:rPr>
              <w:t>n</w:t>
            </w:r>
            <w:r>
              <w:rPr>
                <w:rFonts w:eastAsia="Times New Roman" w:cs="Times New Roman"/>
                <w:szCs w:val="20"/>
              </w:rPr>
              <w:t>ie)</w:t>
            </w:r>
            <w:r>
              <w:rPr>
                <w:rFonts w:eastAsia="Times New Roman" w:cs="Times New Roman"/>
                <w:spacing w:val="-5"/>
                <w:szCs w:val="20"/>
              </w:rPr>
              <w:t xml:space="preserve"> </w:t>
            </w:r>
            <w:r>
              <w:rPr>
                <w:rFonts w:eastAsia="Times New Roman" w:cs="Times New Roman"/>
                <w:spacing w:val="-2"/>
                <w:szCs w:val="20"/>
              </w:rPr>
              <w:t>w</w:t>
            </w:r>
            <w:r>
              <w:rPr>
                <w:rFonts w:eastAsia="Times New Roman" w:cs="Times New Roman"/>
                <w:szCs w:val="20"/>
              </w:rPr>
              <w:t>g</w:t>
            </w:r>
            <w:r>
              <w:rPr>
                <w:rFonts w:eastAsia="Times New Roman" w:cs="Times New Roman"/>
                <w:spacing w:val="-3"/>
                <w:szCs w:val="20"/>
              </w:rPr>
              <w:t xml:space="preserve"> </w:t>
            </w:r>
            <w:r>
              <w:rPr>
                <w:rFonts w:eastAsia="Times New Roman" w:cs="Times New Roman"/>
                <w:spacing w:val="2"/>
                <w:szCs w:val="20"/>
              </w:rPr>
              <w:t>P</w:t>
            </w:r>
            <w:r>
              <w:rPr>
                <w:rFonts w:eastAsia="Times New Roman" w:cs="Times New Roman"/>
                <w:spacing w:val="4"/>
                <w:szCs w:val="20"/>
              </w:rPr>
              <w:t>N</w:t>
            </w:r>
            <w:r>
              <w:rPr>
                <w:rFonts w:eastAsia="Times New Roman" w:cs="Times New Roman"/>
                <w:szCs w:val="20"/>
              </w:rPr>
              <w:t>- EN</w:t>
            </w:r>
            <w:r>
              <w:rPr>
                <w:rFonts w:eastAsia="Times New Roman" w:cs="Times New Roman"/>
                <w:spacing w:val="-3"/>
                <w:szCs w:val="20"/>
              </w:rPr>
              <w:t xml:space="preserve"> </w:t>
            </w:r>
            <w:r>
              <w:rPr>
                <w:rFonts w:eastAsia="Times New Roman" w:cs="Times New Roman"/>
                <w:spacing w:val="1"/>
                <w:szCs w:val="20"/>
              </w:rPr>
              <w:t>126</w:t>
            </w:r>
            <w:r>
              <w:rPr>
                <w:rFonts w:eastAsia="Times New Roman" w:cs="Times New Roman"/>
                <w:spacing w:val="-1"/>
                <w:szCs w:val="20"/>
              </w:rPr>
              <w:t>0</w:t>
            </w:r>
            <w:r>
              <w:rPr>
                <w:rFonts w:eastAsia="Times New Roman" w:cs="Times New Roman"/>
                <w:spacing w:val="2"/>
                <w:szCs w:val="20"/>
              </w:rPr>
              <w:t>7</w:t>
            </w:r>
            <w:r>
              <w:rPr>
                <w:rFonts w:eastAsia="Times New Roman" w:cs="Times New Roman"/>
                <w:spacing w:val="-2"/>
                <w:szCs w:val="20"/>
              </w:rPr>
              <w:t>-</w:t>
            </w:r>
            <w:r>
              <w:rPr>
                <w:rFonts w:eastAsia="Times New Roman" w:cs="Times New Roman"/>
                <w:szCs w:val="20"/>
              </w:rPr>
              <w:t>1</w:t>
            </w:r>
          </w:p>
          <w:p w:rsidR="00B77F00" w:rsidRDefault="00865FA3">
            <w:pPr>
              <w:pStyle w:val="Standard"/>
              <w:rPr>
                <w:szCs w:val="20"/>
              </w:rPr>
            </w:pPr>
            <w:r>
              <w:rPr>
                <w:rFonts w:eastAsia="Times New Roman" w:cs="Times New Roman"/>
                <w:szCs w:val="20"/>
              </w:rPr>
              <w:t>l</w:t>
            </w:r>
            <w:r>
              <w:rPr>
                <w:rFonts w:eastAsia="Times New Roman" w:cs="Times New Roman"/>
                <w:spacing w:val="-1"/>
                <w:szCs w:val="20"/>
              </w:rPr>
              <w:t>u</w:t>
            </w:r>
            <w:r>
              <w:rPr>
                <w:rFonts w:eastAsia="Times New Roman" w:cs="Times New Roman"/>
                <w:szCs w:val="20"/>
              </w:rPr>
              <w:t>b</w:t>
            </w:r>
            <w:r>
              <w:rPr>
                <w:rFonts w:eastAsia="Times New Roman" w:cs="Times New Roman"/>
                <w:spacing w:val="-1"/>
                <w:szCs w:val="20"/>
              </w:rPr>
              <w:t xml:space="preserve"> </w:t>
            </w:r>
            <w:r>
              <w:rPr>
                <w:rFonts w:eastAsia="Times New Roman" w:cs="Times New Roman"/>
                <w:spacing w:val="-2"/>
                <w:szCs w:val="20"/>
              </w:rPr>
              <w:t>-</w:t>
            </w:r>
            <w:r>
              <w:rPr>
                <w:rFonts w:eastAsia="Times New Roman" w:cs="Times New Roman"/>
                <w:szCs w:val="20"/>
              </w:rPr>
              <w:t>3</w:t>
            </w:r>
          </w:p>
        </w:tc>
        <w:tc>
          <w:tcPr>
            <w:tcW w:w="1654"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Z</w:t>
            </w:r>
            <w:r>
              <w:rPr>
                <w:rFonts w:eastAsia="Times New Roman" w:cs="Times New Roman"/>
                <w:spacing w:val="-1"/>
                <w:szCs w:val="20"/>
              </w:rPr>
              <w:t>m</w:t>
            </w:r>
            <w:r>
              <w:rPr>
                <w:rFonts w:eastAsia="Times New Roman" w:cs="Times New Roman"/>
                <w:szCs w:val="20"/>
              </w:rPr>
              <w:t>i</w:t>
            </w:r>
            <w:r>
              <w:rPr>
                <w:rFonts w:eastAsia="Times New Roman" w:cs="Times New Roman"/>
                <w:spacing w:val="2"/>
                <w:szCs w:val="20"/>
              </w:rPr>
              <w:t>a</w:t>
            </w:r>
            <w:r>
              <w:rPr>
                <w:rFonts w:eastAsia="Times New Roman" w:cs="Times New Roman"/>
                <w:spacing w:val="-1"/>
                <w:szCs w:val="20"/>
              </w:rPr>
              <w:t>n</w:t>
            </w:r>
            <w:r>
              <w:rPr>
                <w:rFonts w:eastAsia="Times New Roman" w:cs="Times New Roman"/>
                <w:szCs w:val="20"/>
              </w:rPr>
              <w:t>a</w:t>
            </w:r>
            <w:r>
              <w:rPr>
                <w:rFonts w:eastAsia="Times New Roman" w:cs="Times New Roman"/>
                <w:spacing w:val="-3"/>
                <w:szCs w:val="20"/>
              </w:rPr>
              <w:t xml:space="preserve"> </w:t>
            </w:r>
            <w:r>
              <w:rPr>
                <w:rFonts w:eastAsia="Times New Roman" w:cs="Times New Roman"/>
                <w:spacing w:val="-4"/>
                <w:szCs w:val="20"/>
              </w:rPr>
              <w:t>m</w:t>
            </w:r>
            <w:r>
              <w:rPr>
                <w:rFonts w:eastAsia="Times New Roman" w:cs="Times New Roman"/>
                <w:spacing w:val="3"/>
                <w:szCs w:val="20"/>
              </w:rPr>
              <w:t>a</w:t>
            </w:r>
            <w:r>
              <w:rPr>
                <w:rFonts w:eastAsia="Times New Roman" w:cs="Times New Roman"/>
                <w:spacing w:val="2"/>
                <w:szCs w:val="20"/>
              </w:rPr>
              <w:t>s</w:t>
            </w:r>
            <w:r>
              <w:rPr>
                <w:rFonts w:eastAsia="Times New Roman" w:cs="Times New Roman"/>
                <w:szCs w:val="20"/>
              </w:rPr>
              <w:t>y</w:t>
            </w:r>
          </w:p>
        </w:tc>
        <w:tc>
          <w:tcPr>
            <w:tcW w:w="1969"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B77F00">
            <w:pPr>
              <w:pStyle w:val="Standard"/>
              <w:rPr>
                <w:szCs w:val="20"/>
              </w:rPr>
            </w:pPr>
          </w:p>
        </w:tc>
        <w:tc>
          <w:tcPr>
            <w:tcW w:w="1297"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w w:val="99"/>
                <w:szCs w:val="20"/>
              </w:rPr>
            </w:pPr>
            <w:r>
              <w:rPr>
                <w:rFonts w:eastAsia="Times New Roman" w:cs="Times New Roman"/>
                <w:w w:val="99"/>
                <w:szCs w:val="20"/>
              </w:rPr>
              <w:t>%</w:t>
            </w:r>
          </w:p>
        </w:tc>
        <w:tc>
          <w:tcPr>
            <w:tcW w:w="1728"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 xml:space="preserve">≥ </w:t>
            </w:r>
            <w:r>
              <w:rPr>
                <w:rFonts w:eastAsia="Times New Roman" w:cs="Times New Roman"/>
                <w:spacing w:val="1"/>
                <w:w w:val="99"/>
                <w:szCs w:val="20"/>
              </w:rPr>
              <w:t>0</w:t>
            </w:r>
            <w:r>
              <w:rPr>
                <w:rFonts w:eastAsia="Times New Roman" w:cs="Times New Roman"/>
                <w:w w:val="99"/>
                <w:szCs w:val="20"/>
              </w:rPr>
              <w:t>,5</w:t>
            </w:r>
          </w:p>
        </w:tc>
        <w:tc>
          <w:tcPr>
            <w:tcW w:w="129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w w:val="99"/>
                <w:szCs w:val="20"/>
              </w:rPr>
            </w:pPr>
            <w:r>
              <w:rPr>
                <w:rFonts w:eastAsia="Times New Roman" w:cs="Times New Roman"/>
                <w:w w:val="99"/>
                <w:szCs w:val="20"/>
              </w:rPr>
              <w:t>3</w:t>
            </w:r>
          </w:p>
        </w:tc>
      </w:tr>
      <w:tr w:rsidR="00B77F00">
        <w:tblPrEx>
          <w:tblCellMar>
            <w:top w:w="0" w:type="dxa"/>
            <w:bottom w:w="0" w:type="dxa"/>
          </w:tblCellMar>
        </w:tblPrEx>
        <w:trPr>
          <w:cantSplit/>
        </w:trPr>
        <w:tc>
          <w:tcPr>
            <w:tcW w:w="1695" w:type="dxa"/>
            <w:vMerge/>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000000" w:rsidRDefault="00865FA3"/>
        </w:tc>
        <w:tc>
          <w:tcPr>
            <w:tcW w:w="1654"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2"/>
                <w:szCs w:val="20"/>
              </w:rPr>
              <w:t>P</w:t>
            </w:r>
            <w:r>
              <w:rPr>
                <w:rFonts w:eastAsia="Times New Roman" w:cs="Times New Roman"/>
                <w:spacing w:val="1"/>
                <w:szCs w:val="20"/>
              </w:rPr>
              <w:t>o</w:t>
            </w:r>
            <w:r>
              <w:rPr>
                <w:rFonts w:eastAsia="Times New Roman" w:cs="Times New Roman"/>
                <w:szCs w:val="20"/>
              </w:rPr>
              <w:t>z</w:t>
            </w:r>
            <w:r>
              <w:rPr>
                <w:rFonts w:eastAsia="Times New Roman" w:cs="Times New Roman"/>
                <w:spacing w:val="1"/>
                <w:szCs w:val="20"/>
              </w:rPr>
              <w:t>o</w:t>
            </w:r>
            <w:r>
              <w:rPr>
                <w:rFonts w:eastAsia="Times New Roman" w:cs="Times New Roman"/>
                <w:spacing w:val="-1"/>
                <w:szCs w:val="20"/>
              </w:rPr>
              <w:t>s</w:t>
            </w:r>
            <w:r>
              <w:rPr>
                <w:rFonts w:eastAsia="Times New Roman" w:cs="Times New Roman"/>
                <w:szCs w:val="20"/>
              </w:rPr>
              <w:t>tała</w:t>
            </w:r>
          </w:p>
          <w:p w:rsidR="00B77F00" w:rsidRDefault="00865FA3">
            <w:pPr>
              <w:pStyle w:val="Standard"/>
              <w:rPr>
                <w:szCs w:val="20"/>
              </w:rPr>
            </w:pPr>
            <w:r>
              <w:rPr>
                <w:rFonts w:eastAsia="Times New Roman" w:cs="Times New Roman"/>
                <w:spacing w:val="1"/>
                <w:szCs w:val="20"/>
              </w:rPr>
              <w:t>p</w:t>
            </w:r>
            <w:r>
              <w:rPr>
                <w:rFonts w:eastAsia="Times New Roman" w:cs="Times New Roman"/>
                <w:szCs w:val="20"/>
              </w:rPr>
              <w:t>e</w:t>
            </w:r>
            <w:r>
              <w:rPr>
                <w:rFonts w:eastAsia="Times New Roman" w:cs="Times New Roman"/>
                <w:spacing w:val="-1"/>
                <w:szCs w:val="20"/>
              </w:rPr>
              <w:t>n</w:t>
            </w:r>
            <w:r>
              <w:rPr>
                <w:rFonts w:eastAsia="Times New Roman" w:cs="Times New Roman"/>
                <w:szCs w:val="20"/>
              </w:rPr>
              <w:t>et</w:t>
            </w:r>
            <w:r>
              <w:rPr>
                <w:rFonts w:eastAsia="Times New Roman" w:cs="Times New Roman"/>
                <w:spacing w:val="1"/>
                <w:szCs w:val="20"/>
              </w:rPr>
              <w:t>r</w:t>
            </w:r>
            <w:r>
              <w:rPr>
                <w:rFonts w:eastAsia="Times New Roman" w:cs="Times New Roman"/>
                <w:szCs w:val="20"/>
              </w:rPr>
              <w:t>a</w:t>
            </w:r>
            <w:r>
              <w:rPr>
                <w:rFonts w:eastAsia="Times New Roman" w:cs="Times New Roman"/>
                <w:spacing w:val="1"/>
                <w:szCs w:val="20"/>
              </w:rPr>
              <w:t>c</w:t>
            </w:r>
            <w:r>
              <w:rPr>
                <w:rFonts w:eastAsia="Times New Roman" w:cs="Times New Roman"/>
                <w:spacing w:val="2"/>
                <w:szCs w:val="20"/>
              </w:rPr>
              <w:t>j</w:t>
            </w:r>
            <w:r>
              <w:rPr>
                <w:rFonts w:eastAsia="Times New Roman" w:cs="Times New Roman"/>
                <w:szCs w:val="20"/>
              </w:rPr>
              <w:t>a</w:t>
            </w:r>
          </w:p>
        </w:tc>
        <w:tc>
          <w:tcPr>
            <w:tcW w:w="1969"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2"/>
                <w:szCs w:val="20"/>
              </w:rPr>
              <w:t>P</w:t>
            </w:r>
            <w:r>
              <w:rPr>
                <w:rFonts w:eastAsia="Times New Roman" w:cs="Times New Roman"/>
                <w:szCs w:val="20"/>
              </w:rPr>
              <w:t>N</w:t>
            </w:r>
            <w:r>
              <w:rPr>
                <w:rFonts w:eastAsia="Times New Roman" w:cs="Times New Roman"/>
                <w:spacing w:val="-2"/>
                <w:szCs w:val="20"/>
              </w:rPr>
              <w:t>-</w:t>
            </w:r>
            <w:r>
              <w:rPr>
                <w:rFonts w:eastAsia="Times New Roman" w:cs="Times New Roman"/>
                <w:szCs w:val="20"/>
              </w:rPr>
              <w:t>EN</w:t>
            </w:r>
            <w:r>
              <w:rPr>
                <w:rFonts w:eastAsia="Times New Roman" w:cs="Times New Roman"/>
                <w:spacing w:val="-6"/>
                <w:szCs w:val="20"/>
              </w:rPr>
              <w:t xml:space="preserve"> </w:t>
            </w:r>
            <w:r>
              <w:rPr>
                <w:rFonts w:eastAsia="Times New Roman" w:cs="Times New Roman"/>
                <w:spacing w:val="1"/>
                <w:szCs w:val="20"/>
              </w:rPr>
              <w:t>142</w:t>
            </w:r>
            <w:r>
              <w:rPr>
                <w:rFonts w:eastAsia="Times New Roman" w:cs="Times New Roman"/>
                <w:szCs w:val="20"/>
              </w:rPr>
              <w:t>6</w:t>
            </w:r>
          </w:p>
        </w:tc>
        <w:tc>
          <w:tcPr>
            <w:tcW w:w="1297"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w w:val="99"/>
                <w:szCs w:val="20"/>
              </w:rPr>
            </w:pPr>
            <w:r>
              <w:rPr>
                <w:rFonts w:eastAsia="Times New Roman" w:cs="Times New Roman"/>
                <w:w w:val="99"/>
                <w:szCs w:val="20"/>
              </w:rPr>
              <w:t>%</w:t>
            </w:r>
          </w:p>
        </w:tc>
        <w:tc>
          <w:tcPr>
            <w:tcW w:w="1728"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 xml:space="preserve">≥ </w:t>
            </w:r>
            <w:r>
              <w:rPr>
                <w:rFonts w:eastAsia="Times New Roman" w:cs="Times New Roman"/>
                <w:spacing w:val="1"/>
                <w:w w:val="99"/>
                <w:szCs w:val="20"/>
              </w:rPr>
              <w:t>4</w:t>
            </w:r>
            <w:r>
              <w:rPr>
                <w:rFonts w:eastAsia="Times New Roman" w:cs="Times New Roman"/>
                <w:w w:val="99"/>
                <w:szCs w:val="20"/>
              </w:rPr>
              <w:t>0</w:t>
            </w:r>
          </w:p>
        </w:tc>
        <w:tc>
          <w:tcPr>
            <w:tcW w:w="129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w w:val="99"/>
                <w:szCs w:val="20"/>
              </w:rPr>
            </w:pPr>
            <w:r>
              <w:rPr>
                <w:rFonts w:eastAsia="Times New Roman" w:cs="Times New Roman"/>
                <w:w w:val="99"/>
                <w:szCs w:val="20"/>
              </w:rPr>
              <w:t>3</w:t>
            </w:r>
          </w:p>
        </w:tc>
      </w:tr>
      <w:tr w:rsidR="00B77F00">
        <w:tblPrEx>
          <w:tblCellMar>
            <w:top w:w="0" w:type="dxa"/>
            <w:bottom w:w="0" w:type="dxa"/>
          </w:tblCellMar>
        </w:tblPrEx>
        <w:trPr>
          <w:cantSplit/>
        </w:trPr>
        <w:tc>
          <w:tcPr>
            <w:tcW w:w="1695" w:type="dxa"/>
            <w:vMerge/>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000000" w:rsidRDefault="00865FA3"/>
        </w:tc>
        <w:tc>
          <w:tcPr>
            <w:tcW w:w="1654"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1"/>
                <w:szCs w:val="20"/>
              </w:rPr>
              <w:t>W</w:t>
            </w:r>
            <w:r>
              <w:rPr>
                <w:rFonts w:eastAsia="Times New Roman" w:cs="Times New Roman"/>
                <w:szCs w:val="20"/>
              </w:rPr>
              <w:t>z</w:t>
            </w:r>
            <w:r>
              <w:rPr>
                <w:rFonts w:eastAsia="Times New Roman" w:cs="Times New Roman"/>
                <w:spacing w:val="1"/>
                <w:szCs w:val="20"/>
              </w:rPr>
              <w:t>ro</w:t>
            </w:r>
            <w:r>
              <w:rPr>
                <w:rFonts w:eastAsia="Times New Roman" w:cs="Times New Roman"/>
                <w:spacing w:val="-1"/>
                <w:szCs w:val="20"/>
              </w:rPr>
              <w:t>s</w:t>
            </w:r>
            <w:r>
              <w:rPr>
                <w:rFonts w:eastAsia="Times New Roman" w:cs="Times New Roman"/>
                <w:szCs w:val="20"/>
              </w:rPr>
              <w:t>t</w:t>
            </w:r>
          </w:p>
          <w:p w:rsidR="00B77F00" w:rsidRDefault="00865FA3">
            <w:pPr>
              <w:pStyle w:val="Standard"/>
              <w:rPr>
                <w:szCs w:val="20"/>
              </w:rPr>
            </w:pPr>
            <w:r>
              <w:rPr>
                <w:rFonts w:eastAsia="Times New Roman" w:cs="Times New Roman"/>
                <w:szCs w:val="20"/>
              </w:rPr>
              <w:t>t</w:t>
            </w:r>
            <w:r>
              <w:rPr>
                <w:rFonts w:eastAsia="Times New Roman" w:cs="Times New Roman"/>
                <w:spacing w:val="2"/>
                <w:szCs w:val="20"/>
              </w:rPr>
              <w:t>e</w:t>
            </w:r>
            <w:r>
              <w:rPr>
                <w:rFonts w:eastAsia="Times New Roman" w:cs="Times New Roman"/>
                <w:spacing w:val="-4"/>
                <w:szCs w:val="20"/>
              </w:rPr>
              <w:t>m</w:t>
            </w:r>
            <w:r>
              <w:rPr>
                <w:rFonts w:eastAsia="Times New Roman" w:cs="Times New Roman"/>
                <w:spacing w:val="1"/>
                <w:szCs w:val="20"/>
              </w:rPr>
              <w:t>p</w:t>
            </w:r>
            <w:r>
              <w:rPr>
                <w:rFonts w:eastAsia="Times New Roman" w:cs="Times New Roman"/>
                <w:szCs w:val="20"/>
              </w:rPr>
              <w:t>e</w:t>
            </w:r>
            <w:r>
              <w:rPr>
                <w:rFonts w:eastAsia="Times New Roman" w:cs="Times New Roman"/>
                <w:spacing w:val="1"/>
                <w:szCs w:val="20"/>
              </w:rPr>
              <w:t>r</w:t>
            </w:r>
            <w:r>
              <w:rPr>
                <w:rFonts w:eastAsia="Times New Roman" w:cs="Times New Roman"/>
                <w:szCs w:val="20"/>
              </w:rPr>
              <w:t>at</w:t>
            </w:r>
            <w:r>
              <w:rPr>
                <w:rFonts w:eastAsia="Times New Roman" w:cs="Times New Roman"/>
                <w:spacing w:val="-1"/>
                <w:szCs w:val="20"/>
              </w:rPr>
              <w:t>u</w:t>
            </w:r>
            <w:r>
              <w:rPr>
                <w:rFonts w:eastAsia="Times New Roman" w:cs="Times New Roman"/>
                <w:spacing w:val="3"/>
                <w:szCs w:val="20"/>
              </w:rPr>
              <w:t>r</w:t>
            </w:r>
            <w:r>
              <w:rPr>
                <w:rFonts w:eastAsia="Times New Roman" w:cs="Times New Roman"/>
                <w:szCs w:val="20"/>
              </w:rPr>
              <w:t>y</w:t>
            </w:r>
          </w:p>
          <w:p w:rsidR="00B77F00" w:rsidRDefault="00865FA3">
            <w:pPr>
              <w:pStyle w:val="Standard"/>
              <w:rPr>
                <w:szCs w:val="20"/>
              </w:rPr>
            </w:pPr>
            <w:r>
              <w:rPr>
                <w:rFonts w:eastAsia="Times New Roman" w:cs="Times New Roman"/>
                <w:spacing w:val="-1"/>
                <w:szCs w:val="20"/>
              </w:rPr>
              <w:t>m</w:t>
            </w:r>
            <w:r>
              <w:rPr>
                <w:rFonts w:eastAsia="Times New Roman" w:cs="Times New Roman"/>
                <w:szCs w:val="20"/>
              </w:rPr>
              <w:t>i</w:t>
            </w:r>
            <w:r>
              <w:rPr>
                <w:rFonts w:eastAsia="Times New Roman" w:cs="Times New Roman"/>
                <w:spacing w:val="2"/>
                <w:szCs w:val="20"/>
              </w:rPr>
              <w:t>ę</w:t>
            </w:r>
            <w:r>
              <w:rPr>
                <w:rFonts w:eastAsia="Times New Roman" w:cs="Times New Roman"/>
                <w:spacing w:val="-1"/>
                <w:szCs w:val="20"/>
              </w:rPr>
              <w:t>kn</w:t>
            </w:r>
            <w:r>
              <w:rPr>
                <w:rFonts w:eastAsia="Times New Roman" w:cs="Times New Roman"/>
                <w:szCs w:val="20"/>
              </w:rPr>
              <w:t>i</w:t>
            </w:r>
            <w:r>
              <w:rPr>
                <w:rFonts w:eastAsia="Times New Roman" w:cs="Times New Roman"/>
                <w:spacing w:val="2"/>
                <w:szCs w:val="20"/>
              </w:rPr>
              <w:t>e</w:t>
            </w:r>
            <w:r>
              <w:rPr>
                <w:rFonts w:eastAsia="Times New Roman" w:cs="Times New Roman"/>
                <w:spacing w:val="-1"/>
                <w:szCs w:val="20"/>
              </w:rPr>
              <w:t>n</w:t>
            </w:r>
            <w:r>
              <w:rPr>
                <w:rFonts w:eastAsia="Times New Roman" w:cs="Times New Roman"/>
                <w:szCs w:val="20"/>
              </w:rPr>
              <w:t>ia</w:t>
            </w:r>
          </w:p>
        </w:tc>
        <w:tc>
          <w:tcPr>
            <w:tcW w:w="1969"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2"/>
                <w:szCs w:val="20"/>
              </w:rPr>
              <w:t>P</w:t>
            </w:r>
            <w:r>
              <w:rPr>
                <w:rFonts w:eastAsia="Times New Roman" w:cs="Times New Roman"/>
                <w:szCs w:val="20"/>
              </w:rPr>
              <w:t>N</w:t>
            </w:r>
            <w:r>
              <w:rPr>
                <w:rFonts w:eastAsia="Times New Roman" w:cs="Times New Roman"/>
                <w:spacing w:val="-2"/>
                <w:szCs w:val="20"/>
              </w:rPr>
              <w:t>-</w:t>
            </w:r>
            <w:r>
              <w:rPr>
                <w:rFonts w:eastAsia="Times New Roman" w:cs="Times New Roman"/>
                <w:szCs w:val="20"/>
              </w:rPr>
              <w:t>EN</w:t>
            </w:r>
            <w:r>
              <w:rPr>
                <w:rFonts w:eastAsia="Times New Roman" w:cs="Times New Roman"/>
                <w:spacing w:val="-6"/>
                <w:szCs w:val="20"/>
              </w:rPr>
              <w:t xml:space="preserve"> </w:t>
            </w:r>
            <w:r>
              <w:rPr>
                <w:rFonts w:eastAsia="Times New Roman" w:cs="Times New Roman"/>
                <w:spacing w:val="1"/>
                <w:szCs w:val="20"/>
              </w:rPr>
              <w:t>142</w:t>
            </w:r>
            <w:r>
              <w:rPr>
                <w:rFonts w:eastAsia="Times New Roman" w:cs="Times New Roman"/>
                <w:szCs w:val="20"/>
              </w:rPr>
              <w:t>7</w:t>
            </w:r>
          </w:p>
        </w:tc>
        <w:tc>
          <w:tcPr>
            <w:tcW w:w="1297"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w w:val="99"/>
                <w:szCs w:val="20"/>
              </w:rPr>
            </w:pPr>
            <w:r>
              <w:rPr>
                <w:rFonts w:eastAsia="Times New Roman" w:cs="Times New Roman"/>
                <w:w w:val="99"/>
                <w:szCs w:val="20"/>
              </w:rPr>
              <w:t>°C</w:t>
            </w:r>
          </w:p>
        </w:tc>
        <w:tc>
          <w:tcPr>
            <w:tcW w:w="1728"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 xml:space="preserve">≤ </w:t>
            </w:r>
            <w:r>
              <w:rPr>
                <w:rFonts w:eastAsia="Times New Roman" w:cs="Times New Roman"/>
                <w:w w:val="99"/>
                <w:szCs w:val="20"/>
              </w:rPr>
              <w:t>8</w:t>
            </w:r>
          </w:p>
        </w:tc>
        <w:tc>
          <w:tcPr>
            <w:tcW w:w="129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w w:val="99"/>
                <w:szCs w:val="20"/>
              </w:rPr>
            </w:pPr>
            <w:r>
              <w:rPr>
                <w:rFonts w:eastAsia="Times New Roman" w:cs="Times New Roman"/>
                <w:w w:val="99"/>
                <w:szCs w:val="20"/>
              </w:rPr>
              <w:t>3</w:t>
            </w:r>
          </w:p>
        </w:tc>
      </w:tr>
      <w:tr w:rsidR="00B77F00">
        <w:tblPrEx>
          <w:tblCellMar>
            <w:top w:w="0" w:type="dxa"/>
            <w:bottom w:w="0" w:type="dxa"/>
          </w:tblCellMar>
        </w:tblPrEx>
        <w:trPr>
          <w:cantSplit/>
        </w:trPr>
        <w:tc>
          <w:tcPr>
            <w:tcW w:w="169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1"/>
                <w:szCs w:val="20"/>
              </w:rPr>
              <w:t>I</w:t>
            </w:r>
            <w:r>
              <w:rPr>
                <w:rFonts w:eastAsia="Times New Roman" w:cs="Times New Roman"/>
                <w:spacing w:val="-1"/>
                <w:szCs w:val="20"/>
              </w:rPr>
              <w:t>nn</w:t>
            </w:r>
            <w:r>
              <w:rPr>
                <w:rFonts w:eastAsia="Times New Roman" w:cs="Times New Roman"/>
                <w:szCs w:val="20"/>
              </w:rPr>
              <w:t>e</w:t>
            </w:r>
            <w:r>
              <w:rPr>
                <w:rFonts w:eastAsia="Times New Roman" w:cs="Times New Roman"/>
                <w:spacing w:val="-1"/>
                <w:szCs w:val="20"/>
              </w:rPr>
              <w:t xml:space="preserve"> </w:t>
            </w:r>
            <w:r>
              <w:rPr>
                <w:rFonts w:eastAsia="Times New Roman" w:cs="Times New Roman"/>
                <w:spacing w:val="-2"/>
                <w:szCs w:val="20"/>
              </w:rPr>
              <w:t>w</w:t>
            </w:r>
            <w:r>
              <w:rPr>
                <w:rFonts w:eastAsia="Times New Roman" w:cs="Times New Roman"/>
                <w:szCs w:val="20"/>
              </w:rPr>
              <w:t>ł</w:t>
            </w:r>
            <w:r>
              <w:rPr>
                <w:rFonts w:eastAsia="Times New Roman" w:cs="Times New Roman"/>
                <w:spacing w:val="2"/>
                <w:szCs w:val="20"/>
              </w:rPr>
              <w:t>a</w:t>
            </w:r>
            <w:r>
              <w:rPr>
                <w:rFonts w:eastAsia="Times New Roman" w:cs="Times New Roman"/>
                <w:spacing w:val="-1"/>
                <w:szCs w:val="20"/>
              </w:rPr>
              <w:t>ś</w:t>
            </w:r>
            <w:r>
              <w:rPr>
                <w:rFonts w:eastAsia="Times New Roman" w:cs="Times New Roman"/>
                <w:szCs w:val="20"/>
              </w:rPr>
              <w:t>c</w:t>
            </w:r>
            <w:r>
              <w:rPr>
                <w:rFonts w:eastAsia="Times New Roman" w:cs="Times New Roman"/>
                <w:spacing w:val="2"/>
                <w:szCs w:val="20"/>
              </w:rPr>
              <w:t>i</w:t>
            </w:r>
            <w:r>
              <w:rPr>
                <w:rFonts w:eastAsia="Times New Roman" w:cs="Times New Roman"/>
                <w:spacing w:val="-2"/>
                <w:szCs w:val="20"/>
              </w:rPr>
              <w:t>w</w:t>
            </w:r>
            <w:r>
              <w:rPr>
                <w:rFonts w:eastAsia="Times New Roman" w:cs="Times New Roman"/>
                <w:spacing w:val="1"/>
                <w:szCs w:val="20"/>
              </w:rPr>
              <w:t>o</w:t>
            </w:r>
            <w:r>
              <w:rPr>
                <w:rFonts w:eastAsia="Times New Roman" w:cs="Times New Roman"/>
                <w:spacing w:val="-1"/>
                <w:szCs w:val="20"/>
              </w:rPr>
              <w:t>ś</w:t>
            </w:r>
            <w:r>
              <w:rPr>
                <w:rFonts w:eastAsia="Times New Roman" w:cs="Times New Roman"/>
                <w:szCs w:val="20"/>
              </w:rPr>
              <w:t>ci</w:t>
            </w:r>
          </w:p>
        </w:tc>
        <w:tc>
          <w:tcPr>
            <w:tcW w:w="1654"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3"/>
                <w:szCs w:val="20"/>
              </w:rPr>
              <w:t>T</w:t>
            </w:r>
            <w:r>
              <w:rPr>
                <w:rFonts w:eastAsia="Times New Roman" w:cs="Times New Roman"/>
                <w:szCs w:val="20"/>
              </w:rPr>
              <w:t>e</w:t>
            </w:r>
            <w:r>
              <w:rPr>
                <w:rFonts w:eastAsia="Times New Roman" w:cs="Times New Roman"/>
                <w:spacing w:val="-3"/>
                <w:szCs w:val="20"/>
              </w:rPr>
              <w:t>m</w:t>
            </w:r>
            <w:r>
              <w:rPr>
                <w:rFonts w:eastAsia="Times New Roman" w:cs="Times New Roman"/>
                <w:spacing w:val="1"/>
                <w:szCs w:val="20"/>
              </w:rPr>
              <w:t>p</w:t>
            </w:r>
            <w:r>
              <w:rPr>
                <w:rFonts w:eastAsia="Times New Roman" w:cs="Times New Roman"/>
                <w:szCs w:val="20"/>
              </w:rPr>
              <w:t>e</w:t>
            </w:r>
            <w:r>
              <w:rPr>
                <w:rFonts w:eastAsia="Times New Roman" w:cs="Times New Roman"/>
                <w:spacing w:val="1"/>
                <w:szCs w:val="20"/>
              </w:rPr>
              <w:t>r</w:t>
            </w:r>
            <w:r>
              <w:rPr>
                <w:rFonts w:eastAsia="Times New Roman" w:cs="Times New Roman"/>
                <w:szCs w:val="20"/>
              </w:rPr>
              <w:t>at</w:t>
            </w:r>
            <w:r>
              <w:rPr>
                <w:rFonts w:eastAsia="Times New Roman" w:cs="Times New Roman"/>
                <w:spacing w:val="-1"/>
                <w:szCs w:val="20"/>
              </w:rPr>
              <w:t>u</w:t>
            </w:r>
            <w:r>
              <w:rPr>
                <w:rFonts w:eastAsia="Times New Roman" w:cs="Times New Roman"/>
                <w:spacing w:val="1"/>
                <w:szCs w:val="20"/>
              </w:rPr>
              <w:t>r</w:t>
            </w:r>
            <w:r>
              <w:rPr>
                <w:rFonts w:eastAsia="Times New Roman" w:cs="Times New Roman"/>
                <w:szCs w:val="20"/>
              </w:rPr>
              <w:t>a</w:t>
            </w:r>
          </w:p>
          <w:p w:rsidR="00B77F00" w:rsidRDefault="00865FA3">
            <w:pPr>
              <w:pStyle w:val="Standard"/>
              <w:rPr>
                <w:szCs w:val="20"/>
              </w:rPr>
            </w:pPr>
            <w:r>
              <w:rPr>
                <w:rFonts w:eastAsia="Times New Roman" w:cs="Times New Roman"/>
                <w:szCs w:val="20"/>
              </w:rPr>
              <w:t>z</w:t>
            </w:r>
            <w:r>
              <w:rPr>
                <w:rFonts w:eastAsia="Times New Roman" w:cs="Times New Roman"/>
                <w:spacing w:val="1"/>
                <w:szCs w:val="20"/>
              </w:rPr>
              <w:t>ap</w:t>
            </w:r>
            <w:r>
              <w:rPr>
                <w:rFonts w:eastAsia="Times New Roman" w:cs="Times New Roman"/>
                <w:szCs w:val="20"/>
              </w:rPr>
              <w:t>ł</w:t>
            </w:r>
            <w:r>
              <w:rPr>
                <w:rFonts w:eastAsia="Times New Roman" w:cs="Times New Roman"/>
                <w:spacing w:val="1"/>
                <w:szCs w:val="20"/>
              </w:rPr>
              <w:t>o</w:t>
            </w:r>
            <w:r>
              <w:rPr>
                <w:rFonts w:eastAsia="Times New Roman" w:cs="Times New Roman"/>
                <w:spacing w:val="-1"/>
                <w:szCs w:val="20"/>
              </w:rPr>
              <w:t>n</w:t>
            </w:r>
            <w:r>
              <w:rPr>
                <w:rFonts w:eastAsia="Times New Roman" w:cs="Times New Roman"/>
                <w:szCs w:val="20"/>
              </w:rPr>
              <w:t>u</w:t>
            </w:r>
          </w:p>
        </w:tc>
        <w:tc>
          <w:tcPr>
            <w:tcW w:w="1969"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2"/>
                <w:szCs w:val="20"/>
              </w:rPr>
              <w:t>P</w:t>
            </w:r>
            <w:r>
              <w:rPr>
                <w:rFonts w:eastAsia="Times New Roman" w:cs="Times New Roman"/>
                <w:szCs w:val="20"/>
              </w:rPr>
              <w:t>N</w:t>
            </w:r>
            <w:r>
              <w:rPr>
                <w:rFonts w:eastAsia="Times New Roman" w:cs="Times New Roman"/>
                <w:spacing w:val="-2"/>
                <w:szCs w:val="20"/>
              </w:rPr>
              <w:t>-</w:t>
            </w:r>
            <w:r>
              <w:rPr>
                <w:rFonts w:eastAsia="Times New Roman" w:cs="Times New Roman"/>
                <w:szCs w:val="20"/>
              </w:rPr>
              <w:t>EN</w:t>
            </w:r>
            <w:r>
              <w:rPr>
                <w:rFonts w:eastAsia="Times New Roman" w:cs="Times New Roman"/>
                <w:spacing w:val="-6"/>
                <w:szCs w:val="20"/>
              </w:rPr>
              <w:t xml:space="preserve"> </w:t>
            </w:r>
            <w:r>
              <w:rPr>
                <w:rFonts w:eastAsia="Times New Roman" w:cs="Times New Roman"/>
                <w:spacing w:val="1"/>
                <w:szCs w:val="20"/>
              </w:rPr>
              <w:t>I</w:t>
            </w:r>
            <w:r>
              <w:rPr>
                <w:rFonts w:eastAsia="Times New Roman" w:cs="Times New Roman"/>
                <w:szCs w:val="20"/>
              </w:rPr>
              <w:t>SO</w:t>
            </w:r>
            <w:r>
              <w:rPr>
                <w:rFonts w:eastAsia="Times New Roman" w:cs="Times New Roman"/>
                <w:spacing w:val="-3"/>
                <w:szCs w:val="20"/>
              </w:rPr>
              <w:t xml:space="preserve"> </w:t>
            </w:r>
            <w:r>
              <w:rPr>
                <w:rFonts w:eastAsia="Times New Roman" w:cs="Times New Roman"/>
                <w:spacing w:val="1"/>
                <w:szCs w:val="20"/>
              </w:rPr>
              <w:t>259</w:t>
            </w:r>
            <w:r>
              <w:rPr>
                <w:rFonts w:eastAsia="Times New Roman" w:cs="Times New Roman"/>
                <w:szCs w:val="20"/>
              </w:rPr>
              <w:t>2</w:t>
            </w:r>
          </w:p>
        </w:tc>
        <w:tc>
          <w:tcPr>
            <w:tcW w:w="1297"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B77F00">
            <w:pPr>
              <w:pStyle w:val="Standard"/>
              <w:rPr>
                <w:szCs w:val="20"/>
              </w:rPr>
            </w:pPr>
          </w:p>
          <w:p w:rsidR="00B77F00" w:rsidRDefault="00865FA3">
            <w:pPr>
              <w:pStyle w:val="Standard"/>
              <w:rPr>
                <w:rFonts w:eastAsia="Times New Roman" w:cs="Times New Roman"/>
                <w:w w:val="99"/>
                <w:szCs w:val="20"/>
              </w:rPr>
            </w:pPr>
            <w:r>
              <w:rPr>
                <w:rFonts w:eastAsia="Times New Roman" w:cs="Times New Roman"/>
                <w:w w:val="99"/>
                <w:szCs w:val="20"/>
              </w:rPr>
              <w:t>°C</w:t>
            </w:r>
          </w:p>
        </w:tc>
        <w:tc>
          <w:tcPr>
            <w:tcW w:w="1728"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 xml:space="preserve">≥ </w:t>
            </w:r>
            <w:r>
              <w:rPr>
                <w:rFonts w:eastAsia="Times New Roman" w:cs="Times New Roman"/>
                <w:spacing w:val="1"/>
                <w:w w:val="99"/>
                <w:szCs w:val="20"/>
              </w:rPr>
              <w:t>23</w:t>
            </w:r>
            <w:r>
              <w:rPr>
                <w:rFonts w:eastAsia="Times New Roman" w:cs="Times New Roman"/>
                <w:w w:val="99"/>
                <w:szCs w:val="20"/>
              </w:rPr>
              <w:t>5</w:t>
            </w:r>
          </w:p>
        </w:tc>
        <w:tc>
          <w:tcPr>
            <w:tcW w:w="129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w w:val="99"/>
                <w:szCs w:val="20"/>
              </w:rPr>
            </w:pPr>
            <w:r>
              <w:rPr>
                <w:rFonts w:eastAsia="Times New Roman" w:cs="Times New Roman"/>
                <w:w w:val="99"/>
                <w:szCs w:val="20"/>
              </w:rPr>
              <w:t>3</w:t>
            </w:r>
          </w:p>
        </w:tc>
      </w:tr>
      <w:tr w:rsidR="00B77F00">
        <w:tblPrEx>
          <w:tblCellMar>
            <w:top w:w="0" w:type="dxa"/>
            <w:bottom w:w="0" w:type="dxa"/>
          </w:tblCellMar>
        </w:tblPrEx>
        <w:trPr>
          <w:cantSplit/>
        </w:trPr>
        <w:tc>
          <w:tcPr>
            <w:tcW w:w="1695" w:type="dxa"/>
            <w:vMerge w:val="restart"/>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1"/>
                <w:szCs w:val="20"/>
              </w:rPr>
              <w:t>W</w:t>
            </w:r>
            <w:r>
              <w:rPr>
                <w:rFonts w:eastAsia="Times New Roman" w:cs="Times New Roman"/>
                <w:spacing w:val="-1"/>
                <w:szCs w:val="20"/>
              </w:rPr>
              <w:t>ym</w:t>
            </w:r>
            <w:r>
              <w:rPr>
                <w:rFonts w:eastAsia="Times New Roman" w:cs="Times New Roman"/>
                <w:spacing w:val="3"/>
                <w:szCs w:val="20"/>
              </w:rPr>
              <w:t>a</w:t>
            </w:r>
            <w:r>
              <w:rPr>
                <w:rFonts w:eastAsia="Times New Roman" w:cs="Times New Roman"/>
                <w:spacing w:val="-1"/>
                <w:szCs w:val="20"/>
              </w:rPr>
              <w:t>g</w:t>
            </w:r>
            <w:r>
              <w:rPr>
                <w:rFonts w:eastAsia="Times New Roman" w:cs="Times New Roman"/>
                <w:szCs w:val="20"/>
              </w:rPr>
              <w:t>a</w:t>
            </w:r>
            <w:r>
              <w:rPr>
                <w:rFonts w:eastAsia="Times New Roman" w:cs="Times New Roman"/>
                <w:spacing w:val="1"/>
                <w:szCs w:val="20"/>
              </w:rPr>
              <w:t>n</w:t>
            </w:r>
            <w:r>
              <w:rPr>
                <w:rFonts w:eastAsia="Times New Roman" w:cs="Times New Roman"/>
                <w:szCs w:val="20"/>
              </w:rPr>
              <w:t xml:space="preserve">ia </w:t>
            </w:r>
            <w:r>
              <w:rPr>
                <w:rFonts w:eastAsia="Times New Roman" w:cs="Times New Roman"/>
                <w:spacing w:val="1"/>
                <w:szCs w:val="20"/>
              </w:rPr>
              <w:t>dod</w:t>
            </w:r>
            <w:r>
              <w:rPr>
                <w:rFonts w:eastAsia="Times New Roman" w:cs="Times New Roman"/>
                <w:szCs w:val="20"/>
              </w:rPr>
              <w:t>at</w:t>
            </w:r>
            <w:r>
              <w:rPr>
                <w:rFonts w:eastAsia="Times New Roman" w:cs="Times New Roman"/>
                <w:spacing w:val="-1"/>
                <w:szCs w:val="20"/>
              </w:rPr>
              <w:t>k</w:t>
            </w:r>
            <w:r>
              <w:rPr>
                <w:rFonts w:eastAsia="Times New Roman" w:cs="Times New Roman"/>
                <w:spacing w:val="3"/>
                <w:szCs w:val="20"/>
              </w:rPr>
              <w:t>o</w:t>
            </w:r>
            <w:r>
              <w:rPr>
                <w:rFonts w:eastAsia="Times New Roman" w:cs="Times New Roman"/>
                <w:spacing w:val="-5"/>
                <w:szCs w:val="20"/>
              </w:rPr>
              <w:t>w</w:t>
            </w:r>
            <w:r>
              <w:rPr>
                <w:rFonts w:eastAsia="Times New Roman" w:cs="Times New Roman"/>
                <w:szCs w:val="20"/>
              </w:rPr>
              <w:t>e</w:t>
            </w:r>
          </w:p>
        </w:tc>
        <w:tc>
          <w:tcPr>
            <w:tcW w:w="1654"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3"/>
                <w:szCs w:val="20"/>
              </w:rPr>
              <w:t>T</w:t>
            </w:r>
            <w:r>
              <w:rPr>
                <w:rFonts w:eastAsia="Times New Roman" w:cs="Times New Roman"/>
                <w:szCs w:val="20"/>
              </w:rPr>
              <w:t>e</w:t>
            </w:r>
            <w:r>
              <w:rPr>
                <w:rFonts w:eastAsia="Times New Roman" w:cs="Times New Roman"/>
                <w:spacing w:val="-3"/>
                <w:szCs w:val="20"/>
              </w:rPr>
              <w:t>m</w:t>
            </w:r>
            <w:r>
              <w:rPr>
                <w:rFonts w:eastAsia="Times New Roman" w:cs="Times New Roman"/>
                <w:spacing w:val="1"/>
                <w:szCs w:val="20"/>
              </w:rPr>
              <w:t>p</w:t>
            </w:r>
            <w:r>
              <w:rPr>
                <w:rFonts w:eastAsia="Times New Roman" w:cs="Times New Roman"/>
                <w:szCs w:val="20"/>
              </w:rPr>
              <w:t>e</w:t>
            </w:r>
            <w:r>
              <w:rPr>
                <w:rFonts w:eastAsia="Times New Roman" w:cs="Times New Roman"/>
                <w:spacing w:val="1"/>
                <w:szCs w:val="20"/>
              </w:rPr>
              <w:t>r</w:t>
            </w:r>
            <w:r>
              <w:rPr>
                <w:rFonts w:eastAsia="Times New Roman" w:cs="Times New Roman"/>
                <w:szCs w:val="20"/>
              </w:rPr>
              <w:t>at</w:t>
            </w:r>
            <w:r>
              <w:rPr>
                <w:rFonts w:eastAsia="Times New Roman" w:cs="Times New Roman"/>
                <w:spacing w:val="-1"/>
                <w:szCs w:val="20"/>
              </w:rPr>
              <w:t>u</w:t>
            </w:r>
            <w:r>
              <w:rPr>
                <w:rFonts w:eastAsia="Times New Roman" w:cs="Times New Roman"/>
                <w:spacing w:val="1"/>
                <w:szCs w:val="20"/>
              </w:rPr>
              <w:t>r</w:t>
            </w:r>
            <w:r>
              <w:rPr>
                <w:rFonts w:eastAsia="Times New Roman" w:cs="Times New Roman"/>
                <w:szCs w:val="20"/>
              </w:rPr>
              <w:t>a</w:t>
            </w:r>
          </w:p>
          <w:p w:rsidR="00B77F00" w:rsidRDefault="00865FA3">
            <w:pPr>
              <w:pStyle w:val="Standard"/>
              <w:rPr>
                <w:szCs w:val="20"/>
              </w:rPr>
            </w:pPr>
            <w:r>
              <w:rPr>
                <w:rFonts w:eastAsia="Times New Roman" w:cs="Times New Roman"/>
                <w:szCs w:val="20"/>
              </w:rPr>
              <w:t>ł</w:t>
            </w:r>
            <w:r>
              <w:rPr>
                <w:rFonts w:eastAsia="Times New Roman" w:cs="Times New Roman"/>
                <w:spacing w:val="2"/>
                <w:szCs w:val="20"/>
              </w:rPr>
              <w:t>a</w:t>
            </w:r>
            <w:r>
              <w:rPr>
                <w:rFonts w:eastAsia="Times New Roman" w:cs="Times New Roman"/>
                <w:spacing w:val="-4"/>
                <w:szCs w:val="20"/>
              </w:rPr>
              <w:t>m</w:t>
            </w:r>
            <w:r>
              <w:rPr>
                <w:rFonts w:eastAsia="Times New Roman" w:cs="Times New Roman"/>
                <w:szCs w:val="20"/>
              </w:rPr>
              <w:t>l</w:t>
            </w:r>
            <w:r>
              <w:rPr>
                <w:rFonts w:eastAsia="Times New Roman" w:cs="Times New Roman"/>
                <w:spacing w:val="2"/>
                <w:szCs w:val="20"/>
              </w:rPr>
              <w:t>i</w:t>
            </w:r>
            <w:r>
              <w:rPr>
                <w:rFonts w:eastAsia="Times New Roman" w:cs="Times New Roman"/>
                <w:spacing w:val="-2"/>
                <w:szCs w:val="20"/>
              </w:rPr>
              <w:t>w</w:t>
            </w:r>
            <w:r>
              <w:rPr>
                <w:rFonts w:eastAsia="Times New Roman" w:cs="Times New Roman"/>
                <w:spacing w:val="3"/>
                <w:szCs w:val="20"/>
              </w:rPr>
              <w:t>o</w:t>
            </w:r>
            <w:r>
              <w:rPr>
                <w:rFonts w:eastAsia="Times New Roman" w:cs="Times New Roman"/>
                <w:spacing w:val="-1"/>
                <w:szCs w:val="20"/>
              </w:rPr>
              <w:t>ś</w:t>
            </w:r>
            <w:r>
              <w:rPr>
                <w:rFonts w:eastAsia="Times New Roman" w:cs="Times New Roman"/>
                <w:szCs w:val="20"/>
              </w:rPr>
              <w:t>ci</w:t>
            </w:r>
          </w:p>
        </w:tc>
        <w:tc>
          <w:tcPr>
            <w:tcW w:w="1969"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2"/>
                <w:szCs w:val="20"/>
              </w:rPr>
              <w:t>P</w:t>
            </w:r>
            <w:r>
              <w:rPr>
                <w:rFonts w:eastAsia="Times New Roman" w:cs="Times New Roman"/>
                <w:szCs w:val="20"/>
              </w:rPr>
              <w:t>N</w:t>
            </w:r>
            <w:r>
              <w:rPr>
                <w:rFonts w:eastAsia="Times New Roman" w:cs="Times New Roman"/>
                <w:spacing w:val="-2"/>
                <w:szCs w:val="20"/>
              </w:rPr>
              <w:t>-</w:t>
            </w:r>
            <w:r>
              <w:rPr>
                <w:rFonts w:eastAsia="Times New Roman" w:cs="Times New Roman"/>
                <w:szCs w:val="20"/>
              </w:rPr>
              <w:t>EN</w:t>
            </w:r>
            <w:r>
              <w:rPr>
                <w:rFonts w:eastAsia="Times New Roman" w:cs="Times New Roman"/>
                <w:spacing w:val="-6"/>
                <w:szCs w:val="20"/>
              </w:rPr>
              <w:t xml:space="preserve"> </w:t>
            </w:r>
            <w:r>
              <w:rPr>
                <w:rFonts w:eastAsia="Times New Roman" w:cs="Times New Roman"/>
                <w:spacing w:val="1"/>
                <w:szCs w:val="20"/>
              </w:rPr>
              <w:t>1259</w:t>
            </w:r>
            <w:r>
              <w:rPr>
                <w:rFonts w:eastAsia="Times New Roman" w:cs="Times New Roman"/>
                <w:szCs w:val="20"/>
              </w:rPr>
              <w:t>3</w:t>
            </w:r>
          </w:p>
        </w:tc>
        <w:tc>
          <w:tcPr>
            <w:tcW w:w="1297"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B77F00">
            <w:pPr>
              <w:pStyle w:val="Standard"/>
              <w:rPr>
                <w:szCs w:val="20"/>
              </w:rPr>
            </w:pPr>
          </w:p>
          <w:p w:rsidR="00B77F00" w:rsidRDefault="00865FA3">
            <w:pPr>
              <w:pStyle w:val="Standard"/>
              <w:rPr>
                <w:rFonts w:eastAsia="Times New Roman" w:cs="Times New Roman"/>
                <w:w w:val="99"/>
                <w:szCs w:val="20"/>
              </w:rPr>
            </w:pPr>
            <w:r>
              <w:rPr>
                <w:rFonts w:eastAsia="Times New Roman" w:cs="Times New Roman"/>
                <w:w w:val="99"/>
                <w:szCs w:val="20"/>
              </w:rPr>
              <w:t>°C</w:t>
            </w:r>
          </w:p>
        </w:tc>
        <w:tc>
          <w:tcPr>
            <w:tcW w:w="1728"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 xml:space="preserve">≤ </w:t>
            </w:r>
            <w:r>
              <w:rPr>
                <w:rFonts w:eastAsia="Times New Roman" w:cs="Times New Roman"/>
                <w:spacing w:val="-2"/>
                <w:w w:val="99"/>
                <w:szCs w:val="20"/>
              </w:rPr>
              <w:t>-</w:t>
            </w:r>
            <w:r>
              <w:rPr>
                <w:rFonts w:eastAsia="Times New Roman" w:cs="Times New Roman"/>
                <w:spacing w:val="1"/>
                <w:w w:val="99"/>
                <w:szCs w:val="20"/>
              </w:rPr>
              <w:t>12</w:t>
            </w:r>
          </w:p>
        </w:tc>
        <w:tc>
          <w:tcPr>
            <w:tcW w:w="129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w w:val="99"/>
                <w:szCs w:val="20"/>
              </w:rPr>
            </w:pPr>
            <w:r>
              <w:rPr>
                <w:rFonts w:eastAsia="Times New Roman" w:cs="Times New Roman"/>
                <w:w w:val="99"/>
                <w:szCs w:val="20"/>
              </w:rPr>
              <w:t>6</w:t>
            </w:r>
          </w:p>
        </w:tc>
      </w:tr>
      <w:tr w:rsidR="00B77F00">
        <w:tblPrEx>
          <w:tblCellMar>
            <w:top w:w="0" w:type="dxa"/>
            <w:bottom w:w="0" w:type="dxa"/>
          </w:tblCellMar>
        </w:tblPrEx>
        <w:trPr>
          <w:cantSplit/>
        </w:trPr>
        <w:tc>
          <w:tcPr>
            <w:tcW w:w="1695" w:type="dxa"/>
            <w:vMerge/>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000000" w:rsidRDefault="00865FA3"/>
        </w:tc>
        <w:tc>
          <w:tcPr>
            <w:tcW w:w="1654"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N</w:t>
            </w:r>
            <w:r>
              <w:rPr>
                <w:rFonts w:eastAsia="Times New Roman" w:cs="Times New Roman"/>
                <w:spacing w:val="3"/>
                <w:szCs w:val="20"/>
              </w:rPr>
              <w:t>a</w:t>
            </w:r>
            <w:r>
              <w:rPr>
                <w:rFonts w:eastAsia="Times New Roman" w:cs="Times New Roman"/>
                <w:spacing w:val="-5"/>
                <w:szCs w:val="20"/>
              </w:rPr>
              <w:t>w</w:t>
            </w:r>
            <w:r>
              <w:rPr>
                <w:rFonts w:eastAsia="Times New Roman" w:cs="Times New Roman"/>
                <w:spacing w:val="1"/>
                <w:szCs w:val="20"/>
              </w:rPr>
              <w:t>ró</w:t>
            </w:r>
            <w:r>
              <w:rPr>
                <w:rFonts w:eastAsia="Times New Roman" w:cs="Times New Roman"/>
                <w:szCs w:val="20"/>
              </w:rPr>
              <w:t>t</w:t>
            </w:r>
            <w:r>
              <w:rPr>
                <w:rFonts w:eastAsia="Times New Roman" w:cs="Times New Roman"/>
                <w:spacing w:val="-1"/>
                <w:szCs w:val="20"/>
              </w:rPr>
              <w:t xml:space="preserve"> s</w:t>
            </w:r>
            <w:r>
              <w:rPr>
                <w:rFonts w:eastAsia="Times New Roman" w:cs="Times New Roman"/>
                <w:spacing w:val="1"/>
                <w:szCs w:val="20"/>
              </w:rPr>
              <w:t>pr</w:t>
            </w:r>
            <w:r>
              <w:rPr>
                <w:rFonts w:eastAsia="Times New Roman" w:cs="Times New Roman"/>
                <w:szCs w:val="20"/>
              </w:rPr>
              <w:t>ę</w:t>
            </w:r>
            <w:r>
              <w:rPr>
                <w:rFonts w:eastAsia="Times New Roman" w:cs="Times New Roman"/>
                <w:spacing w:val="3"/>
                <w:szCs w:val="20"/>
              </w:rPr>
              <w:t>ż</w:t>
            </w:r>
            <w:r>
              <w:rPr>
                <w:rFonts w:eastAsia="Times New Roman" w:cs="Times New Roman"/>
                <w:spacing w:val="-1"/>
                <w:szCs w:val="20"/>
              </w:rPr>
              <w:t>ys</w:t>
            </w:r>
            <w:r>
              <w:rPr>
                <w:rFonts w:eastAsia="Times New Roman" w:cs="Times New Roman"/>
                <w:spacing w:val="4"/>
                <w:szCs w:val="20"/>
              </w:rPr>
              <w:t>t</w:t>
            </w:r>
            <w:r>
              <w:rPr>
                <w:rFonts w:eastAsia="Times New Roman" w:cs="Times New Roman"/>
                <w:szCs w:val="20"/>
              </w:rPr>
              <w:t>y</w:t>
            </w:r>
          </w:p>
          <w:p w:rsidR="00B77F00" w:rsidRDefault="00865FA3">
            <w:pPr>
              <w:pStyle w:val="Standard"/>
              <w:rPr>
                <w:szCs w:val="20"/>
              </w:rPr>
            </w:pPr>
            <w:r>
              <w:rPr>
                <w:rFonts w:eastAsia="Times New Roman" w:cs="Times New Roman"/>
                <w:szCs w:val="20"/>
              </w:rPr>
              <w:t>w</w:t>
            </w:r>
            <w:r>
              <w:rPr>
                <w:rFonts w:eastAsia="Times New Roman" w:cs="Times New Roman"/>
                <w:spacing w:val="-3"/>
                <w:szCs w:val="20"/>
              </w:rPr>
              <w:t xml:space="preserve"> </w:t>
            </w:r>
            <w:r>
              <w:rPr>
                <w:rFonts w:eastAsia="Times New Roman" w:cs="Times New Roman"/>
                <w:spacing w:val="1"/>
                <w:szCs w:val="20"/>
              </w:rPr>
              <w:t>25</w:t>
            </w:r>
            <w:r>
              <w:rPr>
                <w:rFonts w:eastAsia="Times New Roman" w:cs="Times New Roman"/>
                <w:szCs w:val="20"/>
              </w:rPr>
              <w:t>°C</w:t>
            </w:r>
          </w:p>
        </w:tc>
        <w:tc>
          <w:tcPr>
            <w:tcW w:w="1969"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2"/>
                <w:szCs w:val="20"/>
              </w:rPr>
              <w:t>P</w:t>
            </w:r>
            <w:r>
              <w:rPr>
                <w:rFonts w:eastAsia="Times New Roman" w:cs="Times New Roman"/>
                <w:szCs w:val="20"/>
              </w:rPr>
              <w:t>N</w:t>
            </w:r>
            <w:r>
              <w:rPr>
                <w:rFonts w:eastAsia="Times New Roman" w:cs="Times New Roman"/>
                <w:spacing w:val="-2"/>
                <w:szCs w:val="20"/>
              </w:rPr>
              <w:t>-</w:t>
            </w:r>
            <w:r>
              <w:rPr>
                <w:rFonts w:eastAsia="Times New Roman" w:cs="Times New Roman"/>
                <w:szCs w:val="20"/>
              </w:rPr>
              <w:t>EN</w:t>
            </w:r>
            <w:r>
              <w:rPr>
                <w:rFonts w:eastAsia="Times New Roman" w:cs="Times New Roman"/>
                <w:spacing w:val="-6"/>
                <w:szCs w:val="20"/>
              </w:rPr>
              <w:t xml:space="preserve"> </w:t>
            </w:r>
            <w:r>
              <w:rPr>
                <w:rFonts w:eastAsia="Times New Roman" w:cs="Times New Roman"/>
                <w:spacing w:val="1"/>
                <w:szCs w:val="20"/>
              </w:rPr>
              <w:t>1339</w:t>
            </w:r>
            <w:r>
              <w:rPr>
                <w:rFonts w:eastAsia="Times New Roman" w:cs="Times New Roman"/>
                <w:szCs w:val="20"/>
              </w:rPr>
              <w:t>8</w:t>
            </w:r>
          </w:p>
        </w:tc>
        <w:tc>
          <w:tcPr>
            <w:tcW w:w="1297"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B77F00">
            <w:pPr>
              <w:pStyle w:val="Standard"/>
              <w:rPr>
                <w:szCs w:val="20"/>
              </w:rPr>
            </w:pPr>
          </w:p>
          <w:p w:rsidR="00B77F00" w:rsidRDefault="00865FA3">
            <w:pPr>
              <w:pStyle w:val="Standard"/>
              <w:rPr>
                <w:rFonts w:eastAsia="Times New Roman" w:cs="Times New Roman"/>
                <w:w w:val="99"/>
                <w:szCs w:val="20"/>
              </w:rPr>
            </w:pPr>
            <w:r>
              <w:rPr>
                <w:rFonts w:eastAsia="Times New Roman" w:cs="Times New Roman"/>
                <w:w w:val="99"/>
                <w:szCs w:val="20"/>
              </w:rPr>
              <w:t>%</w:t>
            </w:r>
          </w:p>
        </w:tc>
        <w:tc>
          <w:tcPr>
            <w:tcW w:w="1728"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 xml:space="preserve">≥ </w:t>
            </w:r>
            <w:r>
              <w:rPr>
                <w:rFonts w:eastAsia="Times New Roman" w:cs="Times New Roman"/>
                <w:spacing w:val="1"/>
                <w:w w:val="99"/>
                <w:szCs w:val="20"/>
              </w:rPr>
              <w:t>5</w:t>
            </w:r>
            <w:r>
              <w:rPr>
                <w:rFonts w:eastAsia="Times New Roman" w:cs="Times New Roman"/>
                <w:w w:val="99"/>
                <w:szCs w:val="20"/>
              </w:rPr>
              <w:t>0</w:t>
            </w:r>
          </w:p>
        </w:tc>
        <w:tc>
          <w:tcPr>
            <w:tcW w:w="129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w w:val="99"/>
                <w:szCs w:val="20"/>
              </w:rPr>
            </w:pPr>
            <w:r>
              <w:rPr>
                <w:rFonts w:eastAsia="Times New Roman" w:cs="Times New Roman"/>
                <w:w w:val="99"/>
                <w:szCs w:val="20"/>
              </w:rPr>
              <w:t>5</w:t>
            </w:r>
          </w:p>
        </w:tc>
      </w:tr>
      <w:tr w:rsidR="00B77F00">
        <w:tblPrEx>
          <w:tblCellMar>
            <w:top w:w="0" w:type="dxa"/>
            <w:bottom w:w="0" w:type="dxa"/>
          </w:tblCellMar>
        </w:tblPrEx>
        <w:trPr>
          <w:cantSplit/>
        </w:trPr>
        <w:tc>
          <w:tcPr>
            <w:tcW w:w="1695" w:type="dxa"/>
            <w:vMerge/>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000000" w:rsidRDefault="00865FA3"/>
        </w:tc>
        <w:tc>
          <w:tcPr>
            <w:tcW w:w="1654"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N</w:t>
            </w:r>
            <w:r>
              <w:rPr>
                <w:rFonts w:eastAsia="Times New Roman" w:cs="Times New Roman"/>
                <w:spacing w:val="3"/>
                <w:szCs w:val="20"/>
              </w:rPr>
              <w:t>a</w:t>
            </w:r>
            <w:r>
              <w:rPr>
                <w:rFonts w:eastAsia="Times New Roman" w:cs="Times New Roman"/>
                <w:spacing w:val="-5"/>
                <w:szCs w:val="20"/>
              </w:rPr>
              <w:t>w</w:t>
            </w:r>
            <w:r>
              <w:rPr>
                <w:rFonts w:eastAsia="Times New Roman" w:cs="Times New Roman"/>
                <w:spacing w:val="1"/>
                <w:szCs w:val="20"/>
              </w:rPr>
              <w:t>ró</w:t>
            </w:r>
            <w:r>
              <w:rPr>
                <w:rFonts w:eastAsia="Times New Roman" w:cs="Times New Roman"/>
                <w:szCs w:val="20"/>
              </w:rPr>
              <w:t>t</w:t>
            </w:r>
            <w:r>
              <w:rPr>
                <w:rFonts w:eastAsia="Times New Roman" w:cs="Times New Roman"/>
                <w:spacing w:val="-1"/>
                <w:szCs w:val="20"/>
              </w:rPr>
              <w:t xml:space="preserve"> s</w:t>
            </w:r>
            <w:r>
              <w:rPr>
                <w:rFonts w:eastAsia="Times New Roman" w:cs="Times New Roman"/>
                <w:spacing w:val="1"/>
                <w:szCs w:val="20"/>
              </w:rPr>
              <w:t>pr</w:t>
            </w:r>
            <w:r>
              <w:rPr>
                <w:rFonts w:eastAsia="Times New Roman" w:cs="Times New Roman"/>
                <w:szCs w:val="20"/>
              </w:rPr>
              <w:t>ę</w:t>
            </w:r>
            <w:r>
              <w:rPr>
                <w:rFonts w:eastAsia="Times New Roman" w:cs="Times New Roman"/>
                <w:spacing w:val="3"/>
                <w:szCs w:val="20"/>
              </w:rPr>
              <w:t>ż</w:t>
            </w:r>
            <w:r>
              <w:rPr>
                <w:rFonts w:eastAsia="Times New Roman" w:cs="Times New Roman"/>
                <w:spacing w:val="-1"/>
                <w:szCs w:val="20"/>
              </w:rPr>
              <w:t>ys</w:t>
            </w:r>
            <w:r>
              <w:rPr>
                <w:rFonts w:eastAsia="Times New Roman" w:cs="Times New Roman"/>
                <w:spacing w:val="4"/>
                <w:szCs w:val="20"/>
              </w:rPr>
              <w:t>t</w:t>
            </w:r>
            <w:r>
              <w:rPr>
                <w:rFonts w:eastAsia="Times New Roman" w:cs="Times New Roman"/>
                <w:szCs w:val="20"/>
              </w:rPr>
              <w:t>y</w:t>
            </w:r>
          </w:p>
          <w:p w:rsidR="00B77F00" w:rsidRDefault="00865FA3">
            <w:pPr>
              <w:pStyle w:val="Standard"/>
              <w:rPr>
                <w:szCs w:val="20"/>
              </w:rPr>
            </w:pPr>
            <w:r>
              <w:rPr>
                <w:rFonts w:eastAsia="Times New Roman" w:cs="Times New Roman"/>
                <w:szCs w:val="20"/>
              </w:rPr>
              <w:t>w</w:t>
            </w:r>
            <w:r>
              <w:rPr>
                <w:rFonts w:eastAsia="Times New Roman" w:cs="Times New Roman"/>
                <w:spacing w:val="-3"/>
                <w:szCs w:val="20"/>
              </w:rPr>
              <w:t xml:space="preserve"> </w:t>
            </w:r>
            <w:r>
              <w:rPr>
                <w:rFonts w:eastAsia="Times New Roman" w:cs="Times New Roman"/>
                <w:spacing w:val="1"/>
                <w:szCs w:val="20"/>
              </w:rPr>
              <w:t>10</w:t>
            </w:r>
            <w:r>
              <w:rPr>
                <w:rFonts w:eastAsia="Times New Roman" w:cs="Times New Roman"/>
                <w:szCs w:val="20"/>
              </w:rPr>
              <w:t>°C</w:t>
            </w:r>
          </w:p>
        </w:tc>
        <w:tc>
          <w:tcPr>
            <w:tcW w:w="1969"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B77F00">
            <w:pPr>
              <w:pStyle w:val="Standard"/>
              <w:rPr>
                <w:szCs w:val="20"/>
              </w:rPr>
            </w:pPr>
          </w:p>
        </w:tc>
        <w:tc>
          <w:tcPr>
            <w:tcW w:w="1297"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B77F00">
            <w:pPr>
              <w:pStyle w:val="Standard"/>
              <w:rPr>
                <w:szCs w:val="20"/>
              </w:rPr>
            </w:pPr>
          </w:p>
        </w:tc>
        <w:tc>
          <w:tcPr>
            <w:tcW w:w="1728"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w w:val="99"/>
                <w:position w:val="-6"/>
                <w:szCs w:val="20"/>
              </w:rPr>
              <w:t>N</w:t>
            </w:r>
            <w:r>
              <w:rPr>
                <w:rFonts w:eastAsia="Times New Roman" w:cs="Times New Roman"/>
                <w:spacing w:val="2"/>
                <w:w w:val="99"/>
                <w:position w:val="-6"/>
                <w:szCs w:val="20"/>
              </w:rPr>
              <w:t>P</w:t>
            </w:r>
            <w:r>
              <w:rPr>
                <w:rFonts w:eastAsia="Times New Roman" w:cs="Times New Roman"/>
                <w:w w:val="99"/>
                <w:position w:val="-6"/>
                <w:szCs w:val="20"/>
              </w:rPr>
              <w:t>D</w:t>
            </w:r>
            <w:r>
              <w:rPr>
                <w:rFonts w:eastAsia="Times New Roman" w:cs="Times New Roman"/>
                <w:w w:val="99"/>
                <w:position w:val="14"/>
                <w:szCs w:val="20"/>
              </w:rPr>
              <w:t>a</w:t>
            </w:r>
          </w:p>
        </w:tc>
        <w:tc>
          <w:tcPr>
            <w:tcW w:w="129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w w:val="99"/>
                <w:szCs w:val="20"/>
              </w:rPr>
            </w:pPr>
            <w:r>
              <w:rPr>
                <w:rFonts w:eastAsia="Times New Roman" w:cs="Times New Roman"/>
                <w:w w:val="99"/>
                <w:szCs w:val="20"/>
              </w:rPr>
              <w:t>0</w:t>
            </w:r>
          </w:p>
        </w:tc>
      </w:tr>
      <w:tr w:rsidR="00B77F00">
        <w:tblPrEx>
          <w:tblCellMar>
            <w:top w:w="0" w:type="dxa"/>
            <w:bottom w:w="0" w:type="dxa"/>
          </w:tblCellMar>
        </w:tblPrEx>
        <w:trPr>
          <w:cantSplit/>
        </w:trPr>
        <w:tc>
          <w:tcPr>
            <w:tcW w:w="1695" w:type="dxa"/>
            <w:vMerge w:val="restart"/>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1"/>
                <w:szCs w:val="20"/>
              </w:rPr>
              <w:t>W</w:t>
            </w:r>
            <w:r>
              <w:rPr>
                <w:rFonts w:eastAsia="Times New Roman" w:cs="Times New Roman"/>
                <w:spacing w:val="-1"/>
                <w:szCs w:val="20"/>
              </w:rPr>
              <w:t>ym</w:t>
            </w:r>
            <w:r>
              <w:rPr>
                <w:rFonts w:eastAsia="Times New Roman" w:cs="Times New Roman"/>
                <w:spacing w:val="3"/>
                <w:szCs w:val="20"/>
              </w:rPr>
              <w:t>a</w:t>
            </w:r>
            <w:r>
              <w:rPr>
                <w:rFonts w:eastAsia="Times New Roman" w:cs="Times New Roman"/>
                <w:spacing w:val="-1"/>
                <w:szCs w:val="20"/>
              </w:rPr>
              <w:t>g</w:t>
            </w:r>
            <w:r>
              <w:rPr>
                <w:rFonts w:eastAsia="Times New Roman" w:cs="Times New Roman"/>
                <w:szCs w:val="20"/>
              </w:rPr>
              <w:t>a</w:t>
            </w:r>
            <w:r>
              <w:rPr>
                <w:rFonts w:eastAsia="Times New Roman" w:cs="Times New Roman"/>
                <w:spacing w:val="1"/>
                <w:szCs w:val="20"/>
              </w:rPr>
              <w:t>n</w:t>
            </w:r>
            <w:r>
              <w:rPr>
                <w:rFonts w:eastAsia="Times New Roman" w:cs="Times New Roman"/>
                <w:szCs w:val="20"/>
              </w:rPr>
              <w:t xml:space="preserve">ia </w:t>
            </w:r>
            <w:r>
              <w:rPr>
                <w:rFonts w:eastAsia="Times New Roman" w:cs="Times New Roman"/>
                <w:spacing w:val="1"/>
                <w:szCs w:val="20"/>
              </w:rPr>
              <w:t>dod</w:t>
            </w:r>
            <w:r>
              <w:rPr>
                <w:rFonts w:eastAsia="Times New Roman" w:cs="Times New Roman"/>
                <w:szCs w:val="20"/>
              </w:rPr>
              <w:t>at</w:t>
            </w:r>
            <w:r>
              <w:rPr>
                <w:rFonts w:eastAsia="Times New Roman" w:cs="Times New Roman"/>
                <w:spacing w:val="-1"/>
                <w:szCs w:val="20"/>
              </w:rPr>
              <w:t>k</w:t>
            </w:r>
            <w:r>
              <w:rPr>
                <w:rFonts w:eastAsia="Times New Roman" w:cs="Times New Roman"/>
                <w:spacing w:val="3"/>
                <w:szCs w:val="20"/>
              </w:rPr>
              <w:t>o</w:t>
            </w:r>
            <w:r>
              <w:rPr>
                <w:rFonts w:eastAsia="Times New Roman" w:cs="Times New Roman"/>
                <w:spacing w:val="-5"/>
                <w:szCs w:val="20"/>
              </w:rPr>
              <w:t>w</w:t>
            </w:r>
            <w:r>
              <w:rPr>
                <w:rFonts w:eastAsia="Times New Roman" w:cs="Times New Roman"/>
                <w:szCs w:val="20"/>
              </w:rPr>
              <w:t>e</w:t>
            </w:r>
          </w:p>
        </w:tc>
        <w:tc>
          <w:tcPr>
            <w:tcW w:w="1654"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2"/>
                <w:szCs w:val="20"/>
              </w:rPr>
              <w:t>Z</w:t>
            </w:r>
            <w:r>
              <w:rPr>
                <w:rFonts w:eastAsia="Times New Roman" w:cs="Times New Roman"/>
                <w:spacing w:val="3"/>
                <w:szCs w:val="20"/>
              </w:rPr>
              <w:t>a</w:t>
            </w:r>
            <w:r>
              <w:rPr>
                <w:rFonts w:eastAsia="Times New Roman" w:cs="Times New Roman"/>
                <w:spacing w:val="-1"/>
                <w:szCs w:val="20"/>
              </w:rPr>
              <w:t>k</w:t>
            </w:r>
            <w:r>
              <w:rPr>
                <w:rFonts w:eastAsia="Times New Roman" w:cs="Times New Roman"/>
                <w:spacing w:val="1"/>
                <w:szCs w:val="20"/>
              </w:rPr>
              <w:t>r</w:t>
            </w:r>
            <w:r>
              <w:rPr>
                <w:rFonts w:eastAsia="Times New Roman" w:cs="Times New Roman"/>
                <w:szCs w:val="20"/>
              </w:rPr>
              <w:t>es</w:t>
            </w:r>
          </w:p>
          <w:p w:rsidR="00B77F00" w:rsidRDefault="00865FA3">
            <w:pPr>
              <w:pStyle w:val="Standard"/>
              <w:rPr>
                <w:szCs w:val="20"/>
              </w:rPr>
            </w:pPr>
            <w:r>
              <w:rPr>
                <w:rFonts w:eastAsia="Times New Roman" w:cs="Times New Roman"/>
                <w:spacing w:val="1"/>
                <w:szCs w:val="20"/>
              </w:rPr>
              <w:t>p</w:t>
            </w:r>
            <w:r>
              <w:rPr>
                <w:rFonts w:eastAsia="Times New Roman" w:cs="Times New Roman"/>
                <w:szCs w:val="20"/>
              </w:rPr>
              <w:t>las</w:t>
            </w:r>
            <w:r>
              <w:rPr>
                <w:rFonts w:eastAsia="Times New Roman" w:cs="Times New Roman"/>
                <w:spacing w:val="2"/>
                <w:szCs w:val="20"/>
              </w:rPr>
              <w:t>t</w:t>
            </w:r>
            <w:r>
              <w:rPr>
                <w:rFonts w:eastAsia="Times New Roman" w:cs="Times New Roman"/>
                <w:spacing w:val="-4"/>
                <w:szCs w:val="20"/>
              </w:rPr>
              <w:t>y</w:t>
            </w:r>
            <w:r>
              <w:rPr>
                <w:rFonts w:eastAsia="Times New Roman" w:cs="Times New Roman"/>
                <w:szCs w:val="20"/>
              </w:rPr>
              <w:t>c</w:t>
            </w:r>
            <w:r>
              <w:rPr>
                <w:rFonts w:eastAsia="Times New Roman" w:cs="Times New Roman"/>
                <w:spacing w:val="3"/>
                <w:szCs w:val="20"/>
              </w:rPr>
              <w:t>z</w:t>
            </w:r>
            <w:r>
              <w:rPr>
                <w:rFonts w:eastAsia="Times New Roman" w:cs="Times New Roman"/>
                <w:spacing w:val="-1"/>
                <w:szCs w:val="20"/>
              </w:rPr>
              <w:t>n</w:t>
            </w:r>
            <w:r>
              <w:rPr>
                <w:rFonts w:eastAsia="Times New Roman" w:cs="Times New Roman"/>
                <w:spacing w:val="1"/>
                <w:szCs w:val="20"/>
              </w:rPr>
              <w:t>o</w:t>
            </w:r>
            <w:r>
              <w:rPr>
                <w:rFonts w:eastAsia="Times New Roman" w:cs="Times New Roman"/>
                <w:spacing w:val="-1"/>
                <w:szCs w:val="20"/>
              </w:rPr>
              <w:t>ś</w:t>
            </w:r>
            <w:r>
              <w:rPr>
                <w:rFonts w:eastAsia="Times New Roman" w:cs="Times New Roman"/>
                <w:szCs w:val="20"/>
              </w:rPr>
              <w:t>ci</w:t>
            </w:r>
          </w:p>
        </w:tc>
        <w:tc>
          <w:tcPr>
            <w:tcW w:w="1969"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2"/>
                <w:szCs w:val="20"/>
              </w:rPr>
              <w:t>P</w:t>
            </w:r>
            <w:r>
              <w:rPr>
                <w:rFonts w:eastAsia="Times New Roman" w:cs="Times New Roman"/>
                <w:szCs w:val="20"/>
              </w:rPr>
              <w:t>N</w:t>
            </w:r>
            <w:r>
              <w:rPr>
                <w:rFonts w:eastAsia="Times New Roman" w:cs="Times New Roman"/>
                <w:spacing w:val="-2"/>
                <w:szCs w:val="20"/>
              </w:rPr>
              <w:t>-</w:t>
            </w:r>
            <w:r>
              <w:rPr>
                <w:rFonts w:eastAsia="Times New Roman" w:cs="Times New Roman"/>
                <w:szCs w:val="20"/>
              </w:rPr>
              <w:t>EN</w:t>
            </w:r>
            <w:r>
              <w:rPr>
                <w:rFonts w:eastAsia="Times New Roman" w:cs="Times New Roman"/>
                <w:spacing w:val="-6"/>
                <w:szCs w:val="20"/>
              </w:rPr>
              <w:t xml:space="preserve"> </w:t>
            </w:r>
            <w:r>
              <w:rPr>
                <w:rFonts w:eastAsia="Times New Roman" w:cs="Times New Roman"/>
                <w:spacing w:val="1"/>
                <w:w w:val="99"/>
                <w:szCs w:val="20"/>
              </w:rPr>
              <w:t>1402</w:t>
            </w:r>
            <w:r>
              <w:rPr>
                <w:rFonts w:eastAsia="Times New Roman" w:cs="Times New Roman"/>
                <w:w w:val="99"/>
                <w:szCs w:val="20"/>
              </w:rPr>
              <w:t>3</w:t>
            </w:r>
          </w:p>
          <w:p w:rsidR="00B77F00" w:rsidRDefault="00865FA3">
            <w:pPr>
              <w:pStyle w:val="Standard"/>
              <w:rPr>
                <w:szCs w:val="20"/>
              </w:rPr>
            </w:pPr>
            <w:r>
              <w:rPr>
                <w:rFonts w:eastAsia="Times New Roman" w:cs="Times New Roman"/>
                <w:spacing w:val="2"/>
                <w:szCs w:val="20"/>
              </w:rPr>
              <w:t>P</w:t>
            </w:r>
            <w:r>
              <w:rPr>
                <w:rFonts w:eastAsia="Times New Roman" w:cs="Times New Roman"/>
                <w:spacing w:val="-1"/>
                <w:szCs w:val="20"/>
              </w:rPr>
              <w:t>un</w:t>
            </w:r>
            <w:r>
              <w:rPr>
                <w:rFonts w:eastAsia="Times New Roman" w:cs="Times New Roman"/>
                <w:spacing w:val="1"/>
                <w:szCs w:val="20"/>
              </w:rPr>
              <w:t>k</w:t>
            </w:r>
            <w:r>
              <w:rPr>
                <w:rFonts w:eastAsia="Times New Roman" w:cs="Times New Roman"/>
                <w:szCs w:val="20"/>
              </w:rPr>
              <w:t>t</w:t>
            </w:r>
            <w:r>
              <w:rPr>
                <w:rFonts w:eastAsia="Times New Roman" w:cs="Times New Roman"/>
                <w:spacing w:val="-5"/>
                <w:szCs w:val="20"/>
              </w:rPr>
              <w:t xml:space="preserve"> </w:t>
            </w:r>
            <w:r>
              <w:rPr>
                <w:rFonts w:eastAsia="Times New Roman" w:cs="Times New Roman"/>
                <w:spacing w:val="1"/>
                <w:w w:val="99"/>
                <w:szCs w:val="20"/>
              </w:rPr>
              <w:t>5</w:t>
            </w:r>
            <w:r>
              <w:rPr>
                <w:rFonts w:eastAsia="Times New Roman" w:cs="Times New Roman"/>
                <w:w w:val="99"/>
                <w:szCs w:val="20"/>
              </w:rPr>
              <w:t>.</w:t>
            </w:r>
            <w:r>
              <w:rPr>
                <w:rFonts w:eastAsia="Times New Roman" w:cs="Times New Roman"/>
                <w:spacing w:val="1"/>
                <w:w w:val="99"/>
                <w:szCs w:val="20"/>
              </w:rPr>
              <w:t>1</w:t>
            </w:r>
            <w:r>
              <w:rPr>
                <w:rFonts w:eastAsia="Times New Roman" w:cs="Times New Roman"/>
                <w:w w:val="99"/>
                <w:szCs w:val="20"/>
              </w:rPr>
              <w:t>.9</w:t>
            </w:r>
          </w:p>
        </w:tc>
        <w:tc>
          <w:tcPr>
            <w:tcW w:w="1297"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w w:val="99"/>
                <w:szCs w:val="20"/>
              </w:rPr>
            </w:pPr>
            <w:r>
              <w:rPr>
                <w:rFonts w:eastAsia="Times New Roman" w:cs="Times New Roman"/>
                <w:w w:val="99"/>
                <w:szCs w:val="20"/>
              </w:rPr>
              <w:t>°C</w:t>
            </w:r>
          </w:p>
        </w:tc>
        <w:tc>
          <w:tcPr>
            <w:tcW w:w="1728"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w w:val="99"/>
                <w:position w:val="1"/>
                <w:szCs w:val="20"/>
              </w:rPr>
              <w:t>T</w:t>
            </w:r>
            <w:r>
              <w:rPr>
                <w:rFonts w:eastAsia="Times New Roman" w:cs="Times New Roman"/>
                <w:spacing w:val="1"/>
                <w:w w:val="99"/>
                <w:position w:val="1"/>
                <w:szCs w:val="20"/>
              </w:rPr>
              <w:t>B</w:t>
            </w:r>
            <w:r>
              <w:rPr>
                <w:rFonts w:eastAsia="Times New Roman" w:cs="Times New Roman"/>
                <w:w w:val="99"/>
                <w:position w:val="1"/>
                <w:szCs w:val="20"/>
              </w:rPr>
              <w:t>R</w:t>
            </w:r>
            <w:r>
              <w:rPr>
                <w:rFonts w:eastAsia="Times New Roman" w:cs="Times New Roman"/>
                <w:w w:val="99"/>
                <w:szCs w:val="20"/>
                <w:vertAlign w:val="superscript"/>
              </w:rPr>
              <w:t>b</w:t>
            </w:r>
          </w:p>
        </w:tc>
        <w:tc>
          <w:tcPr>
            <w:tcW w:w="129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w w:val="99"/>
                <w:szCs w:val="20"/>
              </w:rPr>
            </w:pPr>
            <w:r>
              <w:rPr>
                <w:rFonts w:eastAsia="Times New Roman" w:cs="Times New Roman"/>
                <w:w w:val="99"/>
                <w:szCs w:val="20"/>
              </w:rPr>
              <w:t>1</w:t>
            </w:r>
          </w:p>
        </w:tc>
      </w:tr>
      <w:tr w:rsidR="00B77F00">
        <w:tblPrEx>
          <w:tblCellMar>
            <w:top w:w="0" w:type="dxa"/>
            <w:bottom w:w="0" w:type="dxa"/>
          </w:tblCellMar>
        </w:tblPrEx>
        <w:trPr>
          <w:cantSplit/>
        </w:trPr>
        <w:tc>
          <w:tcPr>
            <w:tcW w:w="1695" w:type="dxa"/>
            <w:vMerge/>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000000" w:rsidRDefault="00865FA3"/>
        </w:tc>
        <w:tc>
          <w:tcPr>
            <w:tcW w:w="1654"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Sta</w:t>
            </w:r>
            <w:r>
              <w:rPr>
                <w:rFonts w:eastAsia="Times New Roman" w:cs="Times New Roman"/>
                <w:spacing w:val="1"/>
                <w:szCs w:val="20"/>
              </w:rPr>
              <w:t>b</w:t>
            </w:r>
            <w:r>
              <w:rPr>
                <w:rFonts w:eastAsia="Times New Roman" w:cs="Times New Roman"/>
                <w:szCs w:val="20"/>
              </w:rPr>
              <w:t>il</w:t>
            </w:r>
            <w:r>
              <w:rPr>
                <w:rFonts w:eastAsia="Times New Roman" w:cs="Times New Roman"/>
                <w:spacing w:val="-2"/>
                <w:szCs w:val="20"/>
              </w:rPr>
              <w:t>n</w:t>
            </w:r>
            <w:r>
              <w:rPr>
                <w:rFonts w:eastAsia="Times New Roman" w:cs="Times New Roman"/>
                <w:spacing w:val="1"/>
                <w:szCs w:val="20"/>
              </w:rPr>
              <w:t>o</w:t>
            </w:r>
            <w:r>
              <w:rPr>
                <w:rFonts w:eastAsia="Times New Roman" w:cs="Times New Roman"/>
                <w:spacing w:val="-1"/>
                <w:szCs w:val="20"/>
              </w:rPr>
              <w:t>ś</w:t>
            </w:r>
            <w:r>
              <w:rPr>
                <w:rFonts w:eastAsia="Times New Roman" w:cs="Times New Roman"/>
                <w:szCs w:val="20"/>
              </w:rPr>
              <w:t>ć</w:t>
            </w:r>
          </w:p>
          <w:p w:rsidR="00B77F00" w:rsidRDefault="00865FA3">
            <w:pPr>
              <w:pStyle w:val="Standard"/>
              <w:rPr>
                <w:szCs w:val="20"/>
              </w:rPr>
            </w:pPr>
            <w:r>
              <w:rPr>
                <w:rFonts w:eastAsia="Times New Roman" w:cs="Times New Roman"/>
                <w:spacing w:val="-1"/>
                <w:szCs w:val="20"/>
              </w:rPr>
              <w:t>m</w:t>
            </w:r>
            <w:r>
              <w:rPr>
                <w:rFonts w:eastAsia="Times New Roman" w:cs="Times New Roman"/>
                <w:szCs w:val="20"/>
              </w:rPr>
              <w:t>a</w:t>
            </w:r>
            <w:r>
              <w:rPr>
                <w:rFonts w:eastAsia="Times New Roman" w:cs="Times New Roman"/>
                <w:spacing w:val="-1"/>
                <w:szCs w:val="20"/>
              </w:rPr>
              <w:t>g</w:t>
            </w:r>
            <w:r>
              <w:rPr>
                <w:rFonts w:eastAsia="Times New Roman" w:cs="Times New Roman"/>
                <w:szCs w:val="20"/>
              </w:rPr>
              <w:t>a</w:t>
            </w:r>
            <w:r>
              <w:rPr>
                <w:rFonts w:eastAsia="Times New Roman" w:cs="Times New Roman"/>
                <w:spacing w:val="3"/>
                <w:szCs w:val="20"/>
              </w:rPr>
              <w:t>z</w:t>
            </w:r>
            <w:r>
              <w:rPr>
                <w:rFonts w:eastAsia="Times New Roman" w:cs="Times New Roman"/>
                <w:spacing w:val="-1"/>
                <w:szCs w:val="20"/>
              </w:rPr>
              <w:t>yn</w:t>
            </w:r>
            <w:r>
              <w:rPr>
                <w:rFonts w:eastAsia="Times New Roman" w:cs="Times New Roman"/>
                <w:spacing w:val="6"/>
                <w:szCs w:val="20"/>
              </w:rPr>
              <w:t>o</w:t>
            </w:r>
            <w:r>
              <w:rPr>
                <w:rFonts w:eastAsia="Times New Roman" w:cs="Times New Roman"/>
                <w:spacing w:val="-2"/>
                <w:szCs w:val="20"/>
              </w:rPr>
              <w:t>w</w:t>
            </w:r>
            <w:r>
              <w:rPr>
                <w:rFonts w:eastAsia="Times New Roman" w:cs="Times New Roman"/>
                <w:szCs w:val="20"/>
              </w:rPr>
              <w:t>a</w:t>
            </w:r>
            <w:r>
              <w:rPr>
                <w:rFonts w:eastAsia="Times New Roman" w:cs="Times New Roman"/>
                <w:spacing w:val="-1"/>
                <w:szCs w:val="20"/>
              </w:rPr>
              <w:t>n</w:t>
            </w:r>
            <w:r>
              <w:rPr>
                <w:rFonts w:eastAsia="Times New Roman" w:cs="Times New Roman"/>
                <w:szCs w:val="20"/>
              </w:rPr>
              <w:t xml:space="preserve">ia. </w:t>
            </w:r>
            <w:r>
              <w:rPr>
                <w:rFonts w:eastAsia="Times New Roman" w:cs="Times New Roman"/>
                <w:spacing w:val="-1"/>
                <w:szCs w:val="20"/>
              </w:rPr>
              <w:t>R</w:t>
            </w:r>
            <w:r>
              <w:rPr>
                <w:rFonts w:eastAsia="Times New Roman" w:cs="Times New Roman"/>
                <w:spacing w:val="1"/>
                <w:szCs w:val="20"/>
              </w:rPr>
              <w:t>ó</w:t>
            </w:r>
            <w:r>
              <w:rPr>
                <w:rFonts w:eastAsia="Times New Roman" w:cs="Times New Roman"/>
                <w:szCs w:val="20"/>
              </w:rPr>
              <w:t>ż</w:t>
            </w:r>
            <w:r>
              <w:rPr>
                <w:rFonts w:eastAsia="Times New Roman" w:cs="Times New Roman"/>
                <w:spacing w:val="-1"/>
                <w:szCs w:val="20"/>
              </w:rPr>
              <w:t>n</w:t>
            </w:r>
            <w:r>
              <w:rPr>
                <w:rFonts w:eastAsia="Times New Roman" w:cs="Times New Roman"/>
                <w:szCs w:val="20"/>
              </w:rPr>
              <w:t>ica t</w:t>
            </w:r>
            <w:r>
              <w:rPr>
                <w:rFonts w:eastAsia="Times New Roman" w:cs="Times New Roman"/>
                <w:spacing w:val="2"/>
                <w:szCs w:val="20"/>
              </w:rPr>
              <w:t>e</w:t>
            </w:r>
            <w:r>
              <w:rPr>
                <w:rFonts w:eastAsia="Times New Roman" w:cs="Times New Roman"/>
                <w:spacing w:val="-4"/>
                <w:szCs w:val="20"/>
              </w:rPr>
              <w:t>m</w:t>
            </w:r>
            <w:r>
              <w:rPr>
                <w:rFonts w:eastAsia="Times New Roman" w:cs="Times New Roman"/>
                <w:spacing w:val="1"/>
                <w:szCs w:val="20"/>
              </w:rPr>
              <w:t>p</w:t>
            </w:r>
            <w:r>
              <w:rPr>
                <w:rFonts w:eastAsia="Times New Roman" w:cs="Times New Roman"/>
                <w:szCs w:val="20"/>
              </w:rPr>
              <w:t>e</w:t>
            </w:r>
            <w:r>
              <w:rPr>
                <w:rFonts w:eastAsia="Times New Roman" w:cs="Times New Roman"/>
                <w:spacing w:val="1"/>
                <w:szCs w:val="20"/>
              </w:rPr>
              <w:t>r</w:t>
            </w:r>
            <w:r>
              <w:rPr>
                <w:rFonts w:eastAsia="Times New Roman" w:cs="Times New Roman"/>
                <w:szCs w:val="20"/>
              </w:rPr>
              <w:t>at</w:t>
            </w:r>
            <w:r>
              <w:rPr>
                <w:rFonts w:eastAsia="Times New Roman" w:cs="Times New Roman"/>
                <w:spacing w:val="-1"/>
                <w:szCs w:val="20"/>
              </w:rPr>
              <w:t>u</w:t>
            </w:r>
            <w:r>
              <w:rPr>
                <w:rFonts w:eastAsia="Times New Roman" w:cs="Times New Roman"/>
                <w:szCs w:val="20"/>
              </w:rPr>
              <w:t xml:space="preserve">r </w:t>
            </w:r>
            <w:r>
              <w:rPr>
                <w:rFonts w:eastAsia="Times New Roman" w:cs="Times New Roman"/>
                <w:spacing w:val="-1"/>
                <w:szCs w:val="20"/>
              </w:rPr>
              <w:t>m</w:t>
            </w:r>
            <w:r>
              <w:rPr>
                <w:rFonts w:eastAsia="Times New Roman" w:cs="Times New Roman"/>
                <w:szCs w:val="20"/>
              </w:rPr>
              <w:t>i</w:t>
            </w:r>
            <w:r>
              <w:rPr>
                <w:rFonts w:eastAsia="Times New Roman" w:cs="Times New Roman"/>
                <w:spacing w:val="2"/>
                <w:szCs w:val="20"/>
              </w:rPr>
              <w:t>ę</w:t>
            </w:r>
            <w:r>
              <w:rPr>
                <w:rFonts w:eastAsia="Times New Roman" w:cs="Times New Roman"/>
                <w:spacing w:val="-1"/>
                <w:szCs w:val="20"/>
              </w:rPr>
              <w:t>kn</w:t>
            </w:r>
            <w:r>
              <w:rPr>
                <w:rFonts w:eastAsia="Times New Roman" w:cs="Times New Roman"/>
                <w:szCs w:val="20"/>
              </w:rPr>
              <w:t>i</w:t>
            </w:r>
            <w:r>
              <w:rPr>
                <w:rFonts w:eastAsia="Times New Roman" w:cs="Times New Roman"/>
                <w:spacing w:val="2"/>
                <w:szCs w:val="20"/>
              </w:rPr>
              <w:t>e</w:t>
            </w:r>
            <w:r>
              <w:rPr>
                <w:rFonts w:eastAsia="Times New Roman" w:cs="Times New Roman"/>
                <w:spacing w:val="-1"/>
                <w:szCs w:val="20"/>
              </w:rPr>
              <w:t>n</w:t>
            </w:r>
            <w:r>
              <w:rPr>
                <w:rFonts w:eastAsia="Times New Roman" w:cs="Times New Roman"/>
                <w:szCs w:val="20"/>
              </w:rPr>
              <w:t>ia</w:t>
            </w:r>
          </w:p>
        </w:tc>
        <w:tc>
          <w:tcPr>
            <w:tcW w:w="1969"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2"/>
                <w:szCs w:val="20"/>
              </w:rPr>
              <w:t>P</w:t>
            </w:r>
            <w:r>
              <w:rPr>
                <w:rFonts w:eastAsia="Times New Roman" w:cs="Times New Roman"/>
                <w:szCs w:val="20"/>
              </w:rPr>
              <w:t>N</w:t>
            </w:r>
            <w:r>
              <w:rPr>
                <w:rFonts w:eastAsia="Times New Roman" w:cs="Times New Roman"/>
                <w:spacing w:val="-2"/>
                <w:szCs w:val="20"/>
              </w:rPr>
              <w:t>-</w:t>
            </w:r>
            <w:r>
              <w:rPr>
                <w:rFonts w:eastAsia="Times New Roman" w:cs="Times New Roman"/>
                <w:szCs w:val="20"/>
              </w:rPr>
              <w:t>EN</w:t>
            </w:r>
            <w:r>
              <w:rPr>
                <w:rFonts w:eastAsia="Times New Roman" w:cs="Times New Roman"/>
                <w:spacing w:val="-6"/>
                <w:szCs w:val="20"/>
              </w:rPr>
              <w:t xml:space="preserve"> </w:t>
            </w:r>
            <w:r>
              <w:rPr>
                <w:rFonts w:eastAsia="Times New Roman" w:cs="Times New Roman"/>
                <w:spacing w:val="1"/>
                <w:szCs w:val="20"/>
              </w:rPr>
              <w:t>1339</w:t>
            </w:r>
            <w:r>
              <w:rPr>
                <w:rFonts w:eastAsia="Times New Roman" w:cs="Times New Roman"/>
                <w:szCs w:val="20"/>
              </w:rPr>
              <w:t>9</w:t>
            </w:r>
          </w:p>
          <w:p w:rsidR="00B77F00" w:rsidRDefault="00865FA3">
            <w:pPr>
              <w:pStyle w:val="Standard"/>
              <w:rPr>
                <w:szCs w:val="20"/>
              </w:rPr>
            </w:pPr>
            <w:r>
              <w:rPr>
                <w:rFonts w:eastAsia="Times New Roman" w:cs="Times New Roman"/>
                <w:spacing w:val="2"/>
                <w:szCs w:val="20"/>
              </w:rPr>
              <w:t>P</w:t>
            </w:r>
            <w:r>
              <w:rPr>
                <w:rFonts w:eastAsia="Times New Roman" w:cs="Times New Roman"/>
                <w:szCs w:val="20"/>
              </w:rPr>
              <w:t>N</w:t>
            </w:r>
            <w:r>
              <w:rPr>
                <w:rFonts w:eastAsia="Times New Roman" w:cs="Times New Roman"/>
                <w:spacing w:val="-2"/>
                <w:szCs w:val="20"/>
              </w:rPr>
              <w:t>-</w:t>
            </w:r>
            <w:r>
              <w:rPr>
                <w:rFonts w:eastAsia="Times New Roman" w:cs="Times New Roman"/>
                <w:szCs w:val="20"/>
              </w:rPr>
              <w:t>EN</w:t>
            </w:r>
            <w:r>
              <w:rPr>
                <w:rFonts w:eastAsia="Times New Roman" w:cs="Times New Roman"/>
                <w:spacing w:val="-6"/>
                <w:szCs w:val="20"/>
              </w:rPr>
              <w:t xml:space="preserve"> </w:t>
            </w:r>
            <w:r>
              <w:rPr>
                <w:rFonts w:eastAsia="Times New Roman" w:cs="Times New Roman"/>
                <w:spacing w:val="1"/>
                <w:szCs w:val="20"/>
              </w:rPr>
              <w:t>142</w:t>
            </w:r>
            <w:r>
              <w:rPr>
                <w:rFonts w:eastAsia="Times New Roman" w:cs="Times New Roman"/>
                <w:szCs w:val="20"/>
              </w:rPr>
              <w:t>7</w:t>
            </w:r>
          </w:p>
        </w:tc>
        <w:tc>
          <w:tcPr>
            <w:tcW w:w="1297"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w w:val="99"/>
                <w:szCs w:val="20"/>
              </w:rPr>
            </w:pPr>
            <w:r>
              <w:rPr>
                <w:rFonts w:eastAsia="Times New Roman" w:cs="Times New Roman"/>
                <w:w w:val="99"/>
                <w:szCs w:val="20"/>
              </w:rPr>
              <w:t>°C</w:t>
            </w:r>
          </w:p>
        </w:tc>
        <w:tc>
          <w:tcPr>
            <w:tcW w:w="1728"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 xml:space="preserve">≤ </w:t>
            </w:r>
            <w:r>
              <w:rPr>
                <w:rFonts w:eastAsia="Times New Roman" w:cs="Times New Roman"/>
                <w:w w:val="99"/>
                <w:szCs w:val="20"/>
              </w:rPr>
              <w:t>5</w:t>
            </w:r>
          </w:p>
        </w:tc>
        <w:tc>
          <w:tcPr>
            <w:tcW w:w="129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w w:val="99"/>
                <w:szCs w:val="20"/>
              </w:rPr>
            </w:pPr>
            <w:r>
              <w:rPr>
                <w:rFonts w:eastAsia="Times New Roman" w:cs="Times New Roman"/>
                <w:w w:val="99"/>
                <w:szCs w:val="20"/>
              </w:rPr>
              <w:t>2</w:t>
            </w:r>
          </w:p>
        </w:tc>
      </w:tr>
      <w:tr w:rsidR="00B77F00">
        <w:tblPrEx>
          <w:tblCellMar>
            <w:top w:w="0" w:type="dxa"/>
            <w:bottom w:w="0" w:type="dxa"/>
          </w:tblCellMar>
        </w:tblPrEx>
        <w:trPr>
          <w:cantSplit/>
        </w:trPr>
        <w:tc>
          <w:tcPr>
            <w:tcW w:w="1695" w:type="dxa"/>
            <w:vMerge/>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000000" w:rsidRDefault="00865FA3"/>
        </w:tc>
        <w:tc>
          <w:tcPr>
            <w:tcW w:w="1654"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Sta</w:t>
            </w:r>
            <w:r>
              <w:rPr>
                <w:rFonts w:eastAsia="Times New Roman" w:cs="Times New Roman"/>
                <w:spacing w:val="1"/>
                <w:szCs w:val="20"/>
              </w:rPr>
              <w:t>b</w:t>
            </w:r>
            <w:r>
              <w:rPr>
                <w:rFonts w:eastAsia="Times New Roman" w:cs="Times New Roman"/>
                <w:szCs w:val="20"/>
              </w:rPr>
              <w:t>il</w:t>
            </w:r>
            <w:r>
              <w:rPr>
                <w:rFonts w:eastAsia="Times New Roman" w:cs="Times New Roman"/>
                <w:spacing w:val="-2"/>
                <w:szCs w:val="20"/>
              </w:rPr>
              <w:t>n</w:t>
            </w:r>
            <w:r>
              <w:rPr>
                <w:rFonts w:eastAsia="Times New Roman" w:cs="Times New Roman"/>
                <w:spacing w:val="1"/>
                <w:szCs w:val="20"/>
              </w:rPr>
              <w:t>o</w:t>
            </w:r>
            <w:r>
              <w:rPr>
                <w:rFonts w:eastAsia="Times New Roman" w:cs="Times New Roman"/>
                <w:spacing w:val="-1"/>
                <w:szCs w:val="20"/>
              </w:rPr>
              <w:t>ś</w:t>
            </w:r>
            <w:r>
              <w:rPr>
                <w:rFonts w:eastAsia="Times New Roman" w:cs="Times New Roman"/>
                <w:szCs w:val="20"/>
              </w:rPr>
              <w:t>ć</w:t>
            </w:r>
          </w:p>
          <w:p w:rsidR="00B77F00" w:rsidRDefault="00865FA3">
            <w:pPr>
              <w:pStyle w:val="Standard"/>
              <w:rPr>
                <w:szCs w:val="20"/>
              </w:rPr>
            </w:pPr>
            <w:r>
              <w:rPr>
                <w:rFonts w:eastAsia="Times New Roman" w:cs="Times New Roman"/>
                <w:spacing w:val="-1"/>
                <w:szCs w:val="20"/>
              </w:rPr>
              <w:t>m</w:t>
            </w:r>
            <w:r>
              <w:rPr>
                <w:rFonts w:eastAsia="Times New Roman" w:cs="Times New Roman"/>
                <w:szCs w:val="20"/>
              </w:rPr>
              <w:t>a</w:t>
            </w:r>
            <w:r>
              <w:rPr>
                <w:rFonts w:eastAsia="Times New Roman" w:cs="Times New Roman"/>
                <w:spacing w:val="-1"/>
                <w:szCs w:val="20"/>
              </w:rPr>
              <w:t>g</w:t>
            </w:r>
            <w:r>
              <w:rPr>
                <w:rFonts w:eastAsia="Times New Roman" w:cs="Times New Roman"/>
                <w:szCs w:val="20"/>
              </w:rPr>
              <w:t>a</w:t>
            </w:r>
            <w:r>
              <w:rPr>
                <w:rFonts w:eastAsia="Times New Roman" w:cs="Times New Roman"/>
                <w:spacing w:val="3"/>
                <w:szCs w:val="20"/>
              </w:rPr>
              <w:t>z</w:t>
            </w:r>
            <w:r>
              <w:rPr>
                <w:rFonts w:eastAsia="Times New Roman" w:cs="Times New Roman"/>
                <w:spacing w:val="-1"/>
                <w:szCs w:val="20"/>
              </w:rPr>
              <w:t>yn</w:t>
            </w:r>
            <w:r>
              <w:rPr>
                <w:rFonts w:eastAsia="Times New Roman" w:cs="Times New Roman"/>
                <w:spacing w:val="6"/>
                <w:szCs w:val="20"/>
              </w:rPr>
              <w:t>o</w:t>
            </w:r>
            <w:r>
              <w:rPr>
                <w:rFonts w:eastAsia="Times New Roman" w:cs="Times New Roman"/>
                <w:spacing w:val="-2"/>
                <w:szCs w:val="20"/>
              </w:rPr>
              <w:t>w</w:t>
            </w:r>
            <w:r>
              <w:rPr>
                <w:rFonts w:eastAsia="Times New Roman" w:cs="Times New Roman"/>
                <w:szCs w:val="20"/>
              </w:rPr>
              <w:t>a</w:t>
            </w:r>
            <w:r>
              <w:rPr>
                <w:rFonts w:eastAsia="Times New Roman" w:cs="Times New Roman"/>
                <w:spacing w:val="-1"/>
                <w:szCs w:val="20"/>
              </w:rPr>
              <w:t>n</w:t>
            </w:r>
            <w:r>
              <w:rPr>
                <w:rFonts w:eastAsia="Times New Roman" w:cs="Times New Roman"/>
                <w:szCs w:val="20"/>
              </w:rPr>
              <w:t xml:space="preserve">ia. </w:t>
            </w:r>
            <w:r>
              <w:rPr>
                <w:rFonts w:eastAsia="Times New Roman" w:cs="Times New Roman"/>
                <w:spacing w:val="-1"/>
                <w:szCs w:val="20"/>
              </w:rPr>
              <w:t>R</w:t>
            </w:r>
            <w:r>
              <w:rPr>
                <w:rFonts w:eastAsia="Times New Roman" w:cs="Times New Roman"/>
                <w:spacing w:val="1"/>
                <w:szCs w:val="20"/>
              </w:rPr>
              <w:t>ó</w:t>
            </w:r>
            <w:r>
              <w:rPr>
                <w:rFonts w:eastAsia="Times New Roman" w:cs="Times New Roman"/>
                <w:szCs w:val="20"/>
              </w:rPr>
              <w:t>ż</w:t>
            </w:r>
            <w:r>
              <w:rPr>
                <w:rFonts w:eastAsia="Times New Roman" w:cs="Times New Roman"/>
                <w:spacing w:val="-1"/>
                <w:szCs w:val="20"/>
              </w:rPr>
              <w:t>n</w:t>
            </w:r>
            <w:r>
              <w:rPr>
                <w:rFonts w:eastAsia="Times New Roman" w:cs="Times New Roman"/>
                <w:szCs w:val="20"/>
              </w:rPr>
              <w:t xml:space="preserve">ica </w:t>
            </w:r>
            <w:r>
              <w:rPr>
                <w:rFonts w:eastAsia="Times New Roman" w:cs="Times New Roman"/>
                <w:spacing w:val="1"/>
                <w:szCs w:val="20"/>
              </w:rPr>
              <w:t>p</w:t>
            </w:r>
            <w:r>
              <w:rPr>
                <w:rFonts w:eastAsia="Times New Roman" w:cs="Times New Roman"/>
                <w:szCs w:val="20"/>
              </w:rPr>
              <w:t>e</w:t>
            </w:r>
            <w:r>
              <w:rPr>
                <w:rFonts w:eastAsia="Times New Roman" w:cs="Times New Roman"/>
                <w:spacing w:val="-1"/>
                <w:szCs w:val="20"/>
              </w:rPr>
              <w:t>n</w:t>
            </w:r>
            <w:r>
              <w:rPr>
                <w:rFonts w:eastAsia="Times New Roman" w:cs="Times New Roman"/>
                <w:szCs w:val="20"/>
              </w:rPr>
              <w:t>et</w:t>
            </w:r>
            <w:r>
              <w:rPr>
                <w:rFonts w:eastAsia="Times New Roman" w:cs="Times New Roman"/>
                <w:spacing w:val="1"/>
                <w:szCs w:val="20"/>
              </w:rPr>
              <w:t>r</w:t>
            </w:r>
            <w:r>
              <w:rPr>
                <w:rFonts w:eastAsia="Times New Roman" w:cs="Times New Roman"/>
                <w:szCs w:val="20"/>
              </w:rPr>
              <w:t>a</w:t>
            </w:r>
            <w:r>
              <w:rPr>
                <w:rFonts w:eastAsia="Times New Roman" w:cs="Times New Roman"/>
                <w:spacing w:val="1"/>
                <w:szCs w:val="20"/>
              </w:rPr>
              <w:t>c</w:t>
            </w:r>
            <w:r>
              <w:rPr>
                <w:rFonts w:eastAsia="Times New Roman" w:cs="Times New Roman"/>
                <w:spacing w:val="2"/>
                <w:szCs w:val="20"/>
              </w:rPr>
              <w:t>j</w:t>
            </w:r>
            <w:r>
              <w:rPr>
                <w:rFonts w:eastAsia="Times New Roman" w:cs="Times New Roman"/>
                <w:szCs w:val="20"/>
              </w:rPr>
              <w:t>i</w:t>
            </w:r>
          </w:p>
        </w:tc>
        <w:tc>
          <w:tcPr>
            <w:tcW w:w="1969"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2"/>
                <w:szCs w:val="20"/>
              </w:rPr>
              <w:t>P</w:t>
            </w:r>
            <w:r>
              <w:rPr>
                <w:rFonts w:eastAsia="Times New Roman" w:cs="Times New Roman"/>
                <w:szCs w:val="20"/>
              </w:rPr>
              <w:t>N</w:t>
            </w:r>
            <w:r>
              <w:rPr>
                <w:rFonts w:eastAsia="Times New Roman" w:cs="Times New Roman"/>
                <w:spacing w:val="-2"/>
                <w:szCs w:val="20"/>
              </w:rPr>
              <w:t>-</w:t>
            </w:r>
            <w:r>
              <w:rPr>
                <w:rFonts w:eastAsia="Times New Roman" w:cs="Times New Roman"/>
                <w:szCs w:val="20"/>
              </w:rPr>
              <w:t>EN</w:t>
            </w:r>
            <w:r>
              <w:rPr>
                <w:rFonts w:eastAsia="Times New Roman" w:cs="Times New Roman"/>
                <w:spacing w:val="-6"/>
                <w:szCs w:val="20"/>
              </w:rPr>
              <w:t xml:space="preserve"> </w:t>
            </w:r>
            <w:r>
              <w:rPr>
                <w:rFonts w:eastAsia="Times New Roman" w:cs="Times New Roman"/>
                <w:spacing w:val="1"/>
                <w:szCs w:val="20"/>
              </w:rPr>
              <w:t>1339</w:t>
            </w:r>
            <w:r>
              <w:rPr>
                <w:rFonts w:eastAsia="Times New Roman" w:cs="Times New Roman"/>
                <w:szCs w:val="20"/>
              </w:rPr>
              <w:t>9</w:t>
            </w:r>
          </w:p>
          <w:p w:rsidR="00B77F00" w:rsidRDefault="00865FA3">
            <w:pPr>
              <w:pStyle w:val="Standard"/>
              <w:rPr>
                <w:szCs w:val="20"/>
              </w:rPr>
            </w:pPr>
            <w:r>
              <w:rPr>
                <w:rFonts w:eastAsia="Times New Roman" w:cs="Times New Roman"/>
                <w:spacing w:val="2"/>
                <w:szCs w:val="20"/>
              </w:rPr>
              <w:t>P</w:t>
            </w:r>
            <w:r>
              <w:rPr>
                <w:rFonts w:eastAsia="Times New Roman" w:cs="Times New Roman"/>
                <w:szCs w:val="20"/>
              </w:rPr>
              <w:t>N</w:t>
            </w:r>
            <w:r>
              <w:rPr>
                <w:rFonts w:eastAsia="Times New Roman" w:cs="Times New Roman"/>
                <w:spacing w:val="-2"/>
                <w:szCs w:val="20"/>
              </w:rPr>
              <w:t>-</w:t>
            </w:r>
            <w:r>
              <w:rPr>
                <w:rFonts w:eastAsia="Times New Roman" w:cs="Times New Roman"/>
                <w:szCs w:val="20"/>
              </w:rPr>
              <w:t>EN</w:t>
            </w:r>
            <w:r>
              <w:rPr>
                <w:rFonts w:eastAsia="Times New Roman" w:cs="Times New Roman"/>
                <w:spacing w:val="-6"/>
                <w:szCs w:val="20"/>
              </w:rPr>
              <w:t xml:space="preserve"> </w:t>
            </w:r>
            <w:r>
              <w:rPr>
                <w:rFonts w:eastAsia="Times New Roman" w:cs="Times New Roman"/>
                <w:spacing w:val="1"/>
                <w:szCs w:val="20"/>
              </w:rPr>
              <w:t>142</w:t>
            </w:r>
            <w:r>
              <w:rPr>
                <w:rFonts w:eastAsia="Times New Roman" w:cs="Times New Roman"/>
                <w:szCs w:val="20"/>
              </w:rPr>
              <w:t>6</w:t>
            </w:r>
          </w:p>
        </w:tc>
        <w:tc>
          <w:tcPr>
            <w:tcW w:w="1297"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1"/>
                <w:szCs w:val="20"/>
              </w:rPr>
              <w:t>0</w:t>
            </w:r>
            <w:r>
              <w:rPr>
                <w:rFonts w:eastAsia="Times New Roman" w:cs="Times New Roman"/>
                <w:szCs w:val="20"/>
              </w:rPr>
              <w:t>,1</w:t>
            </w:r>
            <w:r>
              <w:rPr>
                <w:rFonts w:eastAsia="Times New Roman" w:cs="Times New Roman"/>
                <w:spacing w:val="-2"/>
                <w:szCs w:val="20"/>
              </w:rPr>
              <w:t xml:space="preserve"> </w:t>
            </w:r>
            <w:r>
              <w:rPr>
                <w:rFonts w:eastAsia="Times New Roman" w:cs="Times New Roman"/>
                <w:spacing w:val="-1"/>
                <w:szCs w:val="20"/>
              </w:rPr>
              <w:t>m</w:t>
            </w:r>
            <w:r>
              <w:rPr>
                <w:rFonts w:eastAsia="Times New Roman" w:cs="Times New Roman"/>
                <w:szCs w:val="20"/>
              </w:rPr>
              <w:t>m</w:t>
            </w:r>
          </w:p>
        </w:tc>
        <w:tc>
          <w:tcPr>
            <w:tcW w:w="1728"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w w:val="99"/>
                <w:position w:val="-6"/>
                <w:szCs w:val="20"/>
              </w:rPr>
              <w:t>N</w:t>
            </w:r>
            <w:r>
              <w:rPr>
                <w:rFonts w:eastAsia="Times New Roman" w:cs="Times New Roman"/>
                <w:spacing w:val="2"/>
                <w:w w:val="99"/>
                <w:position w:val="-6"/>
                <w:szCs w:val="20"/>
              </w:rPr>
              <w:t>P</w:t>
            </w:r>
            <w:r>
              <w:rPr>
                <w:rFonts w:eastAsia="Times New Roman" w:cs="Times New Roman"/>
                <w:w w:val="99"/>
                <w:position w:val="-6"/>
                <w:szCs w:val="20"/>
              </w:rPr>
              <w:t>D</w:t>
            </w:r>
            <w:r>
              <w:rPr>
                <w:rFonts w:eastAsia="Times New Roman" w:cs="Times New Roman"/>
                <w:w w:val="99"/>
                <w:position w:val="14"/>
                <w:szCs w:val="20"/>
              </w:rPr>
              <w:t>a</w:t>
            </w:r>
          </w:p>
        </w:tc>
        <w:tc>
          <w:tcPr>
            <w:tcW w:w="129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w w:val="99"/>
                <w:szCs w:val="20"/>
              </w:rPr>
            </w:pPr>
            <w:r>
              <w:rPr>
                <w:rFonts w:eastAsia="Times New Roman" w:cs="Times New Roman"/>
                <w:w w:val="99"/>
                <w:szCs w:val="20"/>
              </w:rPr>
              <w:t>0</w:t>
            </w:r>
          </w:p>
        </w:tc>
      </w:tr>
      <w:tr w:rsidR="00B77F00">
        <w:tblPrEx>
          <w:tblCellMar>
            <w:top w:w="0" w:type="dxa"/>
            <w:bottom w:w="0" w:type="dxa"/>
          </w:tblCellMar>
        </w:tblPrEx>
        <w:trPr>
          <w:cantSplit/>
        </w:trPr>
        <w:tc>
          <w:tcPr>
            <w:tcW w:w="1695" w:type="dxa"/>
            <w:vMerge/>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000000" w:rsidRDefault="00865FA3"/>
        </w:tc>
        <w:tc>
          <w:tcPr>
            <w:tcW w:w="1654"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S</w:t>
            </w:r>
            <w:r>
              <w:rPr>
                <w:rFonts w:eastAsia="Times New Roman" w:cs="Times New Roman"/>
                <w:spacing w:val="1"/>
                <w:szCs w:val="20"/>
              </w:rPr>
              <w:t>p</w:t>
            </w:r>
            <w:r>
              <w:rPr>
                <w:rFonts w:eastAsia="Times New Roman" w:cs="Times New Roman"/>
                <w:szCs w:val="20"/>
              </w:rPr>
              <w:t>a</w:t>
            </w:r>
            <w:r>
              <w:rPr>
                <w:rFonts w:eastAsia="Times New Roman" w:cs="Times New Roman"/>
                <w:spacing w:val="1"/>
                <w:szCs w:val="20"/>
              </w:rPr>
              <w:t>d</w:t>
            </w:r>
            <w:r>
              <w:rPr>
                <w:rFonts w:eastAsia="Times New Roman" w:cs="Times New Roman"/>
                <w:szCs w:val="20"/>
              </w:rPr>
              <w:t>ek</w:t>
            </w:r>
          </w:p>
          <w:p w:rsidR="00B77F00" w:rsidRDefault="00865FA3">
            <w:pPr>
              <w:pStyle w:val="Standard"/>
              <w:rPr>
                <w:szCs w:val="20"/>
              </w:rPr>
            </w:pPr>
            <w:r>
              <w:rPr>
                <w:rFonts w:eastAsia="Times New Roman" w:cs="Times New Roman"/>
                <w:szCs w:val="20"/>
              </w:rPr>
              <w:t>t</w:t>
            </w:r>
            <w:r>
              <w:rPr>
                <w:rFonts w:eastAsia="Times New Roman" w:cs="Times New Roman"/>
                <w:spacing w:val="2"/>
                <w:szCs w:val="20"/>
              </w:rPr>
              <w:t>e</w:t>
            </w:r>
            <w:r>
              <w:rPr>
                <w:rFonts w:eastAsia="Times New Roman" w:cs="Times New Roman"/>
                <w:spacing w:val="-4"/>
                <w:szCs w:val="20"/>
              </w:rPr>
              <w:t>m</w:t>
            </w:r>
            <w:r>
              <w:rPr>
                <w:rFonts w:eastAsia="Times New Roman" w:cs="Times New Roman"/>
                <w:spacing w:val="1"/>
                <w:szCs w:val="20"/>
              </w:rPr>
              <w:t>p</w:t>
            </w:r>
            <w:r>
              <w:rPr>
                <w:rFonts w:eastAsia="Times New Roman" w:cs="Times New Roman"/>
                <w:szCs w:val="20"/>
              </w:rPr>
              <w:t>e</w:t>
            </w:r>
            <w:r>
              <w:rPr>
                <w:rFonts w:eastAsia="Times New Roman" w:cs="Times New Roman"/>
                <w:spacing w:val="1"/>
                <w:szCs w:val="20"/>
              </w:rPr>
              <w:t>r</w:t>
            </w:r>
            <w:r>
              <w:rPr>
                <w:rFonts w:eastAsia="Times New Roman" w:cs="Times New Roman"/>
                <w:szCs w:val="20"/>
              </w:rPr>
              <w:t>at</w:t>
            </w:r>
            <w:r>
              <w:rPr>
                <w:rFonts w:eastAsia="Times New Roman" w:cs="Times New Roman"/>
                <w:spacing w:val="-1"/>
                <w:szCs w:val="20"/>
              </w:rPr>
              <w:t>u</w:t>
            </w:r>
            <w:r>
              <w:rPr>
                <w:rFonts w:eastAsia="Times New Roman" w:cs="Times New Roman"/>
                <w:spacing w:val="3"/>
                <w:szCs w:val="20"/>
              </w:rPr>
              <w:t>r</w:t>
            </w:r>
            <w:r>
              <w:rPr>
                <w:rFonts w:eastAsia="Times New Roman" w:cs="Times New Roman"/>
                <w:szCs w:val="20"/>
              </w:rPr>
              <w:t xml:space="preserve">y </w:t>
            </w:r>
            <w:r>
              <w:rPr>
                <w:rFonts w:eastAsia="Times New Roman" w:cs="Times New Roman"/>
                <w:spacing w:val="-1"/>
                <w:szCs w:val="20"/>
              </w:rPr>
              <w:t>m</w:t>
            </w:r>
            <w:r>
              <w:rPr>
                <w:rFonts w:eastAsia="Times New Roman" w:cs="Times New Roman"/>
                <w:szCs w:val="20"/>
              </w:rPr>
              <w:t>i</w:t>
            </w:r>
            <w:r>
              <w:rPr>
                <w:rFonts w:eastAsia="Times New Roman" w:cs="Times New Roman"/>
                <w:spacing w:val="2"/>
                <w:szCs w:val="20"/>
              </w:rPr>
              <w:t>ę</w:t>
            </w:r>
            <w:r>
              <w:rPr>
                <w:rFonts w:eastAsia="Times New Roman" w:cs="Times New Roman"/>
                <w:spacing w:val="-1"/>
                <w:szCs w:val="20"/>
              </w:rPr>
              <w:t>kn</w:t>
            </w:r>
            <w:r>
              <w:rPr>
                <w:rFonts w:eastAsia="Times New Roman" w:cs="Times New Roman"/>
                <w:szCs w:val="20"/>
              </w:rPr>
              <w:t>i</w:t>
            </w:r>
            <w:r>
              <w:rPr>
                <w:rFonts w:eastAsia="Times New Roman" w:cs="Times New Roman"/>
                <w:spacing w:val="2"/>
                <w:szCs w:val="20"/>
              </w:rPr>
              <w:t>e</w:t>
            </w:r>
            <w:r>
              <w:rPr>
                <w:rFonts w:eastAsia="Times New Roman" w:cs="Times New Roman"/>
                <w:spacing w:val="-1"/>
                <w:szCs w:val="20"/>
              </w:rPr>
              <w:t>n</w:t>
            </w:r>
            <w:r>
              <w:rPr>
                <w:rFonts w:eastAsia="Times New Roman" w:cs="Times New Roman"/>
                <w:szCs w:val="20"/>
              </w:rPr>
              <w:t>ia</w:t>
            </w:r>
            <w:r>
              <w:rPr>
                <w:rFonts w:eastAsia="Times New Roman" w:cs="Times New Roman"/>
                <w:spacing w:val="-9"/>
                <w:szCs w:val="20"/>
              </w:rPr>
              <w:t xml:space="preserve"> </w:t>
            </w:r>
            <w:r>
              <w:rPr>
                <w:rFonts w:eastAsia="Times New Roman" w:cs="Times New Roman"/>
                <w:spacing w:val="1"/>
                <w:szCs w:val="20"/>
              </w:rPr>
              <w:t>p</w:t>
            </w:r>
            <w:r>
              <w:rPr>
                <w:rFonts w:eastAsia="Times New Roman" w:cs="Times New Roman"/>
                <w:szCs w:val="20"/>
              </w:rPr>
              <w:t xml:space="preserve">o </w:t>
            </w:r>
            <w:r>
              <w:rPr>
                <w:rFonts w:eastAsia="Times New Roman" w:cs="Times New Roman"/>
                <w:spacing w:val="-1"/>
                <w:szCs w:val="20"/>
              </w:rPr>
              <w:t>s</w:t>
            </w:r>
            <w:r>
              <w:rPr>
                <w:rFonts w:eastAsia="Times New Roman" w:cs="Times New Roman"/>
                <w:szCs w:val="20"/>
              </w:rPr>
              <w:t>ta</w:t>
            </w:r>
            <w:r>
              <w:rPr>
                <w:rFonts w:eastAsia="Times New Roman" w:cs="Times New Roman"/>
                <w:spacing w:val="1"/>
                <w:szCs w:val="20"/>
              </w:rPr>
              <w:t>r</w:t>
            </w:r>
            <w:r>
              <w:rPr>
                <w:rFonts w:eastAsia="Times New Roman" w:cs="Times New Roman"/>
                <w:szCs w:val="20"/>
              </w:rPr>
              <w:t>z</w:t>
            </w:r>
            <w:r>
              <w:rPr>
                <w:rFonts w:eastAsia="Times New Roman" w:cs="Times New Roman"/>
                <w:spacing w:val="1"/>
                <w:szCs w:val="20"/>
              </w:rPr>
              <w:t>e</w:t>
            </w:r>
            <w:r>
              <w:rPr>
                <w:rFonts w:eastAsia="Times New Roman" w:cs="Times New Roman"/>
                <w:spacing w:val="-1"/>
                <w:szCs w:val="20"/>
              </w:rPr>
              <w:t>n</w:t>
            </w:r>
            <w:r>
              <w:rPr>
                <w:rFonts w:eastAsia="Times New Roman" w:cs="Times New Roman"/>
                <w:spacing w:val="2"/>
                <w:szCs w:val="20"/>
              </w:rPr>
              <w:t>i</w:t>
            </w:r>
            <w:r>
              <w:rPr>
                <w:rFonts w:eastAsia="Times New Roman" w:cs="Times New Roman"/>
                <w:szCs w:val="20"/>
              </w:rPr>
              <w:t>u</w:t>
            </w:r>
            <w:r>
              <w:rPr>
                <w:rFonts w:eastAsia="Times New Roman" w:cs="Times New Roman"/>
                <w:spacing w:val="-6"/>
                <w:szCs w:val="20"/>
              </w:rPr>
              <w:t xml:space="preserve"> </w:t>
            </w:r>
            <w:r>
              <w:rPr>
                <w:rFonts w:eastAsia="Times New Roman" w:cs="Times New Roman"/>
                <w:spacing w:val="-2"/>
                <w:szCs w:val="20"/>
              </w:rPr>
              <w:t>w</w:t>
            </w:r>
            <w:r>
              <w:rPr>
                <w:rFonts w:eastAsia="Times New Roman" w:cs="Times New Roman"/>
                <w:szCs w:val="20"/>
              </w:rPr>
              <w:t>g</w:t>
            </w:r>
            <w:r>
              <w:rPr>
                <w:rFonts w:eastAsia="Times New Roman" w:cs="Times New Roman"/>
                <w:spacing w:val="-3"/>
                <w:szCs w:val="20"/>
              </w:rPr>
              <w:t xml:space="preserve"> </w:t>
            </w:r>
            <w:r>
              <w:rPr>
                <w:rFonts w:eastAsia="Times New Roman" w:cs="Times New Roman"/>
                <w:spacing w:val="2"/>
                <w:szCs w:val="20"/>
              </w:rPr>
              <w:t>P</w:t>
            </w:r>
            <w:r>
              <w:rPr>
                <w:rFonts w:eastAsia="Times New Roman" w:cs="Times New Roman"/>
                <w:spacing w:val="4"/>
                <w:szCs w:val="20"/>
              </w:rPr>
              <w:t>N</w:t>
            </w:r>
            <w:r>
              <w:rPr>
                <w:rFonts w:eastAsia="Times New Roman" w:cs="Times New Roman"/>
                <w:szCs w:val="20"/>
              </w:rPr>
              <w:t>- EN</w:t>
            </w:r>
            <w:r>
              <w:rPr>
                <w:rFonts w:eastAsia="Times New Roman" w:cs="Times New Roman"/>
                <w:spacing w:val="-3"/>
                <w:szCs w:val="20"/>
              </w:rPr>
              <w:t xml:space="preserve"> </w:t>
            </w:r>
            <w:r>
              <w:rPr>
                <w:rFonts w:eastAsia="Times New Roman" w:cs="Times New Roman"/>
                <w:spacing w:val="1"/>
                <w:szCs w:val="20"/>
              </w:rPr>
              <w:t>126</w:t>
            </w:r>
            <w:r>
              <w:rPr>
                <w:rFonts w:eastAsia="Times New Roman" w:cs="Times New Roman"/>
                <w:spacing w:val="-1"/>
                <w:szCs w:val="20"/>
              </w:rPr>
              <w:t>0</w:t>
            </w:r>
            <w:r>
              <w:rPr>
                <w:rFonts w:eastAsia="Times New Roman" w:cs="Times New Roman"/>
                <w:spacing w:val="2"/>
                <w:szCs w:val="20"/>
              </w:rPr>
              <w:t>7</w:t>
            </w:r>
            <w:r>
              <w:rPr>
                <w:rFonts w:eastAsia="Times New Roman" w:cs="Times New Roman"/>
                <w:spacing w:val="-2"/>
                <w:szCs w:val="20"/>
              </w:rPr>
              <w:t>-</w:t>
            </w:r>
            <w:r>
              <w:rPr>
                <w:rFonts w:eastAsia="Times New Roman" w:cs="Times New Roman"/>
                <w:szCs w:val="20"/>
              </w:rPr>
              <w:t>1</w:t>
            </w:r>
          </w:p>
          <w:p w:rsidR="00B77F00" w:rsidRDefault="00865FA3">
            <w:pPr>
              <w:pStyle w:val="Standard"/>
              <w:rPr>
                <w:szCs w:val="20"/>
              </w:rPr>
            </w:pPr>
            <w:r>
              <w:rPr>
                <w:rFonts w:eastAsia="Times New Roman" w:cs="Times New Roman"/>
                <w:szCs w:val="20"/>
              </w:rPr>
              <w:t>l</w:t>
            </w:r>
            <w:r>
              <w:rPr>
                <w:rFonts w:eastAsia="Times New Roman" w:cs="Times New Roman"/>
                <w:spacing w:val="-1"/>
                <w:szCs w:val="20"/>
              </w:rPr>
              <w:t>u</w:t>
            </w:r>
            <w:r>
              <w:rPr>
                <w:rFonts w:eastAsia="Times New Roman" w:cs="Times New Roman"/>
                <w:szCs w:val="20"/>
              </w:rPr>
              <w:t>b</w:t>
            </w:r>
            <w:r>
              <w:rPr>
                <w:rFonts w:eastAsia="Times New Roman" w:cs="Times New Roman"/>
                <w:spacing w:val="-1"/>
                <w:szCs w:val="20"/>
              </w:rPr>
              <w:t xml:space="preserve"> </w:t>
            </w:r>
            <w:r>
              <w:rPr>
                <w:rFonts w:eastAsia="Times New Roman" w:cs="Times New Roman"/>
                <w:spacing w:val="-2"/>
                <w:szCs w:val="20"/>
              </w:rPr>
              <w:t>-</w:t>
            </w:r>
            <w:r>
              <w:rPr>
                <w:rFonts w:eastAsia="Times New Roman" w:cs="Times New Roman"/>
                <w:szCs w:val="20"/>
              </w:rPr>
              <w:t>3</w:t>
            </w:r>
          </w:p>
        </w:tc>
        <w:tc>
          <w:tcPr>
            <w:tcW w:w="1969"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2"/>
                <w:szCs w:val="20"/>
              </w:rPr>
              <w:t>P</w:t>
            </w:r>
            <w:r>
              <w:rPr>
                <w:rFonts w:eastAsia="Times New Roman" w:cs="Times New Roman"/>
                <w:szCs w:val="20"/>
              </w:rPr>
              <w:t>N</w:t>
            </w:r>
            <w:r>
              <w:rPr>
                <w:rFonts w:eastAsia="Times New Roman" w:cs="Times New Roman"/>
                <w:spacing w:val="-2"/>
                <w:szCs w:val="20"/>
              </w:rPr>
              <w:t>-</w:t>
            </w:r>
            <w:r>
              <w:rPr>
                <w:rFonts w:eastAsia="Times New Roman" w:cs="Times New Roman"/>
                <w:szCs w:val="20"/>
              </w:rPr>
              <w:t>EN</w:t>
            </w:r>
            <w:r>
              <w:rPr>
                <w:rFonts w:eastAsia="Times New Roman" w:cs="Times New Roman"/>
                <w:spacing w:val="-6"/>
                <w:szCs w:val="20"/>
              </w:rPr>
              <w:t xml:space="preserve"> </w:t>
            </w:r>
            <w:r>
              <w:rPr>
                <w:rFonts w:eastAsia="Times New Roman" w:cs="Times New Roman"/>
                <w:spacing w:val="1"/>
                <w:szCs w:val="20"/>
              </w:rPr>
              <w:t>1260</w:t>
            </w:r>
            <w:r>
              <w:rPr>
                <w:rFonts w:eastAsia="Times New Roman" w:cs="Times New Roman"/>
                <w:spacing w:val="2"/>
                <w:szCs w:val="20"/>
              </w:rPr>
              <w:t>7</w:t>
            </w:r>
            <w:r>
              <w:rPr>
                <w:rFonts w:eastAsia="Times New Roman" w:cs="Times New Roman"/>
                <w:spacing w:val="-2"/>
                <w:szCs w:val="20"/>
              </w:rPr>
              <w:t>-</w:t>
            </w:r>
            <w:r>
              <w:rPr>
                <w:rFonts w:eastAsia="Times New Roman" w:cs="Times New Roman"/>
                <w:szCs w:val="20"/>
              </w:rPr>
              <w:t>1</w:t>
            </w:r>
            <w:r>
              <w:rPr>
                <w:rFonts w:eastAsia="Times New Roman" w:cs="Times New Roman"/>
                <w:spacing w:val="-5"/>
                <w:szCs w:val="20"/>
              </w:rPr>
              <w:t xml:space="preserve"> </w:t>
            </w:r>
            <w:r>
              <w:rPr>
                <w:rFonts w:eastAsia="Times New Roman" w:cs="Times New Roman"/>
                <w:spacing w:val="-2"/>
                <w:szCs w:val="20"/>
              </w:rPr>
              <w:t>[</w:t>
            </w:r>
            <w:r>
              <w:rPr>
                <w:rFonts w:eastAsia="Times New Roman" w:cs="Times New Roman"/>
                <w:spacing w:val="1"/>
                <w:szCs w:val="20"/>
              </w:rPr>
              <w:t>31</w:t>
            </w:r>
            <w:r>
              <w:rPr>
                <w:rFonts w:eastAsia="Times New Roman" w:cs="Times New Roman"/>
                <w:szCs w:val="20"/>
              </w:rPr>
              <w:t xml:space="preserve">] </w:t>
            </w:r>
            <w:r>
              <w:rPr>
                <w:rFonts w:eastAsia="Times New Roman" w:cs="Times New Roman"/>
                <w:spacing w:val="2"/>
                <w:szCs w:val="20"/>
              </w:rPr>
              <w:t>P</w:t>
            </w:r>
            <w:r>
              <w:rPr>
                <w:rFonts w:eastAsia="Times New Roman" w:cs="Times New Roman"/>
                <w:szCs w:val="20"/>
              </w:rPr>
              <w:t>N</w:t>
            </w:r>
            <w:r>
              <w:rPr>
                <w:rFonts w:eastAsia="Times New Roman" w:cs="Times New Roman"/>
                <w:spacing w:val="-2"/>
                <w:szCs w:val="20"/>
              </w:rPr>
              <w:t>-</w:t>
            </w:r>
            <w:r>
              <w:rPr>
                <w:rFonts w:eastAsia="Times New Roman" w:cs="Times New Roman"/>
                <w:szCs w:val="20"/>
              </w:rPr>
              <w:t>EN</w:t>
            </w:r>
            <w:r>
              <w:rPr>
                <w:rFonts w:eastAsia="Times New Roman" w:cs="Times New Roman"/>
                <w:spacing w:val="-6"/>
                <w:szCs w:val="20"/>
              </w:rPr>
              <w:t xml:space="preserve"> </w:t>
            </w:r>
            <w:r>
              <w:rPr>
                <w:rFonts w:eastAsia="Times New Roman" w:cs="Times New Roman"/>
                <w:spacing w:val="1"/>
                <w:szCs w:val="20"/>
              </w:rPr>
              <w:t>142</w:t>
            </w:r>
            <w:r>
              <w:rPr>
                <w:rFonts w:eastAsia="Times New Roman" w:cs="Times New Roman"/>
                <w:szCs w:val="20"/>
              </w:rPr>
              <w:t>7</w:t>
            </w:r>
          </w:p>
        </w:tc>
        <w:tc>
          <w:tcPr>
            <w:tcW w:w="1297"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w w:val="99"/>
                <w:szCs w:val="20"/>
              </w:rPr>
            </w:pPr>
            <w:r>
              <w:rPr>
                <w:rFonts w:eastAsia="Times New Roman" w:cs="Times New Roman"/>
                <w:w w:val="99"/>
                <w:szCs w:val="20"/>
              </w:rPr>
              <w:t>°C</w:t>
            </w:r>
          </w:p>
        </w:tc>
        <w:tc>
          <w:tcPr>
            <w:tcW w:w="1728"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w w:val="99"/>
                <w:szCs w:val="20"/>
              </w:rPr>
            </w:pPr>
            <w:r>
              <w:rPr>
                <w:rFonts w:eastAsia="Times New Roman" w:cs="Times New Roman"/>
                <w:w w:val="99"/>
                <w:szCs w:val="20"/>
              </w:rPr>
              <w:t>b</w:t>
            </w:r>
          </w:p>
        </w:tc>
        <w:tc>
          <w:tcPr>
            <w:tcW w:w="129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w w:val="99"/>
                <w:szCs w:val="20"/>
              </w:rPr>
            </w:pPr>
            <w:r>
              <w:rPr>
                <w:rFonts w:eastAsia="Times New Roman" w:cs="Times New Roman"/>
                <w:w w:val="99"/>
                <w:szCs w:val="20"/>
              </w:rPr>
              <w:t>1</w:t>
            </w:r>
          </w:p>
        </w:tc>
      </w:tr>
      <w:tr w:rsidR="00B77F00">
        <w:tblPrEx>
          <w:tblCellMar>
            <w:top w:w="0" w:type="dxa"/>
            <w:bottom w:w="0" w:type="dxa"/>
          </w:tblCellMar>
        </w:tblPrEx>
        <w:trPr>
          <w:cantSplit/>
        </w:trPr>
        <w:tc>
          <w:tcPr>
            <w:tcW w:w="1695" w:type="dxa"/>
            <w:vMerge/>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000000" w:rsidRDefault="00865FA3"/>
        </w:tc>
        <w:tc>
          <w:tcPr>
            <w:tcW w:w="1654"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N</w:t>
            </w:r>
            <w:r>
              <w:rPr>
                <w:rFonts w:eastAsia="Times New Roman" w:cs="Times New Roman"/>
                <w:spacing w:val="3"/>
                <w:szCs w:val="20"/>
              </w:rPr>
              <w:t>a</w:t>
            </w:r>
            <w:r>
              <w:rPr>
                <w:rFonts w:eastAsia="Times New Roman" w:cs="Times New Roman"/>
                <w:spacing w:val="-5"/>
                <w:szCs w:val="20"/>
              </w:rPr>
              <w:t>w</w:t>
            </w:r>
            <w:r>
              <w:rPr>
                <w:rFonts w:eastAsia="Times New Roman" w:cs="Times New Roman"/>
                <w:spacing w:val="1"/>
                <w:szCs w:val="20"/>
              </w:rPr>
              <w:t>ró</w:t>
            </w:r>
            <w:r>
              <w:rPr>
                <w:rFonts w:eastAsia="Times New Roman" w:cs="Times New Roman"/>
                <w:szCs w:val="20"/>
              </w:rPr>
              <w:t>t</w:t>
            </w:r>
            <w:r>
              <w:rPr>
                <w:rFonts w:eastAsia="Times New Roman" w:cs="Times New Roman"/>
                <w:spacing w:val="-6"/>
                <w:szCs w:val="20"/>
              </w:rPr>
              <w:t xml:space="preserve"> </w:t>
            </w:r>
            <w:r>
              <w:rPr>
                <w:rFonts w:eastAsia="Times New Roman" w:cs="Times New Roman"/>
                <w:szCs w:val="20"/>
              </w:rPr>
              <w:t>s</w:t>
            </w:r>
            <w:r>
              <w:rPr>
                <w:rFonts w:eastAsia="Times New Roman" w:cs="Times New Roman"/>
                <w:spacing w:val="1"/>
                <w:szCs w:val="20"/>
              </w:rPr>
              <w:t>pr</w:t>
            </w:r>
            <w:r>
              <w:rPr>
                <w:rFonts w:eastAsia="Times New Roman" w:cs="Times New Roman"/>
                <w:szCs w:val="20"/>
              </w:rPr>
              <w:t>ę</w:t>
            </w:r>
            <w:r>
              <w:rPr>
                <w:rFonts w:eastAsia="Times New Roman" w:cs="Times New Roman"/>
                <w:spacing w:val="3"/>
                <w:szCs w:val="20"/>
              </w:rPr>
              <w:t>ż</w:t>
            </w:r>
            <w:r>
              <w:rPr>
                <w:rFonts w:eastAsia="Times New Roman" w:cs="Times New Roman"/>
                <w:spacing w:val="-1"/>
                <w:szCs w:val="20"/>
              </w:rPr>
              <w:t>ys</w:t>
            </w:r>
            <w:r>
              <w:rPr>
                <w:rFonts w:eastAsia="Times New Roman" w:cs="Times New Roman"/>
                <w:spacing w:val="2"/>
                <w:szCs w:val="20"/>
              </w:rPr>
              <w:t>t</w:t>
            </w:r>
            <w:r>
              <w:rPr>
                <w:rFonts w:eastAsia="Times New Roman" w:cs="Times New Roman"/>
                <w:szCs w:val="20"/>
              </w:rPr>
              <w:t>y</w:t>
            </w:r>
          </w:p>
          <w:p w:rsidR="00B77F00" w:rsidRDefault="00865FA3">
            <w:pPr>
              <w:pStyle w:val="Standard"/>
              <w:rPr>
                <w:szCs w:val="20"/>
              </w:rPr>
            </w:pPr>
            <w:r>
              <w:rPr>
                <w:rFonts w:eastAsia="Times New Roman" w:cs="Times New Roman"/>
                <w:szCs w:val="20"/>
              </w:rPr>
              <w:t>w</w:t>
            </w:r>
            <w:r>
              <w:rPr>
                <w:rFonts w:eastAsia="Times New Roman" w:cs="Times New Roman"/>
                <w:spacing w:val="-3"/>
                <w:szCs w:val="20"/>
              </w:rPr>
              <w:t xml:space="preserve"> </w:t>
            </w:r>
            <w:r>
              <w:rPr>
                <w:rFonts w:eastAsia="Times New Roman" w:cs="Times New Roman"/>
                <w:spacing w:val="1"/>
                <w:szCs w:val="20"/>
              </w:rPr>
              <w:t>25</w:t>
            </w:r>
            <w:r>
              <w:rPr>
                <w:rFonts w:eastAsia="Times New Roman" w:cs="Times New Roman"/>
                <w:szCs w:val="20"/>
              </w:rPr>
              <w:t>°C</w:t>
            </w:r>
            <w:r>
              <w:rPr>
                <w:rFonts w:eastAsia="Times New Roman" w:cs="Times New Roman"/>
                <w:spacing w:val="-5"/>
                <w:szCs w:val="20"/>
              </w:rPr>
              <w:t xml:space="preserve"> </w:t>
            </w:r>
            <w:r>
              <w:rPr>
                <w:rFonts w:eastAsia="Times New Roman" w:cs="Times New Roman"/>
                <w:spacing w:val="1"/>
                <w:szCs w:val="20"/>
              </w:rPr>
              <w:t>p</w:t>
            </w:r>
            <w:r>
              <w:rPr>
                <w:rFonts w:eastAsia="Times New Roman" w:cs="Times New Roman"/>
                <w:szCs w:val="20"/>
              </w:rPr>
              <w:t xml:space="preserve">o </w:t>
            </w:r>
            <w:r>
              <w:rPr>
                <w:rFonts w:eastAsia="Times New Roman" w:cs="Times New Roman"/>
                <w:spacing w:val="-1"/>
                <w:szCs w:val="20"/>
              </w:rPr>
              <w:t>s</w:t>
            </w:r>
            <w:r>
              <w:rPr>
                <w:rFonts w:eastAsia="Times New Roman" w:cs="Times New Roman"/>
                <w:szCs w:val="20"/>
              </w:rPr>
              <w:t>ta</w:t>
            </w:r>
            <w:r>
              <w:rPr>
                <w:rFonts w:eastAsia="Times New Roman" w:cs="Times New Roman"/>
                <w:spacing w:val="1"/>
                <w:szCs w:val="20"/>
              </w:rPr>
              <w:t>r</w:t>
            </w:r>
            <w:r>
              <w:rPr>
                <w:rFonts w:eastAsia="Times New Roman" w:cs="Times New Roman"/>
                <w:szCs w:val="20"/>
              </w:rPr>
              <w:t>z</w:t>
            </w:r>
            <w:r>
              <w:rPr>
                <w:rFonts w:eastAsia="Times New Roman" w:cs="Times New Roman"/>
                <w:spacing w:val="1"/>
                <w:szCs w:val="20"/>
              </w:rPr>
              <w:t>e</w:t>
            </w:r>
            <w:r>
              <w:rPr>
                <w:rFonts w:eastAsia="Times New Roman" w:cs="Times New Roman"/>
                <w:spacing w:val="-1"/>
                <w:szCs w:val="20"/>
              </w:rPr>
              <w:t>n</w:t>
            </w:r>
            <w:r>
              <w:rPr>
                <w:rFonts w:eastAsia="Times New Roman" w:cs="Times New Roman"/>
                <w:spacing w:val="2"/>
                <w:szCs w:val="20"/>
              </w:rPr>
              <w:t>i</w:t>
            </w:r>
            <w:r>
              <w:rPr>
                <w:rFonts w:eastAsia="Times New Roman" w:cs="Times New Roman"/>
                <w:szCs w:val="20"/>
              </w:rPr>
              <w:t>u</w:t>
            </w:r>
            <w:r>
              <w:rPr>
                <w:rFonts w:eastAsia="Times New Roman" w:cs="Times New Roman"/>
                <w:spacing w:val="-6"/>
                <w:szCs w:val="20"/>
              </w:rPr>
              <w:t xml:space="preserve"> </w:t>
            </w:r>
            <w:r>
              <w:rPr>
                <w:rFonts w:eastAsia="Times New Roman" w:cs="Times New Roman"/>
                <w:spacing w:val="-2"/>
                <w:szCs w:val="20"/>
              </w:rPr>
              <w:t>w</w:t>
            </w:r>
            <w:r>
              <w:rPr>
                <w:rFonts w:eastAsia="Times New Roman" w:cs="Times New Roman"/>
                <w:szCs w:val="20"/>
              </w:rPr>
              <w:t>g</w:t>
            </w:r>
            <w:r>
              <w:rPr>
                <w:rFonts w:eastAsia="Times New Roman" w:cs="Times New Roman"/>
                <w:spacing w:val="-3"/>
                <w:szCs w:val="20"/>
              </w:rPr>
              <w:t xml:space="preserve"> </w:t>
            </w:r>
            <w:r>
              <w:rPr>
                <w:rFonts w:eastAsia="Times New Roman" w:cs="Times New Roman"/>
                <w:spacing w:val="2"/>
                <w:szCs w:val="20"/>
              </w:rPr>
              <w:t>P</w:t>
            </w:r>
            <w:r>
              <w:rPr>
                <w:rFonts w:eastAsia="Times New Roman" w:cs="Times New Roman"/>
                <w:spacing w:val="4"/>
                <w:szCs w:val="20"/>
              </w:rPr>
              <w:t>N</w:t>
            </w:r>
            <w:r>
              <w:rPr>
                <w:rFonts w:eastAsia="Times New Roman" w:cs="Times New Roman"/>
                <w:szCs w:val="20"/>
              </w:rPr>
              <w:t>- EN</w:t>
            </w:r>
            <w:r>
              <w:rPr>
                <w:rFonts w:eastAsia="Times New Roman" w:cs="Times New Roman"/>
                <w:spacing w:val="-3"/>
                <w:szCs w:val="20"/>
              </w:rPr>
              <w:t xml:space="preserve"> </w:t>
            </w:r>
            <w:r>
              <w:rPr>
                <w:rFonts w:eastAsia="Times New Roman" w:cs="Times New Roman"/>
                <w:spacing w:val="1"/>
                <w:szCs w:val="20"/>
              </w:rPr>
              <w:t>126</w:t>
            </w:r>
            <w:r>
              <w:rPr>
                <w:rFonts w:eastAsia="Times New Roman" w:cs="Times New Roman"/>
                <w:spacing w:val="-1"/>
                <w:szCs w:val="20"/>
              </w:rPr>
              <w:t>0</w:t>
            </w:r>
            <w:r>
              <w:rPr>
                <w:rFonts w:eastAsia="Times New Roman" w:cs="Times New Roman"/>
                <w:spacing w:val="2"/>
                <w:szCs w:val="20"/>
              </w:rPr>
              <w:t>7</w:t>
            </w:r>
            <w:r>
              <w:rPr>
                <w:rFonts w:eastAsia="Times New Roman" w:cs="Times New Roman"/>
                <w:spacing w:val="-2"/>
                <w:szCs w:val="20"/>
              </w:rPr>
              <w:t>-</w:t>
            </w:r>
            <w:r>
              <w:rPr>
                <w:rFonts w:eastAsia="Times New Roman" w:cs="Times New Roman"/>
                <w:szCs w:val="20"/>
              </w:rPr>
              <w:t>1</w:t>
            </w:r>
          </w:p>
          <w:p w:rsidR="00B77F00" w:rsidRDefault="00865FA3">
            <w:pPr>
              <w:pStyle w:val="Standard"/>
              <w:rPr>
                <w:szCs w:val="20"/>
              </w:rPr>
            </w:pPr>
            <w:r>
              <w:rPr>
                <w:rFonts w:eastAsia="Times New Roman" w:cs="Times New Roman"/>
                <w:szCs w:val="20"/>
              </w:rPr>
              <w:t>l</w:t>
            </w:r>
            <w:r>
              <w:rPr>
                <w:rFonts w:eastAsia="Times New Roman" w:cs="Times New Roman"/>
                <w:spacing w:val="-1"/>
                <w:szCs w:val="20"/>
              </w:rPr>
              <w:t>u</w:t>
            </w:r>
            <w:r>
              <w:rPr>
                <w:rFonts w:eastAsia="Times New Roman" w:cs="Times New Roman"/>
                <w:szCs w:val="20"/>
              </w:rPr>
              <w:t>b</w:t>
            </w:r>
            <w:r>
              <w:rPr>
                <w:rFonts w:eastAsia="Times New Roman" w:cs="Times New Roman"/>
                <w:spacing w:val="-1"/>
                <w:szCs w:val="20"/>
              </w:rPr>
              <w:t xml:space="preserve"> </w:t>
            </w:r>
            <w:r>
              <w:rPr>
                <w:rFonts w:eastAsia="Times New Roman" w:cs="Times New Roman"/>
                <w:spacing w:val="-2"/>
                <w:szCs w:val="20"/>
              </w:rPr>
              <w:t>-</w:t>
            </w:r>
            <w:r>
              <w:rPr>
                <w:rFonts w:eastAsia="Times New Roman" w:cs="Times New Roman"/>
                <w:szCs w:val="20"/>
              </w:rPr>
              <w:t>3</w:t>
            </w:r>
          </w:p>
        </w:tc>
        <w:tc>
          <w:tcPr>
            <w:tcW w:w="1969" w:type="dxa"/>
            <w:vMerge w:val="restart"/>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2"/>
                <w:szCs w:val="20"/>
              </w:rPr>
              <w:t>P</w:t>
            </w:r>
            <w:r>
              <w:rPr>
                <w:rFonts w:eastAsia="Times New Roman" w:cs="Times New Roman"/>
                <w:szCs w:val="20"/>
              </w:rPr>
              <w:t>N</w:t>
            </w:r>
            <w:r>
              <w:rPr>
                <w:rFonts w:eastAsia="Times New Roman" w:cs="Times New Roman"/>
                <w:spacing w:val="-2"/>
                <w:szCs w:val="20"/>
              </w:rPr>
              <w:t>-</w:t>
            </w:r>
            <w:r>
              <w:rPr>
                <w:rFonts w:eastAsia="Times New Roman" w:cs="Times New Roman"/>
                <w:szCs w:val="20"/>
              </w:rPr>
              <w:t>EN</w:t>
            </w:r>
            <w:r>
              <w:rPr>
                <w:rFonts w:eastAsia="Times New Roman" w:cs="Times New Roman"/>
                <w:spacing w:val="-6"/>
                <w:szCs w:val="20"/>
              </w:rPr>
              <w:t xml:space="preserve"> </w:t>
            </w:r>
            <w:r>
              <w:rPr>
                <w:rFonts w:eastAsia="Times New Roman" w:cs="Times New Roman"/>
                <w:spacing w:val="1"/>
                <w:szCs w:val="20"/>
              </w:rPr>
              <w:t>1260</w:t>
            </w:r>
            <w:r>
              <w:rPr>
                <w:rFonts w:eastAsia="Times New Roman" w:cs="Times New Roman"/>
                <w:spacing w:val="2"/>
                <w:szCs w:val="20"/>
              </w:rPr>
              <w:t>7</w:t>
            </w:r>
            <w:r>
              <w:rPr>
                <w:rFonts w:eastAsia="Times New Roman" w:cs="Times New Roman"/>
                <w:spacing w:val="-2"/>
                <w:szCs w:val="20"/>
              </w:rPr>
              <w:t>-</w:t>
            </w:r>
            <w:r>
              <w:rPr>
                <w:rFonts w:eastAsia="Times New Roman" w:cs="Times New Roman"/>
                <w:szCs w:val="20"/>
              </w:rPr>
              <w:t>1</w:t>
            </w:r>
          </w:p>
          <w:p w:rsidR="00B77F00" w:rsidRDefault="00865FA3">
            <w:pPr>
              <w:pStyle w:val="Standard"/>
              <w:rPr>
                <w:szCs w:val="20"/>
              </w:rPr>
            </w:pPr>
            <w:r>
              <w:rPr>
                <w:rFonts w:eastAsia="Times New Roman" w:cs="Times New Roman"/>
                <w:spacing w:val="2"/>
                <w:szCs w:val="20"/>
              </w:rPr>
              <w:t>P</w:t>
            </w:r>
            <w:r>
              <w:rPr>
                <w:rFonts w:eastAsia="Times New Roman" w:cs="Times New Roman"/>
                <w:szCs w:val="20"/>
              </w:rPr>
              <w:t>N</w:t>
            </w:r>
            <w:r>
              <w:rPr>
                <w:rFonts w:eastAsia="Times New Roman" w:cs="Times New Roman"/>
                <w:spacing w:val="-2"/>
                <w:szCs w:val="20"/>
              </w:rPr>
              <w:t>-</w:t>
            </w:r>
            <w:r>
              <w:rPr>
                <w:rFonts w:eastAsia="Times New Roman" w:cs="Times New Roman"/>
                <w:szCs w:val="20"/>
              </w:rPr>
              <w:t>EN</w:t>
            </w:r>
            <w:r>
              <w:rPr>
                <w:rFonts w:eastAsia="Times New Roman" w:cs="Times New Roman"/>
                <w:spacing w:val="-6"/>
                <w:szCs w:val="20"/>
              </w:rPr>
              <w:t xml:space="preserve"> </w:t>
            </w:r>
            <w:r>
              <w:rPr>
                <w:rFonts w:eastAsia="Times New Roman" w:cs="Times New Roman"/>
                <w:spacing w:val="1"/>
                <w:szCs w:val="20"/>
              </w:rPr>
              <w:t>1339</w:t>
            </w:r>
            <w:r>
              <w:rPr>
                <w:rFonts w:eastAsia="Times New Roman" w:cs="Times New Roman"/>
                <w:szCs w:val="20"/>
              </w:rPr>
              <w:t>8</w:t>
            </w:r>
          </w:p>
        </w:tc>
        <w:tc>
          <w:tcPr>
            <w:tcW w:w="1297" w:type="dxa"/>
            <w:vMerge w:val="restart"/>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w w:val="99"/>
                <w:szCs w:val="20"/>
              </w:rPr>
            </w:pPr>
            <w:r>
              <w:rPr>
                <w:rFonts w:eastAsia="Times New Roman" w:cs="Times New Roman"/>
                <w:w w:val="99"/>
                <w:szCs w:val="20"/>
              </w:rPr>
              <w:t>%</w:t>
            </w:r>
          </w:p>
        </w:tc>
        <w:tc>
          <w:tcPr>
            <w:tcW w:w="1728"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 xml:space="preserve">≥ </w:t>
            </w:r>
            <w:r>
              <w:rPr>
                <w:rFonts w:eastAsia="Times New Roman" w:cs="Times New Roman"/>
                <w:spacing w:val="1"/>
                <w:w w:val="99"/>
                <w:szCs w:val="20"/>
              </w:rPr>
              <w:t>5</w:t>
            </w:r>
            <w:r>
              <w:rPr>
                <w:rFonts w:eastAsia="Times New Roman" w:cs="Times New Roman"/>
                <w:w w:val="99"/>
                <w:szCs w:val="20"/>
              </w:rPr>
              <w:t>0</w:t>
            </w:r>
          </w:p>
        </w:tc>
        <w:tc>
          <w:tcPr>
            <w:tcW w:w="129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w w:val="99"/>
                <w:szCs w:val="20"/>
              </w:rPr>
            </w:pPr>
            <w:r>
              <w:rPr>
                <w:rFonts w:eastAsia="Times New Roman" w:cs="Times New Roman"/>
                <w:w w:val="99"/>
                <w:szCs w:val="20"/>
              </w:rPr>
              <w:t>4</w:t>
            </w:r>
          </w:p>
        </w:tc>
      </w:tr>
      <w:tr w:rsidR="00B77F00">
        <w:tblPrEx>
          <w:tblCellMar>
            <w:top w:w="0" w:type="dxa"/>
            <w:bottom w:w="0" w:type="dxa"/>
          </w:tblCellMar>
        </w:tblPrEx>
        <w:trPr>
          <w:cantSplit/>
        </w:trPr>
        <w:tc>
          <w:tcPr>
            <w:tcW w:w="1695" w:type="dxa"/>
            <w:vMerge/>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000000" w:rsidRDefault="00865FA3"/>
        </w:tc>
        <w:tc>
          <w:tcPr>
            <w:tcW w:w="1654"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N</w:t>
            </w:r>
            <w:r>
              <w:rPr>
                <w:rFonts w:eastAsia="Times New Roman" w:cs="Times New Roman"/>
                <w:spacing w:val="3"/>
                <w:szCs w:val="20"/>
              </w:rPr>
              <w:t>a</w:t>
            </w:r>
            <w:r>
              <w:rPr>
                <w:rFonts w:eastAsia="Times New Roman" w:cs="Times New Roman"/>
                <w:spacing w:val="-5"/>
                <w:szCs w:val="20"/>
              </w:rPr>
              <w:t>w</w:t>
            </w:r>
            <w:r>
              <w:rPr>
                <w:rFonts w:eastAsia="Times New Roman" w:cs="Times New Roman"/>
                <w:spacing w:val="1"/>
                <w:szCs w:val="20"/>
              </w:rPr>
              <w:t>ró</w:t>
            </w:r>
            <w:r>
              <w:rPr>
                <w:rFonts w:eastAsia="Times New Roman" w:cs="Times New Roman"/>
                <w:szCs w:val="20"/>
              </w:rPr>
              <w:t>t</w:t>
            </w:r>
            <w:r>
              <w:rPr>
                <w:rFonts w:eastAsia="Times New Roman" w:cs="Times New Roman"/>
                <w:spacing w:val="-6"/>
                <w:szCs w:val="20"/>
              </w:rPr>
              <w:t xml:space="preserve"> </w:t>
            </w:r>
            <w:r>
              <w:rPr>
                <w:rFonts w:eastAsia="Times New Roman" w:cs="Times New Roman"/>
                <w:szCs w:val="20"/>
              </w:rPr>
              <w:t>s</w:t>
            </w:r>
            <w:r>
              <w:rPr>
                <w:rFonts w:eastAsia="Times New Roman" w:cs="Times New Roman"/>
                <w:spacing w:val="1"/>
                <w:szCs w:val="20"/>
              </w:rPr>
              <w:t>pr</w:t>
            </w:r>
            <w:r>
              <w:rPr>
                <w:rFonts w:eastAsia="Times New Roman" w:cs="Times New Roman"/>
                <w:szCs w:val="20"/>
              </w:rPr>
              <w:t>ę</w:t>
            </w:r>
            <w:r>
              <w:rPr>
                <w:rFonts w:eastAsia="Times New Roman" w:cs="Times New Roman"/>
                <w:spacing w:val="3"/>
                <w:szCs w:val="20"/>
              </w:rPr>
              <w:t>ż</w:t>
            </w:r>
            <w:r>
              <w:rPr>
                <w:rFonts w:eastAsia="Times New Roman" w:cs="Times New Roman"/>
                <w:spacing w:val="-1"/>
                <w:szCs w:val="20"/>
              </w:rPr>
              <w:t>ys</w:t>
            </w:r>
            <w:r>
              <w:rPr>
                <w:rFonts w:eastAsia="Times New Roman" w:cs="Times New Roman"/>
                <w:spacing w:val="2"/>
                <w:szCs w:val="20"/>
              </w:rPr>
              <w:t>t</w:t>
            </w:r>
            <w:r>
              <w:rPr>
                <w:rFonts w:eastAsia="Times New Roman" w:cs="Times New Roman"/>
                <w:szCs w:val="20"/>
              </w:rPr>
              <w:t>y</w:t>
            </w:r>
          </w:p>
          <w:p w:rsidR="00B77F00" w:rsidRDefault="00865FA3">
            <w:pPr>
              <w:pStyle w:val="Standard"/>
              <w:rPr>
                <w:szCs w:val="20"/>
              </w:rPr>
            </w:pPr>
            <w:r>
              <w:rPr>
                <w:rFonts w:eastAsia="Times New Roman" w:cs="Times New Roman"/>
                <w:szCs w:val="20"/>
              </w:rPr>
              <w:t>w</w:t>
            </w:r>
            <w:r>
              <w:rPr>
                <w:rFonts w:eastAsia="Times New Roman" w:cs="Times New Roman"/>
                <w:spacing w:val="-3"/>
                <w:szCs w:val="20"/>
              </w:rPr>
              <w:t xml:space="preserve"> </w:t>
            </w:r>
            <w:r>
              <w:rPr>
                <w:rFonts w:eastAsia="Times New Roman" w:cs="Times New Roman"/>
                <w:spacing w:val="1"/>
                <w:szCs w:val="20"/>
              </w:rPr>
              <w:t>10</w:t>
            </w:r>
            <w:r>
              <w:rPr>
                <w:rFonts w:eastAsia="Times New Roman" w:cs="Times New Roman"/>
                <w:szCs w:val="20"/>
              </w:rPr>
              <w:t>°C</w:t>
            </w:r>
            <w:r>
              <w:rPr>
                <w:rFonts w:eastAsia="Times New Roman" w:cs="Times New Roman"/>
                <w:spacing w:val="-5"/>
                <w:szCs w:val="20"/>
              </w:rPr>
              <w:t xml:space="preserve"> </w:t>
            </w:r>
            <w:r>
              <w:rPr>
                <w:rFonts w:eastAsia="Times New Roman" w:cs="Times New Roman"/>
                <w:spacing w:val="1"/>
                <w:szCs w:val="20"/>
              </w:rPr>
              <w:t>p</w:t>
            </w:r>
            <w:r>
              <w:rPr>
                <w:rFonts w:eastAsia="Times New Roman" w:cs="Times New Roman"/>
                <w:szCs w:val="20"/>
              </w:rPr>
              <w:t xml:space="preserve">o </w:t>
            </w:r>
            <w:r>
              <w:rPr>
                <w:rFonts w:eastAsia="Times New Roman" w:cs="Times New Roman"/>
                <w:spacing w:val="-1"/>
                <w:szCs w:val="20"/>
              </w:rPr>
              <w:t>s</w:t>
            </w:r>
            <w:r>
              <w:rPr>
                <w:rFonts w:eastAsia="Times New Roman" w:cs="Times New Roman"/>
                <w:szCs w:val="20"/>
              </w:rPr>
              <w:t>ta</w:t>
            </w:r>
            <w:r>
              <w:rPr>
                <w:rFonts w:eastAsia="Times New Roman" w:cs="Times New Roman"/>
                <w:spacing w:val="1"/>
                <w:szCs w:val="20"/>
              </w:rPr>
              <w:t>r</w:t>
            </w:r>
            <w:r>
              <w:rPr>
                <w:rFonts w:eastAsia="Times New Roman" w:cs="Times New Roman"/>
                <w:szCs w:val="20"/>
              </w:rPr>
              <w:t>z</w:t>
            </w:r>
            <w:r>
              <w:rPr>
                <w:rFonts w:eastAsia="Times New Roman" w:cs="Times New Roman"/>
                <w:spacing w:val="1"/>
                <w:szCs w:val="20"/>
              </w:rPr>
              <w:t>e</w:t>
            </w:r>
            <w:r>
              <w:rPr>
                <w:rFonts w:eastAsia="Times New Roman" w:cs="Times New Roman"/>
                <w:spacing w:val="-1"/>
                <w:szCs w:val="20"/>
              </w:rPr>
              <w:t>n</w:t>
            </w:r>
            <w:r>
              <w:rPr>
                <w:rFonts w:eastAsia="Times New Roman" w:cs="Times New Roman"/>
                <w:spacing w:val="2"/>
                <w:szCs w:val="20"/>
              </w:rPr>
              <w:t>i</w:t>
            </w:r>
            <w:r>
              <w:rPr>
                <w:rFonts w:eastAsia="Times New Roman" w:cs="Times New Roman"/>
                <w:szCs w:val="20"/>
              </w:rPr>
              <w:t>u</w:t>
            </w:r>
            <w:r>
              <w:rPr>
                <w:rFonts w:eastAsia="Times New Roman" w:cs="Times New Roman"/>
                <w:spacing w:val="-6"/>
                <w:szCs w:val="20"/>
              </w:rPr>
              <w:t xml:space="preserve"> </w:t>
            </w:r>
            <w:r>
              <w:rPr>
                <w:rFonts w:eastAsia="Times New Roman" w:cs="Times New Roman"/>
                <w:spacing w:val="-2"/>
                <w:szCs w:val="20"/>
              </w:rPr>
              <w:t>w</w:t>
            </w:r>
            <w:r>
              <w:rPr>
                <w:rFonts w:eastAsia="Times New Roman" w:cs="Times New Roman"/>
                <w:szCs w:val="20"/>
              </w:rPr>
              <w:t>g</w:t>
            </w:r>
            <w:r>
              <w:rPr>
                <w:rFonts w:eastAsia="Times New Roman" w:cs="Times New Roman"/>
                <w:spacing w:val="-3"/>
                <w:szCs w:val="20"/>
              </w:rPr>
              <w:t xml:space="preserve"> </w:t>
            </w:r>
            <w:r>
              <w:rPr>
                <w:rFonts w:eastAsia="Times New Roman" w:cs="Times New Roman"/>
                <w:spacing w:val="2"/>
                <w:szCs w:val="20"/>
              </w:rPr>
              <w:t>P</w:t>
            </w:r>
            <w:r>
              <w:rPr>
                <w:rFonts w:eastAsia="Times New Roman" w:cs="Times New Roman"/>
                <w:spacing w:val="4"/>
                <w:szCs w:val="20"/>
              </w:rPr>
              <w:t>N</w:t>
            </w:r>
            <w:r>
              <w:rPr>
                <w:rFonts w:eastAsia="Times New Roman" w:cs="Times New Roman"/>
                <w:szCs w:val="20"/>
              </w:rPr>
              <w:t>- EN</w:t>
            </w:r>
            <w:r>
              <w:rPr>
                <w:rFonts w:eastAsia="Times New Roman" w:cs="Times New Roman"/>
                <w:spacing w:val="-3"/>
                <w:szCs w:val="20"/>
              </w:rPr>
              <w:t xml:space="preserve"> </w:t>
            </w:r>
            <w:r>
              <w:rPr>
                <w:rFonts w:eastAsia="Times New Roman" w:cs="Times New Roman"/>
                <w:spacing w:val="1"/>
                <w:szCs w:val="20"/>
              </w:rPr>
              <w:t>126</w:t>
            </w:r>
            <w:r>
              <w:rPr>
                <w:rFonts w:eastAsia="Times New Roman" w:cs="Times New Roman"/>
                <w:spacing w:val="-1"/>
                <w:szCs w:val="20"/>
              </w:rPr>
              <w:t>0</w:t>
            </w:r>
            <w:r>
              <w:rPr>
                <w:rFonts w:eastAsia="Times New Roman" w:cs="Times New Roman"/>
                <w:spacing w:val="2"/>
                <w:szCs w:val="20"/>
              </w:rPr>
              <w:t>7</w:t>
            </w:r>
            <w:r>
              <w:rPr>
                <w:rFonts w:eastAsia="Times New Roman" w:cs="Times New Roman"/>
                <w:spacing w:val="-2"/>
                <w:szCs w:val="20"/>
              </w:rPr>
              <w:t>-</w:t>
            </w:r>
            <w:r>
              <w:rPr>
                <w:rFonts w:eastAsia="Times New Roman" w:cs="Times New Roman"/>
                <w:szCs w:val="20"/>
              </w:rPr>
              <w:t>1</w:t>
            </w:r>
          </w:p>
          <w:p w:rsidR="00B77F00" w:rsidRDefault="00865FA3">
            <w:pPr>
              <w:pStyle w:val="Standard"/>
              <w:rPr>
                <w:szCs w:val="20"/>
              </w:rPr>
            </w:pPr>
            <w:r>
              <w:rPr>
                <w:rFonts w:eastAsia="Times New Roman" w:cs="Times New Roman"/>
                <w:szCs w:val="20"/>
              </w:rPr>
              <w:t>l</w:t>
            </w:r>
            <w:r>
              <w:rPr>
                <w:rFonts w:eastAsia="Times New Roman" w:cs="Times New Roman"/>
                <w:spacing w:val="-1"/>
                <w:szCs w:val="20"/>
              </w:rPr>
              <w:t>u</w:t>
            </w:r>
            <w:r>
              <w:rPr>
                <w:rFonts w:eastAsia="Times New Roman" w:cs="Times New Roman"/>
                <w:szCs w:val="20"/>
              </w:rPr>
              <w:t>b</w:t>
            </w:r>
            <w:r>
              <w:rPr>
                <w:rFonts w:eastAsia="Times New Roman" w:cs="Times New Roman"/>
                <w:spacing w:val="-1"/>
                <w:szCs w:val="20"/>
              </w:rPr>
              <w:t xml:space="preserve"> </w:t>
            </w:r>
            <w:r>
              <w:rPr>
                <w:rFonts w:eastAsia="Times New Roman" w:cs="Times New Roman"/>
                <w:spacing w:val="-2"/>
                <w:szCs w:val="20"/>
              </w:rPr>
              <w:t>-</w:t>
            </w:r>
            <w:r>
              <w:rPr>
                <w:rFonts w:eastAsia="Times New Roman" w:cs="Times New Roman"/>
                <w:szCs w:val="20"/>
              </w:rPr>
              <w:t>3</w:t>
            </w:r>
          </w:p>
        </w:tc>
        <w:tc>
          <w:tcPr>
            <w:tcW w:w="1969" w:type="dxa"/>
            <w:vMerge/>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000000" w:rsidRDefault="00865FA3"/>
        </w:tc>
        <w:tc>
          <w:tcPr>
            <w:tcW w:w="1297" w:type="dxa"/>
            <w:vMerge/>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000000" w:rsidRDefault="00865FA3"/>
        </w:tc>
        <w:tc>
          <w:tcPr>
            <w:tcW w:w="1728"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w w:val="99"/>
                <w:szCs w:val="20"/>
              </w:rPr>
              <w:t>N</w:t>
            </w:r>
            <w:r>
              <w:rPr>
                <w:rFonts w:eastAsia="Times New Roman" w:cs="Times New Roman"/>
                <w:spacing w:val="2"/>
                <w:w w:val="99"/>
                <w:szCs w:val="20"/>
              </w:rPr>
              <w:t>P</w:t>
            </w:r>
            <w:r>
              <w:rPr>
                <w:rFonts w:eastAsia="Times New Roman" w:cs="Times New Roman"/>
                <w:w w:val="99"/>
                <w:szCs w:val="20"/>
              </w:rPr>
              <w:t>D</w:t>
            </w:r>
            <w:r>
              <w:rPr>
                <w:rFonts w:eastAsia="Times New Roman" w:cs="Times New Roman"/>
                <w:w w:val="99"/>
                <w:position w:val="14"/>
                <w:szCs w:val="20"/>
              </w:rPr>
              <w:t>a</w:t>
            </w:r>
          </w:p>
        </w:tc>
        <w:tc>
          <w:tcPr>
            <w:tcW w:w="129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w w:val="99"/>
                <w:szCs w:val="20"/>
              </w:rPr>
            </w:pPr>
            <w:r>
              <w:rPr>
                <w:rFonts w:eastAsia="Times New Roman" w:cs="Times New Roman"/>
                <w:w w:val="99"/>
                <w:szCs w:val="20"/>
              </w:rPr>
              <w:t>0</w:t>
            </w:r>
          </w:p>
        </w:tc>
      </w:tr>
      <w:tr w:rsidR="00B77F00">
        <w:tblPrEx>
          <w:tblCellMar>
            <w:top w:w="0" w:type="dxa"/>
            <w:bottom w:w="0" w:type="dxa"/>
          </w:tblCellMar>
        </w:tblPrEx>
        <w:trPr>
          <w:cantSplit/>
        </w:trPr>
        <w:tc>
          <w:tcPr>
            <w:tcW w:w="9638" w:type="dxa"/>
            <w:gridSpan w:val="6"/>
            <w:tcBorders>
              <w:left w:val="single" w:sz="4" w:space="0" w:color="000001"/>
              <w:bottom w:val="single" w:sz="4" w:space="0" w:color="000001"/>
              <w:right w:val="single" w:sz="4" w:space="0" w:color="000001"/>
            </w:tcBorders>
            <w:tcMar>
              <w:top w:w="0" w:type="dxa"/>
              <w:left w:w="0" w:type="dxa"/>
              <w:bottom w:w="0" w:type="dxa"/>
              <w:right w:w="0" w:type="dxa"/>
            </w:tcMar>
          </w:tcPr>
          <w:p w:rsidR="00B77F00" w:rsidRDefault="00865FA3">
            <w:pPr>
              <w:pStyle w:val="Standard"/>
              <w:rPr>
                <w:szCs w:val="20"/>
              </w:rPr>
            </w:pPr>
            <w:r>
              <w:rPr>
                <w:rFonts w:eastAsia="Times New Roman" w:cs="Times New Roman"/>
                <w:position w:val="14"/>
                <w:szCs w:val="20"/>
              </w:rPr>
              <w:t>a</w:t>
            </w:r>
            <w:r>
              <w:rPr>
                <w:rFonts w:eastAsia="Times New Roman" w:cs="Times New Roman"/>
                <w:spacing w:val="17"/>
                <w:position w:val="14"/>
                <w:szCs w:val="20"/>
              </w:rPr>
              <w:t xml:space="preserve"> </w:t>
            </w:r>
            <w:r>
              <w:rPr>
                <w:rFonts w:eastAsia="Times New Roman" w:cs="Times New Roman"/>
                <w:position w:val="-1"/>
                <w:szCs w:val="20"/>
              </w:rPr>
              <w:t>N</w:t>
            </w:r>
            <w:r>
              <w:rPr>
                <w:rFonts w:eastAsia="Times New Roman" w:cs="Times New Roman"/>
                <w:spacing w:val="2"/>
                <w:position w:val="-1"/>
                <w:szCs w:val="20"/>
              </w:rPr>
              <w:t>P</w:t>
            </w:r>
            <w:r>
              <w:rPr>
                <w:rFonts w:eastAsia="Times New Roman" w:cs="Times New Roman"/>
                <w:position w:val="-1"/>
                <w:szCs w:val="20"/>
              </w:rPr>
              <w:t>D</w:t>
            </w:r>
            <w:r>
              <w:rPr>
                <w:rFonts w:eastAsia="Times New Roman" w:cs="Times New Roman"/>
                <w:spacing w:val="-3"/>
                <w:position w:val="-1"/>
                <w:szCs w:val="20"/>
              </w:rPr>
              <w:t xml:space="preserve"> </w:t>
            </w:r>
            <w:r>
              <w:rPr>
                <w:rFonts w:eastAsia="Times New Roman" w:cs="Times New Roman"/>
                <w:position w:val="-1"/>
                <w:szCs w:val="20"/>
              </w:rPr>
              <w:t>–</w:t>
            </w:r>
            <w:r>
              <w:rPr>
                <w:rFonts w:eastAsia="Times New Roman" w:cs="Times New Roman"/>
                <w:spacing w:val="1"/>
                <w:position w:val="-1"/>
                <w:szCs w:val="20"/>
              </w:rPr>
              <w:t xml:space="preserve"> </w:t>
            </w:r>
            <w:r>
              <w:rPr>
                <w:rFonts w:eastAsia="Times New Roman" w:cs="Times New Roman"/>
                <w:position w:val="-1"/>
                <w:szCs w:val="20"/>
              </w:rPr>
              <w:t>No</w:t>
            </w:r>
            <w:r>
              <w:rPr>
                <w:rFonts w:eastAsia="Times New Roman" w:cs="Times New Roman"/>
                <w:spacing w:val="-3"/>
                <w:position w:val="-1"/>
                <w:szCs w:val="20"/>
              </w:rPr>
              <w:t xml:space="preserve"> </w:t>
            </w:r>
            <w:r>
              <w:rPr>
                <w:rFonts w:eastAsia="Times New Roman" w:cs="Times New Roman"/>
                <w:spacing w:val="2"/>
                <w:position w:val="-1"/>
                <w:szCs w:val="20"/>
              </w:rPr>
              <w:t>P</w:t>
            </w:r>
            <w:r>
              <w:rPr>
                <w:rFonts w:eastAsia="Times New Roman" w:cs="Times New Roman"/>
                <w:position w:val="-1"/>
                <w:szCs w:val="20"/>
              </w:rPr>
              <w:t>e</w:t>
            </w:r>
            <w:r>
              <w:rPr>
                <w:rFonts w:eastAsia="Times New Roman" w:cs="Times New Roman"/>
                <w:spacing w:val="1"/>
                <w:position w:val="-1"/>
                <w:szCs w:val="20"/>
              </w:rPr>
              <w:t>r</w:t>
            </w:r>
            <w:r>
              <w:rPr>
                <w:rFonts w:eastAsia="Times New Roman" w:cs="Times New Roman"/>
                <w:spacing w:val="-2"/>
                <w:position w:val="-1"/>
                <w:szCs w:val="20"/>
              </w:rPr>
              <w:t>f</w:t>
            </w:r>
            <w:r>
              <w:rPr>
                <w:rFonts w:eastAsia="Times New Roman" w:cs="Times New Roman"/>
                <w:spacing w:val="1"/>
                <w:position w:val="-1"/>
                <w:szCs w:val="20"/>
              </w:rPr>
              <w:t>or</w:t>
            </w:r>
            <w:r>
              <w:rPr>
                <w:rFonts w:eastAsia="Times New Roman" w:cs="Times New Roman"/>
                <w:spacing w:val="-4"/>
                <w:position w:val="-1"/>
                <w:szCs w:val="20"/>
              </w:rPr>
              <w:t>m</w:t>
            </w:r>
            <w:r>
              <w:rPr>
                <w:rFonts w:eastAsia="Times New Roman" w:cs="Times New Roman"/>
                <w:position w:val="-1"/>
                <w:szCs w:val="20"/>
              </w:rPr>
              <w:t>a</w:t>
            </w:r>
            <w:r>
              <w:rPr>
                <w:rFonts w:eastAsia="Times New Roman" w:cs="Times New Roman"/>
                <w:spacing w:val="-1"/>
                <w:position w:val="-1"/>
                <w:szCs w:val="20"/>
              </w:rPr>
              <w:t>n</w:t>
            </w:r>
            <w:r>
              <w:rPr>
                <w:rFonts w:eastAsia="Times New Roman" w:cs="Times New Roman"/>
                <w:position w:val="-1"/>
                <w:szCs w:val="20"/>
              </w:rPr>
              <w:t>ce</w:t>
            </w:r>
            <w:r>
              <w:rPr>
                <w:rFonts w:eastAsia="Times New Roman" w:cs="Times New Roman"/>
                <w:spacing w:val="-9"/>
                <w:position w:val="-1"/>
                <w:szCs w:val="20"/>
              </w:rPr>
              <w:t xml:space="preserve"> </w:t>
            </w:r>
            <w:r>
              <w:rPr>
                <w:rFonts w:eastAsia="Times New Roman" w:cs="Times New Roman"/>
                <w:position w:val="-1"/>
                <w:szCs w:val="20"/>
              </w:rPr>
              <w:t>D</w:t>
            </w:r>
            <w:r>
              <w:rPr>
                <w:rFonts w:eastAsia="Times New Roman" w:cs="Times New Roman"/>
                <w:spacing w:val="3"/>
                <w:position w:val="-1"/>
                <w:szCs w:val="20"/>
              </w:rPr>
              <w:t>e</w:t>
            </w:r>
            <w:r>
              <w:rPr>
                <w:rFonts w:eastAsia="Times New Roman" w:cs="Times New Roman"/>
                <w:position w:val="-1"/>
                <w:szCs w:val="20"/>
              </w:rPr>
              <w:t>t</w:t>
            </w:r>
            <w:r>
              <w:rPr>
                <w:rFonts w:eastAsia="Times New Roman" w:cs="Times New Roman"/>
                <w:spacing w:val="2"/>
                <w:position w:val="-1"/>
                <w:szCs w:val="20"/>
              </w:rPr>
              <w:t>e</w:t>
            </w:r>
            <w:r>
              <w:rPr>
                <w:rFonts w:eastAsia="Times New Roman" w:cs="Times New Roman"/>
                <w:spacing w:val="3"/>
                <w:position w:val="-1"/>
                <w:szCs w:val="20"/>
              </w:rPr>
              <w:t>r</w:t>
            </w:r>
            <w:r>
              <w:rPr>
                <w:rFonts w:eastAsia="Times New Roman" w:cs="Times New Roman"/>
                <w:spacing w:val="-4"/>
                <w:position w:val="-1"/>
                <w:szCs w:val="20"/>
              </w:rPr>
              <w:t>m</w:t>
            </w:r>
            <w:r>
              <w:rPr>
                <w:rFonts w:eastAsia="Times New Roman" w:cs="Times New Roman"/>
                <w:position w:val="-1"/>
                <w:szCs w:val="20"/>
              </w:rPr>
              <w:t>i</w:t>
            </w:r>
            <w:r>
              <w:rPr>
                <w:rFonts w:eastAsia="Times New Roman" w:cs="Times New Roman"/>
                <w:spacing w:val="-1"/>
                <w:position w:val="-1"/>
                <w:szCs w:val="20"/>
              </w:rPr>
              <w:t>n</w:t>
            </w:r>
            <w:r>
              <w:rPr>
                <w:rFonts w:eastAsia="Times New Roman" w:cs="Times New Roman"/>
                <w:position w:val="-1"/>
                <w:szCs w:val="20"/>
              </w:rPr>
              <w:t>ed</w:t>
            </w:r>
            <w:r>
              <w:rPr>
                <w:rFonts w:eastAsia="Times New Roman" w:cs="Times New Roman"/>
                <w:spacing w:val="-7"/>
                <w:position w:val="-1"/>
                <w:szCs w:val="20"/>
              </w:rPr>
              <w:t xml:space="preserve"> </w:t>
            </w:r>
            <w:r>
              <w:rPr>
                <w:rFonts w:eastAsia="Times New Roman" w:cs="Times New Roman"/>
                <w:spacing w:val="3"/>
                <w:position w:val="-1"/>
                <w:szCs w:val="20"/>
              </w:rPr>
              <w:t>(</w:t>
            </w:r>
            <w:r>
              <w:rPr>
                <w:rFonts w:eastAsia="Times New Roman" w:cs="Times New Roman"/>
                <w:spacing w:val="-2"/>
                <w:position w:val="-1"/>
                <w:szCs w:val="20"/>
              </w:rPr>
              <w:t>w</w:t>
            </w:r>
            <w:r>
              <w:rPr>
                <w:rFonts w:eastAsia="Times New Roman" w:cs="Times New Roman"/>
                <w:position w:val="-1"/>
                <w:szCs w:val="20"/>
              </w:rPr>
              <w:t>łaś</w:t>
            </w:r>
            <w:r>
              <w:rPr>
                <w:rFonts w:eastAsia="Times New Roman" w:cs="Times New Roman"/>
                <w:spacing w:val="2"/>
                <w:position w:val="-1"/>
                <w:szCs w:val="20"/>
              </w:rPr>
              <w:t>ci</w:t>
            </w:r>
            <w:r>
              <w:rPr>
                <w:rFonts w:eastAsia="Times New Roman" w:cs="Times New Roman"/>
                <w:spacing w:val="-5"/>
                <w:position w:val="-1"/>
                <w:szCs w:val="20"/>
              </w:rPr>
              <w:t>w</w:t>
            </w:r>
            <w:r>
              <w:rPr>
                <w:rFonts w:eastAsia="Times New Roman" w:cs="Times New Roman"/>
                <w:spacing w:val="3"/>
                <w:position w:val="-1"/>
                <w:szCs w:val="20"/>
              </w:rPr>
              <w:t>o</w:t>
            </w:r>
            <w:r>
              <w:rPr>
                <w:rFonts w:eastAsia="Times New Roman" w:cs="Times New Roman"/>
                <w:spacing w:val="-1"/>
                <w:position w:val="-1"/>
                <w:szCs w:val="20"/>
              </w:rPr>
              <w:t>ś</w:t>
            </w:r>
            <w:r>
              <w:rPr>
                <w:rFonts w:eastAsia="Times New Roman" w:cs="Times New Roman"/>
                <w:position w:val="-1"/>
                <w:szCs w:val="20"/>
              </w:rPr>
              <w:t>ć</w:t>
            </w:r>
            <w:r>
              <w:rPr>
                <w:rFonts w:eastAsia="Times New Roman" w:cs="Times New Roman"/>
                <w:spacing w:val="-9"/>
                <w:position w:val="-1"/>
                <w:szCs w:val="20"/>
              </w:rPr>
              <w:t xml:space="preserve"> </w:t>
            </w:r>
            <w:r>
              <w:rPr>
                <w:rFonts w:eastAsia="Times New Roman" w:cs="Times New Roman"/>
                <w:spacing w:val="-1"/>
                <w:position w:val="-1"/>
                <w:szCs w:val="20"/>
              </w:rPr>
              <w:t>u</w:t>
            </w:r>
            <w:r>
              <w:rPr>
                <w:rFonts w:eastAsia="Times New Roman" w:cs="Times New Roman"/>
                <w:spacing w:val="3"/>
                <w:position w:val="-1"/>
                <w:szCs w:val="20"/>
              </w:rPr>
              <w:t>ż</w:t>
            </w:r>
            <w:r>
              <w:rPr>
                <w:rFonts w:eastAsia="Times New Roman" w:cs="Times New Roman"/>
                <w:spacing w:val="-1"/>
                <w:position w:val="-1"/>
                <w:szCs w:val="20"/>
              </w:rPr>
              <w:t>y</w:t>
            </w:r>
            <w:r>
              <w:rPr>
                <w:rFonts w:eastAsia="Times New Roman" w:cs="Times New Roman"/>
                <w:spacing w:val="2"/>
                <w:position w:val="-1"/>
                <w:szCs w:val="20"/>
              </w:rPr>
              <w:t>t</w:t>
            </w:r>
            <w:r>
              <w:rPr>
                <w:rFonts w:eastAsia="Times New Roman" w:cs="Times New Roman"/>
                <w:spacing w:val="-1"/>
                <w:position w:val="-1"/>
                <w:szCs w:val="20"/>
              </w:rPr>
              <w:t>k</w:t>
            </w:r>
            <w:r>
              <w:rPr>
                <w:rFonts w:eastAsia="Times New Roman" w:cs="Times New Roman"/>
                <w:spacing w:val="3"/>
                <w:position w:val="-1"/>
                <w:szCs w:val="20"/>
              </w:rPr>
              <w:t>o</w:t>
            </w:r>
            <w:r>
              <w:rPr>
                <w:rFonts w:eastAsia="Times New Roman" w:cs="Times New Roman"/>
                <w:spacing w:val="-2"/>
                <w:position w:val="-1"/>
                <w:szCs w:val="20"/>
              </w:rPr>
              <w:t>w</w:t>
            </w:r>
            <w:r>
              <w:rPr>
                <w:rFonts w:eastAsia="Times New Roman" w:cs="Times New Roman"/>
                <w:position w:val="-1"/>
                <w:szCs w:val="20"/>
              </w:rPr>
              <w:t>a</w:t>
            </w:r>
            <w:r>
              <w:rPr>
                <w:rFonts w:eastAsia="Times New Roman" w:cs="Times New Roman"/>
                <w:spacing w:val="-5"/>
                <w:position w:val="-1"/>
                <w:szCs w:val="20"/>
              </w:rPr>
              <w:t xml:space="preserve"> </w:t>
            </w:r>
            <w:r>
              <w:rPr>
                <w:rFonts w:eastAsia="Times New Roman" w:cs="Times New Roman"/>
                <w:spacing w:val="-1"/>
                <w:position w:val="-1"/>
                <w:szCs w:val="20"/>
              </w:rPr>
              <w:t>n</w:t>
            </w:r>
            <w:r>
              <w:rPr>
                <w:rFonts w:eastAsia="Times New Roman" w:cs="Times New Roman"/>
                <w:position w:val="-1"/>
                <w:szCs w:val="20"/>
              </w:rPr>
              <w:t>ie</w:t>
            </w:r>
            <w:r>
              <w:rPr>
                <w:rFonts w:eastAsia="Times New Roman" w:cs="Times New Roman"/>
                <w:spacing w:val="-2"/>
                <w:position w:val="-1"/>
                <w:szCs w:val="20"/>
              </w:rPr>
              <w:t xml:space="preserve"> </w:t>
            </w:r>
            <w:r>
              <w:rPr>
                <w:rFonts w:eastAsia="Times New Roman" w:cs="Times New Roman"/>
                <w:spacing w:val="1"/>
                <w:position w:val="-1"/>
                <w:szCs w:val="20"/>
              </w:rPr>
              <w:t>o</w:t>
            </w:r>
            <w:r>
              <w:rPr>
                <w:rFonts w:eastAsia="Times New Roman" w:cs="Times New Roman"/>
                <w:spacing w:val="-1"/>
                <w:position w:val="-1"/>
                <w:szCs w:val="20"/>
              </w:rPr>
              <w:t>k</w:t>
            </w:r>
            <w:r>
              <w:rPr>
                <w:rFonts w:eastAsia="Times New Roman" w:cs="Times New Roman"/>
                <w:spacing w:val="1"/>
                <w:position w:val="-1"/>
                <w:szCs w:val="20"/>
              </w:rPr>
              <w:t>r</w:t>
            </w:r>
            <w:r>
              <w:rPr>
                <w:rFonts w:eastAsia="Times New Roman" w:cs="Times New Roman"/>
                <w:position w:val="-1"/>
                <w:szCs w:val="20"/>
              </w:rPr>
              <w:t>eśl</w:t>
            </w:r>
            <w:r>
              <w:rPr>
                <w:rFonts w:eastAsia="Times New Roman" w:cs="Times New Roman"/>
                <w:spacing w:val="2"/>
                <w:position w:val="-1"/>
                <w:szCs w:val="20"/>
              </w:rPr>
              <w:t>a</w:t>
            </w:r>
            <w:r>
              <w:rPr>
                <w:rFonts w:eastAsia="Times New Roman" w:cs="Times New Roman"/>
                <w:spacing w:val="-1"/>
                <w:position w:val="-1"/>
                <w:szCs w:val="20"/>
              </w:rPr>
              <w:t>n</w:t>
            </w:r>
            <w:r>
              <w:rPr>
                <w:rFonts w:eastAsia="Times New Roman" w:cs="Times New Roman"/>
                <w:position w:val="-1"/>
                <w:szCs w:val="20"/>
              </w:rPr>
              <w:t>a)</w:t>
            </w:r>
          </w:p>
          <w:p w:rsidR="00B77F00" w:rsidRDefault="00865FA3">
            <w:pPr>
              <w:pStyle w:val="Standard"/>
              <w:rPr>
                <w:szCs w:val="20"/>
              </w:rPr>
            </w:pPr>
            <w:r>
              <w:rPr>
                <w:rFonts w:eastAsia="Times New Roman" w:cs="Times New Roman"/>
                <w:position w:val="14"/>
                <w:szCs w:val="20"/>
              </w:rPr>
              <w:t>b</w:t>
            </w:r>
            <w:r>
              <w:rPr>
                <w:rFonts w:eastAsia="Times New Roman" w:cs="Times New Roman"/>
                <w:spacing w:val="17"/>
                <w:position w:val="14"/>
                <w:szCs w:val="20"/>
              </w:rPr>
              <w:t xml:space="preserve"> </w:t>
            </w:r>
            <w:r>
              <w:rPr>
                <w:rFonts w:eastAsia="Times New Roman" w:cs="Times New Roman"/>
                <w:szCs w:val="20"/>
              </w:rPr>
              <w:t>T</w:t>
            </w:r>
            <w:r>
              <w:rPr>
                <w:rFonts w:eastAsia="Times New Roman" w:cs="Times New Roman"/>
                <w:spacing w:val="1"/>
                <w:szCs w:val="20"/>
              </w:rPr>
              <w:t>B</w:t>
            </w:r>
            <w:r>
              <w:rPr>
                <w:rFonts w:eastAsia="Times New Roman" w:cs="Times New Roman"/>
                <w:szCs w:val="20"/>
              </w:rPr>
              <w:t>R</w:t>
            </w:r>
            <w:r>
              <w:rPr>
                <w:rFonts w:eastAsia="Times New Roman" w:cs="Times New Roman"/>
                <w:spacing w:val="-4"/>
                <w:szCs w:val="20"/>
              </w:rPr>
              <w:t xml:space="preserve"> </w:t>
            </w:r>
            <w:r>
              <w:rPr>
                <w:rFonts w:eastAsia="Times New Roman" w:cs="Times New Roman"/>
                <w:szCs w:val="20"/>
              </w:rPr>
              <w:t>–</w:t>
            </w:r>
            <w:r>
              <w:rPr>
                <w:rFonts w:eastAsia="Times New Roman" w:cs="Times New Roman"/>
                <w:spacing w:val="-2"/>
                <w:szCs w:val="20"/>
              </w:rPr>
              <w:t xml:space="preserve"> </w:t>
            </w:r>
            <w:r>
              <w:rPr>
                <w:rFonts w:eastAsia="Times New Roman" w:cs="Times New Roman"/>
                <w:spacing w:val="3"/>
                <w:szCs w:val="20"/>
              </w:rPr>
              <w:t>T</w:t>
            </w:r>
            <w:r>
              <w:rPr>
                <w:rFonts w:eastAsia="Times New Roman" w:cs="Times New Roman"/>
                <w:szCs w:val="20"/>
              </w:rPr>
              <w:t>o</w:t>
            </w:r>
            <w:r>
              <w:rPr>
                <w:rFonts w:eastAsia="Times New Roman" w:cs="Times New Roman"/>
                <w:spacing w:val="-3"/>
                <w:szCs w:val="20"/>
              </w:rPr>
              <w:t xml:space="preserve"> </w:t>
            </w:r>
            <w:r>
              <w:rPr>
                <w:rFonts w:eastAsia="Times New Roman" w:cs="Times New Roman"/>
                <w:spacing w:val="1"/>
                <w:szCs w:val="20"/>
              </w:rPr>
              <w:t>B</w:t>
            </w:r>
            <w:r>
              <w:rPr>
                <w:rFonts w:eastAsia="Times New Roman" w:cs="Times New Roman"/>
                <w:szCs w:val="20"/>
              </w:rPr>
              <w:t>e</w:t>
            </w:r>
            <w:r>
              <w:rPr>
                <w:rFonts w:eastAsia="Times New Roman" w:cs="Times New Roman"/>
                <w:spacing w:val="-1"/>
                <w:szCs w:val="20"/>
              </w:rPr>
              <w:t xml:space="preserve"> R</w:t>
            </w:r>
            <w:r>
              <w:rPr>
                <w:rFonts w:eastAsia="Times New Roman" w:cs="Times New Roman"/>
                <w:szCs w:val="20"/>
              </w:rPr>
              <w:t>e</w:t>
            </w:r>
            <w:r>
              <w:rPr>
                <w:rFonts w:eastAsia="Times New Roman" w:cs="Times New Roman"/>
                <w:spacing w:val="1"/>
                <w:szCs w:val="20"/>
              </w:rPr>
              <w:t>por</w:t>
            </w:r>
            <w:r>
              <w:rPr>
                <w:rFonts w:eastAsia="Times New Roman" w:cs="Times New Roman"/>
                <w:szCs w:val="20"/>
              </w:rPr>
              <w:t>ted</w:t>
            </w:r>
            <w:r>
              <w:rPr>
                <w:rFonts w:eastAsia="Times New Roman" w:cs="Times New Roman"/>
                <w:spacing w:val="-8"/>
                <w:szCs w:val="20"/>
              </w:rPr>
              <w:t xml:space="preserve"> </w:t>
            </w:r>
            <w:r>
              <w:rPr>
                <w:rFonts w:eastAsia="Times New Roman" w:cs="Times New Roman"/>
                <w:spacing w:val="1"/>
                <w:szCs w:val="20"/>
              </w:rPr>
              <w:t>(d</w:t>
            </w:r>
            <w:r>
              <w:rPr>
                <w:rFonts w:eastAsia="Times New Roman" w:cs="Times New Roman"/>
                <w:szCs w:val="20"/>
              </w:rPr>
              <w:t>o</w:t>
            </w:r>
            <w:r>
              <w:rPr>
                <w:rFonts w:eastAsia="Times New Roman" w:cs="Times New Roman"/>
                <w:spacing w:val="-4"/>
                <w:szCs w:val="20"/>
              </w:rPr>
              <w:t xml:space="preserve"> </w:t>
            </w:r>
            <w:r>
              <w:rPr>
                <w:rFonts w:eastAsia="Times New Roman" w:cs="Times New Roman"/>
                <w:spacing w:val="-2"/>
                <w:szCs w:val="20"/>
              </w:rPr>
              <w:t>z</w:t>
            </w:r>
            <w:r>
              <w:rPr>
                <w:rFonts w:eastAsia="Times New Roman" w:cs="Times New Roman"/>
                <w:szCs w:val="20"/>
              </w:rPr>
              <w:t>a</w:t>
            </w:r>
            <w:r>
              <w:rPr>
                <w:rFonts w:eastAsia="Times New Roman" w:cs="Times New Roman"/>
                <w:spacing w:val="1"/>
                <w:szCs w:val="20"/>
              </w:rPr>
              <w:t>d</w:t>
            </w:r>
            <w:r>
              <w:rPr>
                <w:rFonts w:eastAsia="Times New Roman" w:cs="Times New Roman"/>
                <w:szCs w:val="20"/>
              </w:rPr>
              <w:t>e</w:t>
            </w:r>
            <w:r>
              <w:rPr>
                <w:rFonts w:eastAsia="Times New Roman" w:cs="Times New Roman"/>
                <w:spacing w:val="-1"/>
                <w:szCs w:val="20"/>
              </w:rPr>
              <w:t>k</w:t>
            </w:r>
            <w:r>
              <w:rPr>
                <w:rFonts w:eastAsia="Times New Roman" w:cs="Times New Roman"/>
                <w:szCs w:val="20"/>
              </w:rPr>
              <w:t>la</w:t>
            </w:r>
            <w:r>
              <w:rPr>
                <w:rFonts w:eastAsia="Times New Roman" w:cs="Times New Roman"/>
                <w:spacing w:val="1"/>
                <w:szCs w:val="20"/>
              </w:rPr>
              <w:t>r</w:t>
            </w:r>
            <w:r>
              <w:rPr>
                <w:rFonts w:eastAsia="Times New Roman" w:cs="Times New Roman"/>
                <w:spacing w:val="3"/>
                <w:szCs w:val="20"/>
              </w:rPr>
              <w:t>o</w:t>
            </w:r>
            <w:r>
              <w:rPr>
                <w:rFonts w:eastAsia="Times New Roman" w:cs="Times New Roman"/>
                <w:spacing w:val="-5"/>
                <w:szCs w:val="20"/>
              </w:rPr>
              <w:t>w</w:t>
            </w:r>
            <w:r>
              <w:rPr>
                <w:rFonts w:eastAsia="Times New Roman" w:cs="Times New Roman"/>
                <w:spacing w:val="3"/>
                <w:szCs w:val="20"/>
              </w:rPr>
              <w:t>a</w:t>
            </w:r>
            <w:r>
              <w:rPr>
                <w:rFonts w:eastAsia="Times New Roman" w:cs="Times New Roman"/>
                <w:spacing w:val="-1"/>
                <w:szCs w:val="20"/>
              </w:rPr>
              <w:t>n</w:t>
            </w:r>
            <w:r>
              <w:rPr>
                <w:rFonts w:eastAsia="Times New Roman" w:cs="Times New Roman"/>
                <w:szCs w:val="20"/>
              </w:rPr>
              <w:t>ia)</w:t>
            </w:r>
          </w:p>
        </w:tc>
      </w:tr>
    </w:tbl>
    <w:p w:rsidR="00B77F00" w:rsidRDefault="00B77F00">
      <w:pPr>
        <w:pStyle w:val="Standard"/>
        <w:rPr>
          <w:szCs w:val="20"/>
        </w:rPr>
      </w:pPr>
    </w:p>
    <w:p w:rsidR="00B77F00" w:rsidRDefault="00865FA3">
      <w:pPr>
        <w:pStyle w:val="Standard"/>
        <w:rPr>
          <w:szCs w:val="20"/>
        </w:rPr>
      </w:pPr>
      <w:r>
        <w:rPr>
          <w:szCs w:val="20"/>
        </w:rPr>
        <w:t>2.4. Wypełniacz</w:t>
      </w:r>
    </w:p>
    <w:p w:rsidR="00B77F00" w:rsidRDefault="00865FA3">
      <w:pPr>
        <w:pStyle w:val="Standard"/>
        <w:rPr>
          <w:szCs w:val="20"/>
        </w:rPr>
      </w:pPr>
      <w:r>
        <w:rPr>
          <w:szCs w:val="20"/>
        </w:rPr>
        <w:t>Do asfaltu lanego używanego do wykonania warstwy wiążącej, w zależności od kategorii ruchu, należy stosować wypełniacz spełniający wymagania podane w tablicy 5.</w:t>
      </w:r>
    </w:p>
    <w:p w:rsidR="00B77F00" w:rsidRDefault="00B77F00">
      <w:pPr>
        <w:pStyle w:val="Standard"/>
        <w:rPr>
          <w:szCs w:val="20"/>
        </w:rPr>
      </w:pPr>
    </w:p>
    <w:p w:rsidR="00B77F00" w:rsidRDefault="00865FA3">
      <w:pPr>
        <w:pStyle w:val="Standard"/>
        <w:rPr>
          <w:szCs w:val="20"/>
        </w:rPr>
      </w:pPr>
      <w:r>
        <w:rPr>
          <w:szCs w:val="20"/>
        </w:rPr>
        <w:t>Tablica 5. Wymagane właściwości wypełniacza do przeciwspadk</w:t>
      </w:r>
      <w:r>
        <w:rPr>
          <w:szCs w:val="20"/>
        </w:rPr>
        <w:t>u z asfaltu lanego</w:t>
      </w:r>
    </w:p>
    <w:tbl>
      <w:tblPr>
        <w:tblW w:w="9638" w:type="dxa"/>
        <w:jc w:val="right"/>
        <w:tblLayout w:type="fixed"/>
        <w:tblCellMar>
          <w:left w:w="10" w:type="dxa"/>
          <w:right w:w="10" w:type="dxa"/>
        </w:tblCellMar>
        <w:tblLook w:val="0000" w:firstRow="0" w:lastRow="0" w:firstColumn="0" w:lastColumn="0" w:noHBand="0" w:noVBand="0"/>
      </w:tblPr>
      <w:tblGrid>
        <w:gridCol w:w="4217"/>
        <w:gridCol w:w="1807"/>
        <w:gridCol w:w="1807"/>
        <w:gridCol w:w="1807"/>
      </w:tblGrid>
      <w:tr w:rsidR="00B77F00">
        <w:tblPrEx>
          <w:tblCellMar>
            <w:top w:w="0" w:type="dxa"/>
            <w:bottom w:w="0" w:type="dxa"/>
          </w:tblCellMar>
        </w:tblPrEx>
        <w:trPr>
          <w:trHeight w:val="170"/>
          <w:jc w:val="right"/>
        </w:trPr>
        <w:tc>
          <w:tcPr>
            <w:tcW w:w="4217" w:type="dxa"/>
            <w:vMerge w:val="restart"/>
            <w:tcBorders>
              <w:top w:val="single" w:sz="4" w:space="0" w:color="000001"/>
              <w:left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1"/>
                <w:szCs w:val="20"/>
              </w:rPr>
              <w:t>W</w:t>
            </w:r>
            <w:r>
              <w:rPr>
                <w:rFonts w:eastAsia="Times New Roman" w:cs="Times New Roman"/>
                <w:szCs w:val="20"/>
              </w:rPr>
              <w:t>łaśc</w:t>
            </w:r>
            <w:r>
              <w:rPr>
                <w:rFonts w:eastAsia="Times New Roman" w:cs="Times New Roman"/>
                <w:spacing w:val="2"/>
                <w:szCs w:val="20"/>
              </w:rPr>
              <w:t>i</w:t>
            </w:r>
            <w:r>
              <w:rPr>
                <w:rFonts w:eastAsia="Times New Roman" w:cs="Times New Roman"/>
                <w:spacing w:val="-5"/>
                <w:szCs w:val="20"/>
              </w:rPr>
              <w:t>w</w:t>
            </w:r>
            <w:r>
              <w:rPr>
                <w:rFonts w:eastAsia="Times New Roman" w:cs="Times New Roman"/>
                <w:spacing w:val="3"/>
                <w:szCs w:val="20"/>
              </w:rPr>
              <w:t>o</w:t>
            </w:r>
            <w:r>
              <w:rPr>
                <w:rFonts w:eastAsia="Times New Roman" w:cs="Times New Roman"/>
                <w:spacing w:val="-1"/>
                <w:szCs w:val="20"/>
              </w:rPr>
              <w:t>ś</w:t>
            </w:r>
            <w:r>
              <w:rPr>
                <w:rFonts w:eastAsia="Times New Roman" w:cs="Times New Roman"/>
                <w:szCs w:val="20"/>
              </w:rPr>
              <w:t>ci</w:t>
            </w:r>
            <w:r>
              <w:rPr>
                <w:rFonts w:eastAsia="Times New Roman" w:cs="Times New Roman"/>
                <w:spacing w:val="-10"/>
                <w:szCs w:val="20"/>
              </w:rPr>
              <w:t xml:space="preserve"> </w:t>
            </w:r>
            <w:r>
              <w:rPr>
                <w:rFonts w:eastAsia="Times New Roman" w:cs="Times New Roman"/>
                <w:spacing w:val="-1"/>
                <w:szCs w:val="20"/>
              </w:rPr>
              <w:t>k</w:t>
            </w:r>
            <w:r>
              <w:rPr>
                <w:rFonts w:eastAsia="Times New Roman" w:cs="Times New Roman"/>
                <w:spacing w:val="3"/>
                <w:szCs w:val="20"/>
              </w:rPr>
              <w:t>r</w:t>
            </w:r>
            <w:r>
              <w:rPr>
                <w:rFonts w:eastAsia="Times New Roman" w:cs="Times New Roman"/>
                <w:spacing w:val="-1"/>
                <w:szCs w:val="20"/>
              </w:rPr>
              <w:t>us</w:t>
            </w:r>
            <w:r>
              <w:rPr>
                <w:rFonts w:eastAsia="Times New Roman" w:cs="Times New Roman"/>
                <w:spacing w:val="3"/>
                <w:szCs w:val="20"/>
              </w:rPr>
              <w:t>z</w:t>
            </w:r>
            <w:r>
              <w:rPr>
                <w:rFonts w:eastAsia="Times New Roman" w:cs="Times New Roman"/>
                <w:spacing w:val="1"/>
                <w:szCs w:val="20"/>
              </w:rPr>
              <w:t>y</w:t>
            </w:r>
            <w:r>
              <w:rPr>
                <w:rFonts w:eastAsia="Times New Roman" w:cs="Times New Roman"/>
                <w:spacing w:val="-2"/>
                <w:szCs w:val="20"/>
              </w:rPr>
              <w:t>w</w:t>
            </w:r>
            <w:r>
              <w:rPr>
                <w:rFonts w:eastAsia="Times New Roman" w:cs="Times New Roman"/>
                <w:szCs w:val="20"/>
              </w:rPr>
              <w:t>a</w:t>
            </w:r>
          </w:p>
        </w:tc>
        <w:tc>
          <w:tcPr>
            <w:tcW w:w="5421" w:type="dxa"/>
            <w:gridSpan w:val="3"/>
            <w:tcBorders>
              <w:top w:val="single" w:sz="4" w:space="0" w:color="000001"/>
              <w:left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1"/>
                <w:szCs w:val="20"/>
              </w:rPr>
              <w:t>W</w:t>
            </w:r>
            <w:r>
              <w:rPr>
                <w:rFonts w:eastAsia="Times New Roman" w:cs="Times New Roman"/>
                <w:spacing w:val="-1"/>
                <w:szCs w:val="20"/>
              </w:rPr>
              <w:t>ym</w:t>
            </w:r>
            <w:r>
              <w:rPr>
                <w:rFonts w:eastAsia="Times New Roman" w:cs="Times New Roman"/>
                <w:spacing w:val="3"/>
                <w:szCs w:val="20"/>
              </w:rPr>
              <w:t>a</w:t>
            </w:r>
            <w:r>
              <w:rPr>
                <w:rFonts w:eastAsia="Times New Roman" w:cs="Times New Roman"/>
                <w:spacing w:val="-1"/>
                <w:szCs w:val="20"/>
              </w:rPr>
              <w:t>g</w:t>
            </w:r>
            <w:r>
              <w:rPr>
                <w:rFonts w:eastAsia="Times New Roman" w:cs="Times New Roman"/>
                <w:szCs w:val="20"/>
              </w:rPr>
              <w:t>a</w:t>
            </w:r>
            <w:r>
              <w:rPr>
                <w:rFonts w:eastAsia="Times New Roman" w:cs="Times New Roman"/>
                <w:spacing w:val="1"/>
                <w:szCs w:val="20"/>
              </w:rPr>
              <w:t>n</w:t>
            </w:r>
            <w:r>
              <w:rPr>
                <w:rFonts w:eastAsia="Times New Roman" w:cs="Times New Roman"/>
                <w:szCs w:val="20"/>
              </w:rPr>
              <w:t>ia</w:t>
            </w:r>
            <w:r>
              <w:rPr>
                <w:rFonts w:eastAsia="Times New Roman" w:cs="Times New Roman"/>
                <w:spacing w:val="-7"/>
                <w:szCs w:val="20"/>
              </w:rPr>
              <w:t xml:space="preserve"> </w:t>
            </w:r>
            <w:r>
              <w:rPr>
                <w:rFonts w:eastAsia="Times New Roman" w:cs="Times New Roman"/>
                <w:szCs w:val="20"/>
              </w:rPr>
              <w:t>w</w:t>
            </w:r>
            <w:r>
              <w:rPr>
                <w:rFonts w:eastAsia="Times New Roman" w:cs="Times New Roman"/>
                <w:spacing w:val="-5"/>
                <w:szCs w:val="20"/>
              </w:rPr>
              <w:t xml:space="preserve"> </w:t>
            </w:r>
            <w:r>
              <w:rPr>
                <w:rFonts w:eastAsia="Times New Roman" w:cs="Times New Roman"/>
                <w:szCs w:val="20"/>
              </w:rPr>
              <w:t>z</w:t>
            </w:r>
            <w:r>
              <w:rPr>
                <w:rFonts w:eastAsia="Times New Roman" w:cs="Times New Roman"/>
                <w:spacing w:val="3"/>
                <w:szCs w:val="20"/>
              </w:rPr>
              <w:t>a</w:t>
            </w:r>
            <w:r>
              <w:rPr>
                <w:rFonts w:eastAsia="Times New Roman" w:cs="Times New Roman"/>
                <w:szCs w:val="20"/>
              </w:rPr>
              <w:t>leż</w:t>
            </w:r>
            <w:r>
              <w:rPr>
                <w:rFonts w:eastAsia="Times New Roman" w:cs="Times New Roman"/>
                <w:spacing w:val="-1"/>
                <w:szCs w:val="20"/>
              </w:rPr>
              <w:t>n</w:t>
            </w:r>
            <w:r>
              <w:rPr>
                <w:rFonts w:eastAsia="Times New Roman" w:cs="Times New Roman"/>
                <w:spacing w:val="1"/>
                <w:szCs w:val="20"/>
              </w:rPr>
              <w:t>o</w:t>
            </w:r>
            <w:r>
              <w:rPr>
                <w:rFonts w:eastAsia="Times New Roman" w:cs="Times New Roman"/>
                <w:spacing w:val="-1"/>
                <w:szCs w:val="20"/>
              </w:rPr>
              <w:t>ś</w:t>
            </w:r>
            <w:r>
              <w:rPr>
                <w:rFonts w:eastAsia="Times New Roman" w:cs="Times New Roman"/>
                <w:spacing w:val="3"/>
                <w:szCs w:val="20"/>
              </w:rPr>
              <w:t>c</w:t>
            </w:r>
            <w:r>
              <w:rPr>
                <w:rFonts w:eastAsia="Times New Roman" w:cs="Times New Roman"/>
                <w:szCs w:val="20"/>
              </w:rPr>
              <w:t>i</w:t>
            </w:r>
            <w:r>
              <w:rPr>
                <w:rFonts w:eastAsia="Times New Roman" w:cs="Times New Roman"/>
                <w:spacing w:val="-8"/>
                <w:szCs w:val="20"/>
              </w:rPr>
              <w:t xml:space="preserve"> </w:t>
            </w:r>
            <w:r>
              <w:rPr>
                <w:rFonts w:eastAsia="Times New Roman" w:cs="Times New Roman"/>
                <w:spacing w:val="1"/>
                <w:szCs w:val="20"/>
              </w:rPr>
              <w:t>o</w:t>
            </w:r>
            <w:r>
              <w:rPr>
                <w:rFonts w:eastAsia="Times New Roman" w:cs="Times New Roman"/>
                <w:szCs w:val="20"/>
              </w:rPr>
              <w:t>d</w:t>
            </w:r>
            <w:r>
              <w:rPr>
                <w:rFonts w:eastAsia="Times New Roman" w:cs="Times New Roman"/>
                <w:spacing w:val="-1"/>
                <w:szCs w:val="20"/>
              </w:rPr>
              <w:t xml:space="preserve"> k</w:t>
            </w:r>
            <w:r>
              <w:rPr>
                <w:rFonts w:eastAsia="Times New Roman" w:cs="Times New Roman"/>
                <w:szCs w:val="20"/>
              </w:rPr>
              <w:t>ate</w:t>
            </w:r>
            <w:r>
              <w:rPr>
                <w:rFonts w:eastAsia="Times New Roman" w:cs="Times New Roman"/>
                <w:spacing w:val="-1"/>
                <w:szCs w:val="20"/>
              </w:rPr>
              <w:t>g</w:t>
            </w:r>
            <w:r>
              <w:rPr>
                <w:rFonts w:eastAsia="Times New Roman" w:cs="Times New Roman"/>
                <w:spacing w:val="1"/>
                <w:szCs w:val="20"/>
              </w:rPr>
              <w:t>or</w:t>
            </w:r>
            <w:r>
              <w:rPr>
                <w:rFonts w:eastAsia="Times New Roman" w:cs="Times New Roman"/>
                <w:szCs w:val="20"/>
              </w:rPr>
              <w:t>ii</w:t>
            </w:r>
            <w:r>
              <w:rPr>
                <w:rFonts w:eastAsia="Times New Roman" w:cs="Times New Roman"/>
                <w:spacing w:val="-7"/>
                <w:szCs w:val="20"/>
              </w:rPr>
              <w:t xml:space="preserve"> </w:t>
            </w:r>
            <w:r>
              <w:rPr>
                <w:rFonts w:eastAsia="Times New Roman" w:cs="Times New Roman"/>
                <w:spacing w:val="1"/>
                <w:szCs w:val="20"/>
              </w:rPr>
              <w:t>r</w:t>
            </w:r>
            <w:r>
              <w:rPr>
                <w:rFonts w:eastAsia="Times New Roman" w:cs="Times New Roman"/>
                <w:spacing w:val="-1"/>
                <w:szCs w:val="20"/>
              </w:rPr>
              <w:t>u</w:t>
            </w:r>
            <w:r>
              <w:rPr>
                <w:rFonts w:eastAsia="Times New Roman" w:cs="Times New Roman"/>
                <w:szCs w:val="20"/>
              </w:rPr>
              <w:t>c</w:t>
            </w:r>
            <w:r>
              <w:rPr>
                <w:rFonts w:eastAsia="Times New Roman" w:cs="Times New Roman"/>
                <w:spacing w:val="1"/>
                <w:szCs w:val="20"/>
              </w:rPr>
              <w:t>h</w:t>
            </w:r>
            <w:r>
              <w:rPr>
                <w:rFonts w:eastAsia="Times New Roman" w:cs="Times New Roman"/>
                <w:szCs w:val="20"/>
              </w:rPr>
              <w:t>u</w:t>
            </w:r>
          </w:p>
        </w:tc>
      </w:tr>
      <w:tr w:rsidR="00B77F00">
        <w:tblPrEx>
          <w:tblCellMar>
            <w:top w:w="0" w:type="dxa"/>
            <w:bottom w:w="0" w:type="dxa"/>
          </w:tblCellMar>
        </w:tblPrEx>
        <w:trPr>
          <w:trHeight w:val="170"/>
          <w:jc w:val="right"/>
        </w:trPr>
        <w:tc>
          <w:tcPr>
            <w:tcW w:w="4217" w:type="dxa"/>
            <w:vMerge/>
            <w:tcBorders>
              <w:top w:val="single" w:sz="4" w:space="0" w:color="000001"/>
              <w:left w:val="single" w:sz="4" w:space="0" w:color="000001"/>
              <w:right w:val="single" w:sz="4" w:space="0" w:color="000001"/>
            </w:tcBorders>
            <w:tcMar>
              <w:top w:w="0" w:type="dxa"/>
              <w:left w:w="0" w:type="dxa"/>
              <w:bottom w:w="0" w:type="dxa"/>
              <w:right w:w="0" w:type="dxa"/>
            </w:tcMar>
            <w:vAlign w:val="center"/>
          </w:tcPr>
          <w:p w:rsidR="00000000" w:rsidRDefault="00865FA3"/>
        </w:tc>
        <w:tc>
          <w:tcPr>
            <w:tcW w:w="1807"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K</w:t>
            </w:r>
            <w:r>
              <w:rPr>
                <w:rFonts w:eastAsia="Times New Roman" w:cs="Times New Roman"/>
                <w:spacing w:val="-1"/>
                <w:szCs w:val="20"/>
              </w:rPr>
              <w:t>R</w:t>
            </w:r>
            <w:r>
              <w:rPr>
                <w:rFonts w:eastAsia="Times New Roman" w:cs="Times New Roman"/>
                <w:szCs w:val="20"/>
              </w:rPr>
              <w:t>1</w:t>
            </w:r>
            <w:r>
              <w:rPr>
                <w:rFonts w:eastAsia="Times New Roman" w:cs="Times New Roman"/>
                <w:spacing w:val="-2"/>
                <w:szCs w:val="20"/>
              </w:rPr>
              <w:t xml:space="preserve"> </w:t>
            </w:r>
            <w:r>
              <w:rPr>
                <w:rFonts w:eastAsia="Symbol" w:cs="Symbol"/>
                <w:szCs w:val="20"/>
              </w:rPr>
              <w:t></w:t>
            </w:r>
            <w:r>
              <w:rPr>
                <w:rFonts w:eastAsia="Times New Roman" w:cs="Times New Roman"/>
                <w:szCs w:val="20"/>
              </w:rPr>
              <w:t xml:space="preserve"> K</w:t>
            </w:r>
            <w:r>
              <w:rPr>
                <w:rFonts w:eastAsia="Times New Roman" w:cs="Times New Roman"/>
                <w:spacing w:val="-1"/>
                <w:szCs w:val="20"/>
              </w:rPr>
              <w:t>R</w:t>
            </w:r>
            <w:r>
              <w:rPr>
                <w:rFonts w:eastAsia="Times New Roman" w:cs="Times New Roman"/>
                <w:szCs w:val="20"/>
              </w:rPr>
              <w:t>2</w:t>
            </w:r>
          </w:p>
        </w:tc>
        <w:tc>
          <w:tcPr>
            <w:tcW w:w="1807"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K</w:t>
            </w:r>
            <w:r>
              <w:rPr>
                <w:rFonts w:eastAsia="Times New Roman" w:cs="Times New Roman"/>
                <w:spacing w:val="-1"/>
                <w:szCs w:val="20"/>
              </w:rPr>
              <w:t>R</w:t>
            </w:r>
            <w:r>
              <w:rPr>
                <w:rFonts w:eastAsia="Times New Roman" w:cs="Times New Roman"/>
                <w:szCs w:val="20"/>
              </w:rPr>
              <w:t>3</w:t>
            </w:r>
            <w:r>
              <w:rPr>
                <w:rFonts w:eastAsia="Times New Roman" w:cs="Times New Roman"/>
                <w:spacing w:val="-2"/>
                <w:szCs w:val="20"/>
              </w:rPr>
              <w:t xml:space="preserve"> </w:t>
            </w:r>
            <w:r>
              <w:rPr>
                <w:rFonts w:eastAsia="Symbol" w:cs="Symbol"/>
                <w:szCs w:val="20"/>
              </w:rPr>
              <w:t></w:t>
            </w:r>
            <w:r>
              <w:rPr>
                <w:rFonts w:eastAsia="Times New Roman" w:cs="Times New Roman"/>
                <w:szCs w:val="20"/>
              </w:rPr>
              <w:t xml:space="preserve"> K</w:t>
            </w:r>
            <w:r>
              <w:rPr>
                <w:rFonts w:eastAsia="Times New Roman" w:cs="Times New Roman"/>
                <w:spacing w:val="-1"/>
                <w:szCs w:val="20"/>
              </w:rPr>
              <w:t>R</w:t>
            </w:r>
            <w:r>
              <w:rPr>
                <w:rFonts w:eastAsia="Times New Roman" w:cs="Times New Roman"/>
                <w:szCs w:val="20"/>
              </w:rPr>
              <w:t>4</w:t>
            </w:r>
          </w:p>
        </w:tc>
        <w:tc>
          <w:tcPr>
            <w:tcW w:w="1807"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K</w:t>
            </w:r>
            <w:r>
              <w:rPr>
                <w:rFonts w:eastAsia="Times New Roman" w:cs="Times New Roman"/>
                <w:spacing w:val="-1"/>
                <w:szCs w:val="20"/>
              </w:rPr>
              <w:t>R</w:t>
            </w:r>
            <w:r>
              <w:rPr>
                <w:rFonts w:eastAsia="Times New Roman" w:cs="Times New Roman"/>
                <w:szCs w:val="20"/>
              </w:rPr>
              <w:t>5</w:t>
            </w:r>
            <w:r>
              <w:rPr>
                <w:rFonts w:eastAsia="Times New Roman" w:cs="Times New Roman"/>
                <w:spacing w:val="-2"/>
                <w:szCs w:val="20"/>
              </w:rPr>
              <w:t xml:space="preserve"> </w:t>
            </w:r>
            <w:r>
              <w:rPr>
                <w:rFonts w:eastAsia="Symbol" w:cs="Symbol"/>
                <w:szCs w:val="20"/>
              </w:rPr>
              <w:t></w:t>
            </w:r>
            <w:r>
              <w:rPr>
                <w:rFonts w:eastAsia="Times New Roman" w:cs="Times New Roman"/>
                <w:szCs w:val="20"/>
              </w:rPr>
              <w:t xml:space="preserve"> K</w:t>
            </w:r>
            <w:r>
              <w:rPr>
                <w:rFonts w:eastAsia="Times New Roman" w:cs="Times New Roman"/>
                <w:spacing w:val="-1"/>
                <w:szCs w:val="20"/>
              </w:rPr>
              <w:t>R</w:t>
            </w:r>
            <w:r>
              <w:rPr>
                <w:rFonts w:eastAsia="Times New Roman" w:cs="Times New Roman"/>
                <w:szCs w:val="20"/>
              </w:rPr>
              <w:t>6</w:t>
            </w:r>
          </w:p>
        </w:tc>
      </w:tr>
      <w:tr w:rsidR="00B77F00">
        <w:tblPrEx>
          <w:tblCellMar>
            <w:top w:w="0" w:type="dxa"/>
            <w:bottom w:w="0" w:type="dxa"/>
          </w:tblCellMar>
        </w:tblPrEx>
        <w:trPr>
          <w:trHeight w:val="170"/>
          <w:jc w:val="right"/>
        </w:trPr>
        <w:tc>
          <w:tcPr>
            <w:tcW w:w="4217"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Uzi</w:t>
            </w:r>
            <w:r>
              <w:rPr>
                <w:rFonts w:eastAsia="Times New Roman" w:cs="Times New Roman"/>
                <w:spacing w:val="1"/>
                <w:szCs w:val="20"/>
              </w:rPr>
              <w:t>ar</w:t>
            </w:r>
            <w:r>
              <w:rPr>
                <w:rFonts w:eastAsia="Times New Roman" w:cs="Times New Roman"/>
                <w:spacing w:val="-1"/>
                <w:szCs w:val="20"/>
              </w:rPr>
              <w:t>n</w:t>
            </w:r>
            <w:r>
              <w:rPr>
                <w:rFonts w:eastAsia="Times New Roman" w:cs="Times New Roman"/>
                <w:szCs w:val="20"/>
              </w:rPr>
              <w:t>i</w:t>
            </w:r>
            <w:r>
              <w:rPr>
                <w:rFonts w:eastAsia="Times New Roman" w:cs="Times New Roman"/>
                <w:spacing w:val="2"/>
                <w:szCs w:val="20"/>
              </w:rPr>
              <w:t>e</w:t>
            </w:r>
            <w:r>
              <w:rPr>
                <w:rFonts w:eastAsia="Times New Roman" w:cs="Times New Roman"/>
                <w:spacing w:val="-1"/>
                <w:szCs w:val="20"/>
              </w:rPr>
              <w:t>n</w:t>
            </w:r>
            <w:r>
              <w:rPr>
                <w:rFonts w:eastAsia="Times New Roman" w:cs="Times New Roman"/>
                <w:szCs w:val="20"/>
              </w:rPr>
              <w:t>ie</w:t>
            </w:r>
            <w:r>
              <w:rPr>
                <w:rFonts w:eastAsia="Times New Roman" w:cs="Times New Roman"/>
                <w:spacing w:val="-6"/>
                <w:szCs w:val="20"/>
              </w:rPr>
              <w:t xml:space="preserve"> </w:t>
            </w:r>
            <w:r>
              <w:rPr>
                <w:rFonts w:eastAsia="Times New Roman" w:cs="Times New Roman"/>
                <w:spacing w:val="-2"/>
                <w:szCs w:val="20"/>
              </w:rPr>
              <w:t>w</w:t>
            </w:r>
            <w:r>
              <w:rPr>
                <w:rFonts w:eastAsia="Times New Roman" w:cs="Times New Roman"/>
                <w:szCs w:val="20"/>
              </w:rPr>
              <w:t>e</w:t>
            </w:r>
            <w:r>
              <w:rPr>
                <w:rFonts w:eastAsia="Times New Roman" w:cs="Times New Roman"/>
                <w:spacing w:val="1"/>
                <w:szCs w:val="20"/>
              </w:rPr>
              <w:t>d</w:t>
            </w:r>
            <w:r>
              <w:rPr>
                <w:rFonts w:eastAsia="Times New Roman" w:cs="Times New Roman"/>
                <w:szCs w:val="20"/>
              </w:rPr>
              <w:t>ł</w:t>
            </w:r>
            <w:r>
              <w:rPr>
                <w:rFonts w:eastAsia="Times New Roman" w:cs="Times New Roman"/>
                <w:spacing w:val="1"/>
                <w:szCs w:val="20"/>
              </w:rPr>
              <w:t>u</w:t>
            </w:r>
            <w:r>
              <w:rPr>
                <w:rFonts w:eastAsia="Times New Roman" w:cs="Times New Roman"/>
                <w:szCs w:val="20"/>
              </w:rPr>
              <w:t>g</w:t>
            </w:r>
            <w:r>
              <w:rPr>
                <w:rFonts w:eastAsia="Times New Roman" w:cs="Times New Roman"/>
                <w:spacing w:val="-7"/>
                <w:szCs w:val="20"/>
              </w:rPr>
              <w:t xml:space="preserve"> </w:t>
            </w:r>
            <w:r>
              <w:rPr>
                <w:rFonts w:eastAsia="Times New Roman" w:cs="Times New Roman"/>
                <w:spacing w:val="2"/>
                <w:szCs w:val="20"/>
              </w:rPr>
              <w:t>PN</w:t>
            </w:r>
            <w:r>
              <w:rPr>
                <w:rFonts w:eastAsia="Times New Roman" w:cs="Times New Roman"/>
                <w:spacing w:val="-2"/>
                <w:szCs w:val="20"/>
              </w:rPr>
              <w:t>-</w:t>
            </w:r>
            <w:r>
              <w:rPr>
                <w:rFonts w:eastAsia="Times New Roman" w:cs="Times New Roman"/>
                <w:szCs w:val="20"/>
              </w:rPr>
              <w:t>EN</w:t>
            </w:r>
            <w:r>
              <w:rPr>
                <w:rFonts w:eastAsia="Times New Roman" w:cs="Times New Roman"/>
                <w:spacing w:val="-6"/>
                <w:szCs w:val="20"/>
              </w:rPr>
              <w:t xml:space="preserve"> </w:t>
            </w:r>
            <w:r>
              <w:rPr>
                <w:rFonts w:eastAsia="Times New Roman" w:cs="Times New Roman"/>
                <w:spacing w:val="3"/>
                <w:szCs w:val="20"/>
              </w:rPr>
              <w:t>9</w:t>
            </w:r>
            <w:r>
              <w:rPr>
                <w:rFonts w:eastAsia="Times New Roman" w:cs="Times New Roman"/>
                <w:spacing w:val="1"/>
                <w:szCs w:val="20"/>
              </w:rPr>
              <w:t>3</w:t>
            </w:r>
            <w:r>
              <w:rPr>
                <w:rFonts w:eastAsia="Times New Roman" w:cs="Times New Roman"/>
                <w:spacing w:val="2"/>
                <w:szCs w:val="20"/>
              </w:rPr>
              <w:t>3</w:t>
            </w:r>
            <w:r>
              <w:rPr>
                <w:rFonts w:eastAsia="Times New Roman" w:cs="Times New Roman"/>
                <w:spacing w:val="-2"/>
                <w:szCs w:val="20"/>
              </w:rPr>
              <w:t>-</w:t>
            </w:r>
            <w:r>
              <w:rPr>
                <w:rFonts w:eastAsia="Times New Roman" w:cs="Times New Roman"/>
                <w:spacing w:val="1"/>
                <w:szCs w:val="20"/>
              </w:rPr>
              <w:t>10</w:t>
            </w:r>
          </w:p>
        </w:tc>
        <w:tc>
          <w:tcPr>
            <w:tcW w:w="5421" w:type="dxa"/>
            <w:gridSpan w:val="3"/>
            <w:tcBorders>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z</w:t>
            </w:r>
            <w:r>
              <w:rPr>
                <w:rFonts w:eastAsia="Times New Roman" w:cs="Times New Roman"/>
                <w:spacing w:val="-1"/>
                <w:szCs w:val="20"/>
              </w:rPr>
              <w:t>g</w:t>
            </w:r>
            <w:r>
              <w:rPr>
                <w:rFonts w:eastAsia="Times New Roman" w:cs="Times New Roman"/>
                <w:spacing w:val="1"/>
                <w:szCs w:val="20"/>
              </w:rPr>
              <w:t>od</w:t>
            </w:r>
            <w:r>
              <w:rPr>
                <w:rFonts w:eastAsia="Times New Roman" w:cs="Times New Roman"/>
                <w:spacing w:val="-1"/>
                <w:szCs w:val="20"/>
              </w:rPr>
              <w:t>n</w:t>
            </w:r>
            <w:r>
              <w:rPr>
                <w:rFonts w:eastAsia="Times New Roman" w:cs="Times New Roman"/>
                <w:szCs w:val="20"/>
              </w:rPr>
              <w:t>ie</w:t>
            </w:r>
            <w:r>
              <w:rPr>
                <w:rFonts w:eastAsia="Times New Roman" w:cs="Times New Roman"/>
                <w:spacing w:val="-6"/>
                <w:szCs w:val="20"/>
              </w:rPr>
              <w:t xml:space="preserve"> </w:t>
            </w:r>
            <w:r>
              <w:rPr>
                <w:rFonts w:eastAsia="Times New Roman" w:cs="Times New Roman"/>
                <w:szCs w:val="20"/>
              </w:rPr>
              <w:t>z ta</w:t>
            </w:r>
            <w:r>
              <w:rPr>
                <w:rFonts w:eastAsia="Times New Roman" w:cs="Times New Roman"/>
                <w:spacing w:val="1"/>
                <w:szCs w:val="20"/>
              </w:rPr>
              <w:t>b</w:t>
            </w:r>
            <w:r>
              <w:rPr>
                <w:rFonts w:eastAsia="Times New Roman" w:cs="Times New Roman"/>
                <w:szCs w:val="20"/>
              </w:rPr>
              <w:t>licą</w:t>
            </w:r>
            <w:r>
              <w:rPr>
                <w:rFonts w:eastAsia="Times New Roman" w:cs="Times New Roman"/>
                <w:spacing w:val="-4"/>
                <w:szCs w:val="20"/>
              </w:rPr>
              <w:t xml:space="preserve"> </w:t>
            </w:r>
            <w:r>
              <w:rPr>
                <w:rFonts w:eastAsia="Times New Roman" w:cs="Times New Roman"/>
                <w:spacing w:val="1"/>
                <w:szCs w:val="20"/>
              </w:rPr>
              <w:t>2</w:t>
            </w:r>
            <w:r>
              <w:rPr>
                <w:rFonts w:eastAsia="Times New Roman" w:cs="Times New Roman"/>
                <w:szCs w:val="20"/>
              </w:rPr>
              <w:t>4</w:t>
            </w:r>
            <w:r>
              <w:rPr>
                <w:rFonts w:eastAsia="Times New Roman" w:cs="Times New Roman"/>
                <w:spacing w:val="2"/>
                <w:szCs w:val="20"/>
              </w:rPr>
              <w:t xml:space="preserve"> </w:t>
            </w:r>
            <w:r>
              <w:rPr>
                <w:rFonts w:eastAsia="Times New Roman" w:cs="Times New Roman"/>
                <w:szCs w:val="20"/>
              </w:rPr>
              <w:t>w</w:t>
            </w:r>
            <w:r>
              <w:rPr>
                <w:rFonts w:eastAsia="Times New Roman" w:cs="Times New Roman"/>
                <w:spacing w:val="-5"/>
                <w:szCs w:val="20"/>
              </w:rPr>
              <w:t xml:space="preserve"> </w:t>
            </w:r>
            <w:r>
              <w:rPr>
                <w:rFonts w:eastAsia="Times New Roman" w:cs="Times New Roman"/>
                <w:spacing w:val="2"/>
                <w:szCs w:val="20"/>
              </w:rPr>
              <w:t>P</w:t>
            </w:r>
            <w:r>
              <w:rPr>
                <w:rFonts w:eastAsia="Times New Roman" w:cs="Times New Roman"/>
                <w:spacing w:val="3"/>
                <w:szCs w:val="20"/>
              </w:rPr>
              <w:t>N</w:t>
            </w:r>
            <w:r>
              <w:rPr>
                <w:rFonts w:eastAsia="Times New Roman" w:cs="Times New Roman"/>
                <w:spacing w:val="-2"/>
                <w:szCs w:val="20"/>
              </w:rPr>
              <w:t>-</w:t>
            </w:r>
            <w:r>
              <w:rPr>
                <w:rFonts w:eastAsia="Times New Roman" w:cs="Times New Roman"/>
                <w:szCs w:val="20"/>
              </w:rPr>
              <w:t>EN</w:t>
            </w:r>
            <w:r>
              <w:rPr>
                <w:rFonts w:eastAsia="Times New Roman" w:cs="Times New Roman"/>
                <w:spacing w:val="-3"/>
                <w:szCs w:val="20"/>
              </w:rPr>
              <w:t xml:space="preserve"> </w:t>
            </w:r>
            <w:r>
              <w:rPr>
                <w:rFonts w:eastAsia="Times New Roman" w:cs="Times New Roman"/>
                <w:spacing w:val="1"/>
                <w:szCs w:val="20"/>
              </w:rPr>
              <w:t>130</w:t>
            </w:r>
            <w:r>
              <w:rPr>
                <w:rFonts w:eastAsia="Times New Roman" w:cs="Times New Roman"/>
                <w:spacing w:val="-1"/>
                <w:szCs w:val="20"/>
              </w:rPr>
              <w:t>4</w:t>
            </w:r>
            <w:r>
              <w:rPr>
                <w:rFonts w:eastAsia="Times New Roman" w:cs="Times New Roman"/>
                <w:szCs w:val="20"/>
              </w:rPr>
              <w:t>3</w:t>
            </w:r>
          </w:p>
        </w:tc>
      </w:tr>
      <w:tr w:rsidR="00B77F00">
        <w:tblPrEx>
          <w:tblCellMar>
            <w:top w:w="0" w:type="dxa"/>
            <w:bottom w:w="0" w:type="dxa"/>
          </w:tblCellMar>
        </w:tblPrEx>
        <w:trPr>
          <w:trHeight w:val="170"/>
          <w:jc w:val="right"/>
        </w:trPr>
        <w:tc>
          <w:tcPr>
            <w:tcW w:w="4217"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2"/>
                <w:szCs w:val="20"/>
              </w:rPr>
              <w:t>J</w:t>
            </w:r>
            <w:r>
              <w:rPr>
                <w:rFonts w:eastAsia="Times New Roman" w:cs="Times New Roman"/>
                <w:szCs w:val="20"/>
              </w:rPr>
              <w:t>a</w:t>
            </w:r>
            <w:r>
              <w:rPr>
                <w:rFonts w:eastAsia="Times New Roman" w:cs="Times New Roman"/>
                <w:spacing w:val="-1"/>
                <w:szCs w:val="20"/>
              </w:rPr>
              <w:t>k</w:t>
            </w:r>
            <w:r>
              <w:rPr>
                <w:rFonts w:eastAsia="Times New Roman" w:cs="Times New Roman"/>
                <w:spacing w:val="1"/>
                <w:szCs w:val="20"/>
              </w:rPr>
              <w:t>o</w:t>
            </w:r>
            <w:r>
              <w:rPr>
                <w:rFonts w:eastAsia="Times New Roman" w:cs="Times New Roman"/>
                <w:spacing w:val="-1"/>
                <w:szCs w:val="20"/>
              </w:rPr>
              <w:t>ś</w:t>
            </w:r>
            <w:r>
              <w:rPr>
                <w:rFonts w:eastAsia="Times New Roman" w:cs="Times New Roman"/>
                <w:szCs w:val="20"/>
              </w:rPr>
              <w:t>ć</w:t>
            </w:r>
            <w:r>
              <w:rPr>
                <w:rFonts w:eastAsia="Times New Roman" w:cs="Times New Roman"/>
                <w:spacing w:val="-4"/>
                <w:szCs w:val="20"/>
              </w:rPr>
              <w:t xml:space="preserve"> </w:t>
            </w:r>
            <w:r>
              <w:rPr>
                <w:rFonts w:eastAsia="Times New Roman" w:cs="Times New Roman"/>
                <w:spacing w:val="1"/>
                <w:szCs w:val="20"/>
              </w:rPr>
              <w:t>p</w:t>
            </w:r>
            <w:r>
              <w:rPr>
                <w:rFonts w:eastAsia="Times New Roman" w:cs="Times New Roman"/>
                <w:spacing w:val="-1"/>
                <w:szCs w:val="20"/>
              </w:rPr>
              <w:t>y</w:t>
            </w:r>
            <w:r>
              <w:rPr>
                <w:rFonts w:eastAsia="Times New Roman" w:cs="Times New Roman"/>
                <w:szCs w:val="20"/>
              </w:rPr>
              <w:t>ł</w:t>
            </w:r>
            <w:r>
              <w:rPr>
                <w:rFonts w:eastAsia="Times New Roman" w:cs="Times New Roman"/>
                <w:spacing w:val="3"/>
                <w:szCs w:val="20"/>
              </w:rPr>
              <w:t>ó</w:t>
            </w:r>
            <w:r>
              <w:rPr>
                <w:rFonts w:eastAsia="Times New Roman" w:cs="Times New Roman"/>
                <w:szCs w:val="20"/>
              </w:rPr>
              <w:t>w</w:t>
            </w:r>
            <w:r>
              <w:rPr>
                <w:rFonts w:eastAsia="Times New Roman" w:cs="Times New Roman"/>
                <w:spacing w:val="-7"/>
                <w:szCs w:val="20"/>
              </w:rPr>
              <w:t xml:space="preserve"> </w:t>
            </w:r>
            <w:r>
              <w:rPr>
                <w:rFonts w:eastAsia="Times New Roman" w:cs="Times New Roman"/>
                <w:spacing w:val="-2"/>
                <w:szCs w:val="20"/>
              </w:rPr>
              <w:t>w</w:t>
            </w:r>
            <w:r>
              <w:rPr>
                <w:rFonts w:eastAsia="Times New Roman" w:cs="Times New Roman"/>
                <w:szCs w:val="20"/>
              </w:rPr>
              <w:t>e</w:t>
            </w:r>
            <w:r>
              <w:rPr>
                <w:rFonts w:eastAsia="Times New Roman" w:cs="Times New Roman"/>
                <w:spacing w:val="1"/>
                <w:szCs w:val="20"/>
              </w:rPr>
              <w:t>d</w:t>
            </w:r>
            <w:r>
              <w:rPr>
                <w:rFonts w:eastAsia="Times New Roman" w:cs="Times New Roman"/>
                <w:spacing w:val="2"/>
                <w:szCs w:val="20"/>
              </w:rPr>
              <w:t>ł</w:t>
            </w:r>
            <w:r>
              <w:rPr>
                <w:rFonts w:eastAsia="Times New Roman" w:cs="Times New Roman"/>
                <w:spacing w:val="1"/>
                <w:szCs w:val="20"/>
              </w:rPr>
              <w:t>u</w:t>
            </w:r>
            <w:r>
              <w:rPr>
                <w:rFonts w:eastAsia="Times New Roman" w:cs="Times New Roman"/>
                <w:szCs w:val="20"/>
              </w:rPr>
              <w:t>g</w:t>
            </w:r>
            <w:r>
              <w:rPr>
                <w:rFonts w:eastAsia="Times New Roman" w:cs="Times New Roman"/>
                <w:spacing w:val="-7"/>
                <w:szCs w:val="20"/>
              </w:rPr>
              <w:t xml:space="preserve"> </w:t>
            </w:r>
            <w:r>
              <w:rPr>
                <w:rFonts w:eastAsia="Times New Roman" w:cs="Times New Roman"/>
                <w:spacing w:val="2"/>
                <w:szCs w:val="20"/>
              </w:rPr>
              <w:t>P</w:t>
            </w:r>
            <w:r>
              <w:rPr>
                <w:rFonts w:eastAsia="Times New Roman" w:cs="Times New Roman"/>
                <w:spacing w:val="3"/>
                <w:szCs w:val="20"/>
              </w:rPr>
              <w:t>N</w:t>
            </w:r>
            <w:r>
              <w:rPr>
                <w:rFonts w:eastAsia="Times New Roman" w:cs="Times New Roman"/>
                <w:spacing w:val="-2"/>
                <w:szCs w:val="20"/>
              </w:rPr>
              <w:t>-</w:t>
            </w:r>
            <w:r>
              <w:rPr>
                <w:rFonts w:eastAsia="Times New Roman" w:cs="Times New Roman"/>
                <w:szCs w:val="20"/>
              </w:rPr>
              <w:t>EN</w:t>
            </w:r>
            <w:r>
              <w:rPr>
                <w:rFonts w:eastAsia="Times New Roman" w:cs="Times New Roman"/>
                <w:spacing w:val="-3"/>
                <w:szCs w:val="20"/>
              </w:rPr>
              <w:t xml:space="preserve"> </w:t>
            </w:r>
            <w:r>
              <w:rPr>
                <w:rFonts w:eastAsia="Times New Roman" w:cs="Times New Roman"/>
                <w:spacing w:val="1"/>
                <w:szCs w:val="20"/>
              </w:rPr>
              <w:t>93</w:t>
            </w:r>
            <w:r>
              <w:rPr>
                <w:rFonts w:eastAsia="Times New Roman" w:cs="Times New Roman"/>
                <w:spacing w:val="2"/>
                <w:szCs w:val="20"/>
              </w:rPr>
              <w:t>3</w:t>
            </w:r>
            <w:r>
              <w:rPr>
                <w:rFonts w:eastAsia="Times New Roman" w:cs="Times New Roman"/>
                <w:spacing w:val="-2"/>
                <w:szCs w:val="20"/>
              </w:rPr>
              <w:t>-</w:t>
            </w:r>
            <w:r>
              <w:rPr>
                <w:rFonts w:eastAsia="Times New Roman" w:cs="Times New Roman"/>
                <w:spacing w:val="1"/>
                <w:szCs w:val="20"/>
              </w:rPr>
              <w:t>9</w:t>
            </w:r>
            <w:r>
              <w:rPr>
                <w:rFonts w:eastAsia="Times New Roman" w:cs="Times New Roman"/>
                <w:szCs w:val="20"/>
              </w:rPr>
              <w:t xml:space="preserve">; </w:t>
            </w:r>
            <w:r>
              <w:rPr>
                <w:rFonts w:eastAsia="Times New Roman" w:cs="Times New Roman"/>
                <w:spacing w:val="-1"/>
                <w:szCs w:val="20"/>
              </w:rPr>
              <w:t>k</w:t>
            </w:r>
            <w:r>
              <w:rPr>
                <w:rFonts w:eastAsia="Times New Roman" w:cs="Times New Roman"/>
                <w:szCs w:val="20"/>
              </w:rPr>
              <w:t>ate</w:t>
            </w:r>
            <w:r>
              <w:rPr>
                <w:rFonts w:eastAsia="Times New Roman" w:cs="Times New Roman"/>
                <w:spacing w:val="-1"/>
                <w:szCs w:val="20"/>
              </w:rPr>
              <w:t>g</w:t>
            </w:r>
            <w:r>
              <w:rPr>
                <w:rFonts w:eastAsia="Times New Roman" w:cs="Times New Roman"/>
                <w:spacing w:val="1"/>
                <w:szCs w:val="20"/>
              </w:rPr>
              <w:t>or</w:t>
            </w:r>
            <w:r>
              <w:rPr>
                <w:rFonts w:eastAsia="Times New Roman" w:cs="Times New Roman"/>
                <w:szCs w:val="20"/>
              </w:rPr>
              <w:t>ia</w:t>
            </w:r>
            <w:r>
              <w:rPr>
                <w:rFonts w:eastAsia="Times New Roman" w:cs="Times New Roman"/>
                <w:spacing w:val="-4"/>
                <w:szCs w:val="20"/>
              </w:rPr>
              <w:t xml:space="preserve"> </w:t>
            </w:r>
            <w:r>
              <w:rPr>
                <w:rFonts w:eastAsia="Times New Roman" w:cs="Times New Roman"/>
                <w:spacing w:val="-1"/>
                <w:szCs w:val="20"/>
              </w:rPr>
              <w:t>n</w:t>
            </w:r>
            <w:r>
              <w:rPr>
                <w:rFonts w:eastAsia="Times New Roman" w:cs="Times New Roman"/>
                <w:szCs w:val="20"/>
              </w:rPr>
              <w:t>ie</w:t>
            </w:r>
            <w:r>
              <w:rPr>
                <w:rFonts w:eastAsia="Times New Roman" w:cs="Times New Roman"/>
                <w:spacing w:val="1"/>
                <w:szCs w:val="20"/>
              </w:rPr>
              <w:t xml:space="preserve"> </w:t>
            </w:r>
            <w:r>
              <w:rPr>
                <w:rFonts w:eastAsia="Times New Roman" w:cs="Times New Roman"/>
                <w:spacing w:val="-2"/>
                <w:szCs w:val="20"/>
              </w:rPr>
              <w:t>w</w:t>
            </w:r>
            <w:r>
              <w:rPr>
                <w:rFonts w:eastAsia="Times New Roman" w:cs="Times New Roman"/>
                <w:spacing w:val="-1"/>
                <w:szCs w:val="20"/>
              </w:rPr>
              <w:t>y</w:t>
            </w:r>
            <w:r>
              <w:rPr>
                <w:rFonts w:eastAsia="Times New Roman" w:cs="Times New Roman"/>
                <w:spacing w:val="3"/>
                <w:szCs w:val="20"/>
              </w:rPr>
              <w:t>ż</w:t>
            </w:r>
            <w:r>
              <w:rPr>
                <w:rFonts w:eastAsia="Times New Roman" w:cs="Times New Roman"/>
                <w:spacing w:val="-1"/>
                <w:szCs w:val="20"/>
              </w:rPr>
              <w:t>s</w:t>
            </w:r>
            <w:r>
              <w:rPr>
                <w:rFonts w:eastAsia="Times New Roman" w:cs="Times New Roman"/>
                <w:szCs w:val="20"/>
              </w:rPr>
              <w:t>za</w:t>
            </w:r>
            <w:r>
              <w:rPr>
                <w:rFonts w:eastAsia="Times New Roman" w:cs="Times New Roman"/>
                <w:spacing w:val="-5"/>
                <w:szCs w:val="20"/>
              </w:rPr>
              <w:t xml:space="preserve"> </w:t>
            </w:r>
            <w:r>
              <w:rPr>
                <w:rFonts w:eastAsia="Times New Roman" w:cs="Times New Roman"/>
                <w:spacing w:val="-1"/>
                <w:szCs w:val="20"/>
              </w:rPr>
              <w:t>n</w:t>
            </w:r>
            <w:r>
              <w:rPr>
                <w:rFonts w:eastAsia="Times New Roman" w:cs="Times New Roman"/>
                <w:szCs w:val="20"/>
              </w:rPr>
              <w:t>i</w:t>
            </w:r>
            <w:r>
              <w:rPr>
                <w:rFonts w:eastAsia="Times New Roman" w:cs="Times New Roman"/>
                <w:spacing w:val="2"/>
                <w:szCs w:val="20"/>
              </w:rPr>
              <w:t>ż</w:t>
            </w:r>
            <w:r>
              <w:rPr>
                <w:rFonts w:eastAsia="Times New Roman" w:cs="Times New Roman"/>
                <w:szCs w:val="20"/>
              </w:rPr>
              <w:t>:</w:t>
            </w:r>
          </w:p>
        </w:tc>
        <w:tc>
          <w:tcPr>
            <w:tcW w:w="5421" w:type="dxa"/>
            <w:gridSpan w:val="3"/>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1"/>
                <w:w w:val="99"/>
                <w:szCs w:val="20"/>
              </w:rPr>
              <w:t>M</w:t>
            </w:r>
            <w:r>
              <w:rPr>
                <w:rFonts w:eastAsia="Times New Roman" w:cs="Times New Roman"/>
                <w:spacing w:val="2"/>
                <w:w w:val="99"/>
                <w:szCs w:val="20"/>
              </w:rPr>
              <w:t>B</w:t>
            </w:r>
            <w:r>
              <w:rPr>
                <w:rFonts w:eastAsia="Times New Roman" w:cs="Times New Roman"/>
                <w:w w:val="99"/>
                <w:position w:val="-5"/>
                <w:szCs w:val="20"/>
              </w:rPr>
              <w:t>F</w:t>
            </w:r>
            <w:r>
              <w:rPr>
                <w:rFonts w:eastAsia="Times New Roman" w:cs="Times New Roman"/>
                <w:spacing w:val="1"/>
                <w:w w:val="99"/>
                <w:szCs w:val="20"/>
              </w:rPr>
              <w:t>10</w:t>
            </w:r>
          </w:p>
        </w:tc>
      </w:tr>
      <w:tr w:rsidR="00B77F00">
        <w:tblPrEx>
          <w:tblCellMar>
            <w:top w:w="0" w:type="dxa"/>
            <w:bottom w:w="0" w:type="dxa"/>
          </w:tblCellMar>
        </w:tblPrEx>
        <w:trPr>
          <w:trHeight w:val="170"/>
          <w:jc w:val="right"/>
        </w:trPr>
        <w:tc>
          <w:tcPr>
            <w:tcW w:w="4217"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2"/>
                <w:szCs w:val="20"/>
              </w:rPr>
              <w:t>Z</w:t>
            </w:r>
            <w:r>
              <w:rPr>
                <w:rFonts w:eastAsia="Times New Roman" w:cs="Times New Roman"/>
                <w:spacing w:val="3"/>
                <w:szCs w:val="20"/>
              </w:rPr>
              <w:t>a</w:t>
            </w:r>
            <w:r>
              <w:rPr>
                <w:rFonts w:eastAsia="Times New Roman" w:cs="Times New Roman"/>
                <w:spacing w:val="-2"/>
                <w:szCs w:val="20"/>
              </w:rPr>
              <w:t>w</w:t>
            </w:r>
            <w:r>
              <w:rPr>
                <w:rFonts w:eastAsia="Times New Roman" w:cs="Times New Roman"/>
                <w:szCs w:val="20"/>
              </w:rPr>
              <w:t>a</w:t>
            </w:r>
            <w:r>
              <w:rPr>
                <w:rFonts w:eastAsia="Times New Roman" w:cs="Times New Roman"/>
                <w:spacing w:val="1"/>
                <w:szCs w:val="20"/>
              </w:rPr>
              <w:t>r</w:t>
            </w:r>
            <w:r>
              <w:rPr>
                <w:rFonts w:eastAsia="Times New Roman" w:cs="Times New Roman"/>
                <w:szCs w:val="20"/>
              </w:rPr>
              <w:t>t</w:t>
            </w:r>
            <w:r>
              <w:rPr>
                <w:rFonts w:eastAsia="Times New Roman" w:cs="Times New Roman"/>
                <w:spacing w:val="1"/>
                <w:szCs w:val="20"/>
              </w:rPr>
              <w:t>o</w:t>
            </w:r>
            <w:r>
              <w:rPr>
                <w:rFonts w:eastAsia="Times New Roman" w:cs="Times New Roman"/>
                <w:spacing w:val="-1"/>
                <w:szCs w:val="20"/>
              </w:rPr>
              <w:t>ś</w:t>
            </w:r>
            <w:r>
              <w:rPr>
                <w:rFonts w:eastAsia="Times New Roman" w:cs="Times New Roman"/>
                <w:szCs w:val="20"/>
              </w:rPr>
              <w:t>ć</w:t>
            </w:r>
            <w:r>
              <w:rPr>
                <w:rFonts w:eastAsia="Times New Roman" w:cs="Times New Roman"/>
                <w:spacing w:val="-5"/>
                <w:szCs w:val="20"/>
              </w:rPr>
              <w:t xml:space="preserve"> </w:t>
            </w:r>
            <w:r>
              <w:rPr>
                <w:rFonts w:eastAsia="Times New Roman" w:cs="Times New Roman"/>
                <w:spacing w:val="-2"/>
                <w:szCs w:val="20"/>
              </w:rPr>
              <w:t>w</w:t>
            </w:r>
            <w:r>
              <w:rPr>
                <w:rFonts w:eastAsia="Times New Roman" w:cs="Times New Roman"/>
                <w:spacing w:val="1"/>
                <w:szCs w:val="20"/>
              </w:rPr>
              <w:t>o</w:t>
            </w:r>
            <w:r>
              <w:rPr>
                <w:rFonts w:eastAsia="Times New Roman" w:cs="Times New Roman"/>
                <w:spacing w:val="3"/>
                <w:szCs w:val="20"/>
              </w:rPr>
              <w:t>d</w:t>
            </w:r>
            <w:r>
              <w:rPr>
                <w:rFonts w:eastAsia="Times New Roman" w:cs="Times New Roman"/>
                <w:szCs w:val="20"/>
              </w:rPr>
              <w:t>y</w:t>
            </w:r>
            <w:r>
              <w:rPr>
                <w:rFonts w:eastAsia="Times New Roman" w:cs="Times New Roman"/>
                <w:spacing w:val="-5"/>
                <w:szCs w:val="20"/>
              </w:rPr>
              <w:t xml:space="preserve"> </w:t>
            </w:r>
            <w:r>
              <w:rPr>
                <w:rFonts w:eastAsia="Times New Roman" w:cs="Times New Roman"/>
                <w:spacing w:val="-2"/>
                <w:szCs w:val="20"/>
              </w:rPr>
              <w:t>w</w:t>
            </w:r>
            <w:r>
              <w:rPr>
                <w:rFonts w:eastAsia="Times New Roman" w:cs="Times New Roman"/>
                <w:szCs w:val="20"/>
              </w:rPr>
              <w:t>e</w:t>
            </w:r>
            <w:r>
              <w:rPr>
                <w:rFonts w:eastAsia="Times New Roman" w:cs="Times New Roman"/>
                <w:spacing w:val="1"/>
                <w:szCs w:val="20"/>
              </w:rPr>
              <w:t>d</w:t>
            </w:r>
            <w:r>
              <w:rPr>
                <w:rFonts w:eastAsia="Times New Roman" w:cs="Times New Roman"/>
                <w:spacing w:val="2"/>
                <w:szCs w:val="20"/>
              </w:rPr>
              <w:t>ł</w:t>
            </w:r>
            <w:r>
              <w:rPr>
                <w:rFonts w:eastAsia="Times New Roman" w:cs="Times New Roman"/>
                <w:spacing w:val="-1"/>
                <w:szCs w:val="20"/>
              </w:rPr>
              <w:t>u</w:t>
            </w:r>
            <w:r>
              <w:rPr>
                <w:rFonts w:eastAsia="Times New Roman" w:cs="Times New Roman"/>
                <w:szCs w:val="20"/>
              </w:rPr>
              <w:t>g</w:t>
            </w:r>
            <w:r>
              <w:rPr>
                <w:rFonts w:eastAsia="Times New Roman" w:cs="Times New Roman"/>
                <w:spacing w:val="-7"/>
                <w:szCs w:val="20"/>
              </w:rPr>
              <w:t xml:space="preserve"> </w:t>
            </w:r>
            <w:r>
              <w:rPr>
                <w:rFonts w:eastAsia="Times New Roman" w:cs="Times New Roman"/>
                <w:spacing w:val="2"/>
                <w:szCs w:val="20"/>
              </w:rPr>
              <w:t>P</w:t>
            </w:r>
            <w:r>
              <w:rPr>
                <w:rFonts w:eastAsia="Times New Roman" w:cs="Times New Roman"/>
                <w:spacing w:val="3"/>
                <w:szCs w:val="20"/>
              </w:rPr>
              <w:t>N</w:t>
            </w:r>
            <w:r>
              <w:rPr>
                <w:rFonts w:eastAsia="Times New Roman" w:cs="Times New Roman"/>
                <w:spacing w:val="1"/>
                <w:szCs w:val="20"/>
              </w:rPr>
              <w:t>-</w:t>
            </w:r>
            <w:r>
              <w:rPr>
                <w:rFonts w:eastAsia="Times New Roman" w:cs="Times New Roman"/>
                <w:szCs w:val="20"/>
              </w:rPr>
              <w:t>EN</w:t>
            </w:r>
            <w:r>
              <w:rPr>
                <w:rFonts w:eastAsia="Times New Roman" w:cs="Times New Roman"/>
                <w:spacing w:val="-6"/>
                <w:szCs w:val="20"/>
              </w:rPr>
              <w:t xml:space="preserve"> </w:t>
            </w:r>
            <w:r>
              <w:rPr>
                <w:rFonts w:eastAsia="Times New Roman" w:cs="Times New Roman"/>
                <w:spacing w:val="1"/>
                <w:szCs w:val="20"/>
              </w:rPr>
              <w:t>109</w:t>
            </w:r>
            <w:r>
              <w:rPr>
                <w:rFonts w:eastAsia="Times New Roman" w:cs="Times New Roman"/>
                <w:spacing w:val="2"/>
                <w:szCs w:val="20"/>
              </w:rPr>
              <w:t>7</w:t>
            </w:r>
            <w:r>
              <w:rPr>
                <w:rFonts w:eastAsia="Times New Roman" w:cs="Times New Roman"/>
                <w:szCs w:val="20"/>
              </w:rPr>
              <w:t>-</w:t>
            </w:r>
            <w:r>
              <w:rPr>
                <w:rFonts w:eastAsia="Times New Roman" w:cs="Times New Roman"/>
                <w:spacing w:val="1"/>
                <w:szCs w:val="20"/>
              </w:rPr>
              <w:t>5</w:t>
            </w:r>
            <w:r>
              <w:rPr>
                <w:rFonts w:eastAsia="Times New Roman" w:cs="Times New Roman"/>
                <w:szCs w:val="20"/>
              </w:rPr>
              <w:t xml:space="preserve">, </w:t>
            </w:r>
            <w:r>
              <w:rPr>
                <w:rFonts w:eastAsia="Times New Roman" w:cs="Times New Roman"/>
                <w:spacing w:val="-1"/>
                <w:szCs w:val="20"/>
              </w:rPr>
              <w:t>n</w:t>
            </w:r>
            <w:r>
              <w:rPr>
                <w:rFonts w:eastAsia="Times New Roman" w:cs="Times New Roman"/>
                <w:szCs w:val="20"/>
              </w:rPr>
              <w:t>ie</w:t>
            </w:r>
            <w:r>
              <w:rPr>
                <w:rFonts w:eastAsia="Times New Roman" w:cs="Times New Roman"/>
                <w:spacing w:val="1"/>
                <w:szCs w:val="20"/>
              </w:rPr>
              <w:t xml:space="preserve"> </w:t>
            </w:r>
            <w:r>
              <w:rPr>
                <w:rFonts w:eastAsia="Times New Roman" w:cs="Times New Roman"/>
                <w:spacing w:val="-2"/>
                <w:szCs w:val="20"/>
              </w:rPr>
              <w:t>w</w:t>
            </w:r>
            <w:r>
              <w:rPr>
                <w:rFonts w:eastAsia="Times New Roman" w:cs="Times New Roman"/>
                <w:spacing w:val="-1"/>
                <w:szCs w:val="20"/>
              </w:rPr>
              <w:t>y</w:t>
            </w:r>
            <w:r>
              <w:rPr>
                <w:rFonts w:eastAsia="Times New Roman" w:cs="Times New Roman"/>
                <w:szCs w:val="20"/>
              </w:rPr>
              <w:t>ższa</w:t>
            </w:r>
            <w:r>
              <w:rPr>
                <w:rFonts w:eastAsia="Times New Roman" w:cs="Times New Roman"/>
                <w:spacing w:val="-3"/>
                <w:szCs w:val="20"/>
              </w:rPr>
              <w:t xml:space="preserve"> </w:t>
            </w:r>
            <w:r>
              <w:rPr>
                <w:rFonts w:eastAsia="Times New Roman" w:cs="Times New Roman"/>
                <w:spacing w:val="-1"/>
                <w:szCs w:val="20"/>
              </w:rPr>
              <w:t>n</w:t>
            </w:r>
            <w:r>
              <w:rPr>
                <w:rFonts w:eastAsia="Times New Roman" w:cs="Times New Roman"/>
                <w:szCs w:val="20"/>
              </w:rPr>
              <w:t>iż:</w:t>
            </w:r>
          </w:p>
        </w:tc>
        <w:tc>
          <w:tcPr>
            <w:tcW w:w="5421" w:type="dxa"/>
            <w:gridSpan w:val="3"/>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1 %</w:t>
            </w:r>
            <w:r>
              <w:rPr>
                <w:rFonts w:eastAsia="Times New Roman" w:cs="Times New Roman"/>
                <w:spacing w:val="-2"/>
                <w:szCs w:val="20"/>
              </w:rPr>
              <w:t xml:space="preserve"> </w:t>
            </w:r>
            <w:r>
              <w:rPr>
                <w:rFonts w:eastAsia="Times New Roman" w:cs="Times New Roman"/>
                <w:spacing w:val="1"/>
                <w:w w:val="99"/>
                <w:szCs w:val="20"/>
              </w:rPr>
              <w:t>(</w:t>
            </w:r>
            <w:r>
              <w:rPr>
                <w:rFonts w:eastAsia="Times New Roman" w:cs="Times New Roman"/>
                <w:spacing w:val="-4"/>
                <w:w w:val="99"/>
                <w:szCs w:val="20"/>
              </w:rPr>
              <w:t>m</w:t>
            </w:r>
            <w:r>
              <w:rPr>
                <w:rFonts w:eastAsia="Times New Roman" w:cs="Times New Roman"/>
                <w:spacing w:val="2"/>
                <w:w w:val="99"/>
                <w:szCs w:val="20"/>
              </w:rPr>
              <w:t>/</w:t>
            </w:r>
            <w:r>
              <w:rPr>
                <w:rFonts w:eastAsia="Times New Roman" w:cs="Times New Roman"/>
                <w:spacing w:val="-1"/>
                <w:w w:val="99"/>
                <w:szCs w:val="20"/>
              </w:rPr>
              <w:t>m</w:t>
            </w:r>
            <w:r>
              <w:rPr>
                <w:rFonts w:eastAsia="Times New Roman" w:cs="Times New Roman"/>
                <w:w w:val="99"/>
                <w:szCs w:val="20"/>
              </w:rPr>
              <w:t>)</w:t>
            </w:r>
          </w:p>
        </w:tc>
      </w:tr>
      <w:tr w:rsidR="00B77F00">
        <w:tblPrEx>
          <w:tblCellMar>
            <w:top w:w="0" w:type="dxa"/>
            <w:bottom w:w="0" w:type="dxa"/>
          </w:tblCellMar>
        </w:tblPrEx>
        <w:trPr>
          <w:trHeight w:val="170"/>
          <w:jc w:val="right"/>
        </w:trPr>
        <w:tc>
          <w:tcPr>
            <w:tcW w:w="4217"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Gęst</w:t>
            </w:r>
            <w:r>
              <w:rPr>
                <w:rFonts w:eastAsia="Times New Roman" w:cs="Times New Roman"/>
                <w:spacing w:val="1"/>
                <w:szCs w:val="20"/>
              </w:rPr>
              <w:t>o</w:t>
            </w:r>
            <w:r>
              <w:rPr>
                <w:rFonts w:eastAsia="Times New Roman" w:cs="Times New Roman"/>
                <w:spacing w:val="-1"/>
                <w:szCs w:val="20"/>
              </w:rPr>
              <w:t>ś</w:t>
            </w:r>
            <w:r>
              <w:rPr>
                <w:rFonts w:eastAsia="Times New Roman" w:cs="Times New Roman"/>
                <w:szCs w:val="20"/>
              </w:rPr>
              <w:t>ć</w:t>
            </w:r>
            <w:r>
              <w:rPr>
                <w:rFonts w:eastAsia="Times New Roman" w:cs="Times New Roman"/>
                <w:spacing w:val="-5"/>
                <w:szCs w:val="20"/>
              </w:rPr>
              <w:t xml:space="preserve"> </w:t>
            </w:r>
            <w:r>
              <w:rPr>
                <w:rFonts w:eastAsia="Times New Roman" w:cs="Times New Roman"/>
                <w:szCs w:val="20"/>
              </w:rPr>
              <w:t>zia</w:t>
            </w:r>
            <w:r>
              <w:rPr>
                <w:rFonts w:eastAsia="Times New Roman" w:cs="Times New Roman"/>
                <w:spacing w:val="1"/>
                <w:szCs w:val="20"/>
              </w:rPr>
              <w:t>r</w:t>
            </w:r>
            <w:r>
              <w:rPr>
                <w:rFonts w:eastAsia="Times New Roman" w:cs="Times New Roman"/>
                <w:szCs w:val="20"/>
              </w:rPr>
              <w:t>en</w:t>
            </w:r>
            <w:r>
              <w:rPr>
                <w:rFonts w:eastAsia="Times New Roman" w:cs="Times New Roman"/>
                <w:spacing w:val="-3"/>
                <w:szCs w:val="20"/>
              </w:rPr>
              <w:t xml:space="preserve"> </w:t>
            </w:r>
            <w:r>
              <w:rPr>
                <w:rFonts w:eastAsia="Times New Roman" w:cs="Times New Roman"/>
                <w:spacing w:val="-2"/>
                <w:szCs w:val="20"/>
              </w:rPr>
              <w:t>w</w:t>
            </w:r>
            <w:r>
              <w:rPr>
                <w:rFonts w:eastAsia="Times New Roman" w:cs="Times New Roman"/>
                <w:szCs w:val="20"/>
              </w:rPr>
              <w:t>e</w:t>
            </w:r>
            <w:r>
              <w:rPr>
                <w:rFonts w:eastAsia="Times New Roman" w:cs="Times New Roman"/>
                <w:spacing w:val="1"/>
                <w:szCs w:val="20"/>
              </w:rPr>
              <w:t>d</w:t>
            </w:r>
            <w:r>
              <w:rPr>
                <w:rFonts w:eastAsia="Times New Roman" w:cs="Times New Roman"/>
                <w:spacing w:val="2"/>
                <w:szCs w:val="20"/>
              </w:rPr>
              <w:t>ł</w:t>
            </w:r>
            <w:r>
              <w:rPr>
                <w:rFonts w:eastAsia="Times New Roman" w:cs="Times New Roman"/>
                <w:spacing w:val="-1"/>
                <w:szCs w:val="20"/>
              </w:rPr>
              <w:t>u</w:t>
            </w:r>
            <w:r>
              <w:rPr>
                <w:rFonts w:eastAsia="Times New Roman" w:cs="Times New Roman"/>
                <w:szCs w:val="20"/>
              </w:rPr>
              <w:t>g</w:t>
            </w:r>
            <w:r>
              <w:rPr>
                <w:rFonts w:eastAsia="Times New Roman" w:cs="Times New Roman"/>
                <w:spacing w:val="-7"/>
                <w:szCs w:val="20"/>
              </w:rPr>
              <w:t xml:space="preserve"> </w:t>
            </w:r>
            <w:r>
              <w:rPr>
                <w:rFonts w:eastAsia="Times New Roman" w:cs="Times New Roman"/>
                <w:spacing w:val="2"/>
                <w:szCs w:val="20"/>
              </w:rPr>
              <w:t>P</w:t>
            </w:r>
            <w:r>
              <w:rPr>
                <w:rFonts w:eastAsia="Times New Roman" w:cs="Times New Roman"/>
                <w:spacing w:val="5"/>
                <w:szCs w:val="20"/>
              </w:rPr>
              <w:t>N</w:t>
            </w:r>
            <w:r>
              <w:rPr>
                <w:rFonts w:eastAsia="Times New Roman" w:cs="Times New Roman"/>
                <w:spacing w:val="-2"/>
                <w:szCs w:val="20"/>
              </w:rPr>
              <w:t>-</w:t>
            </w:r>
            <w:r>
              <w:rPr>
                <w:rFonts w:eastAsia="Times New Roman" w:cs="Times New Roman"/>
                <w:szCs w:val="20"/>
              </w:rPr>
              <w:t>EN</w:t>
            </w:r>
            <w:r>
              <w:rPr>
                <w:rFonts w:eastAsia="Times New Roman" w:cs="Times New Roman"/>
                <w:spacing w:val="-3"/>
                <w:szCs w:val="20"/>
              </w:rPr>
              <w:t xml:space="preserve"> </w:t>
            </w:r>
            <w:r>
              <w:rPr>
                <w:rFonts w:eastAsia="Times New Roman" w:cs="Times New Roman"/>
                <w:spacing w:val="1"/>
                <w:szCs w:val="20"/>
              </w:rPr>
              <w:t>109</w:t>
            </w:r>
            <w:r>
              <w:rPr>
                <w:rFonts w:eastAsia="Times New Roman" w:cs="Times New Roman"/>
                <w:spacing w:val="2"/>
                <w:szCs w:val="20"/>
              </w:rPr>
              <w:t>7</w:t>
            </w:r>
            <w:r>
              <w:rPr>
                <w:rFonts w:eastAsia="Times New Roman" w:cs="Times New Roman"/>
                <w:spacing w:val="-2"/>
                <w:szCs w:val="20"/>
              </w:rPr>
              <w:t>-</w:t>
            </w:r>
            <w:r>
              <w:rPr>
                <w:rFonts w:eastAsia="Times New Roman" w:cs="Times New Roman"/>
                <w:szCs w:val="20"/>
              </w:rPr>
              <w:t>7</w:t>
            </w:r>
          </w:p>
        </w:tc>
        <w:tc>
          <w:tcPr>
            <w:tcW w:w="5421" w:type="dxa"/>
            <w:gridSpan w:val="3"/>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1"/>
                <w:szCs w:val="20"/>
              </w:rPr>
              <w:t>d</w:t>
            </w:r>
            <w:r>
              <w:rPr>
                <w:rFonts w:eastAsia="Times New Roman" w:cs="Times New Roman"/>
                <w:szCs w:val="20"/>
              </w:rPr>
              <w:t>e</w:t>
            </w:r>
            <w:r>
              <w:rPr>
                <w:rFonts w:eastAsia="Times New Roman" w:cs="Times New Roman"/>
                <w:spacing w:val="-1"/>
                <w:szCs w:val="20"/>
              </w:rPr>
              <w:t>k</w:t>
            </w:r>
            <w:r>
              <w:rPr>
                <w:rFonts w:eastAsia="Times New Roman" w:cs="Times New Roman"/>
                <w:szCs w:val="20"/>
              </w:rPr>
              <w:t>la</w:t>
            </w:r>
            <w:r>
              <w:rPr>
                <w:rFonts w:eastAsia="Times New Roman" w:cs="Times New Roman"/>
                <w:spacing w:val="1"/>
                <w:szCs w:val="20"/>
              </w:rPr>
              <w:t>r</w:t>
            </w:r>
            <w:r>
              <w:rPr>
                <w:rFonts w:eastAsia="Times New Roman" w:cs="Times New Roman"/>
                <w:spacing w:val="3"/>
                <w:szCs w:val="20"/>
              </w:rPr>
              <w:t>o</w:t>
            </w:r>
            <w:r>
              <w:rPr>
                <w:rFonts w:eastAsia="Times New Roman" w:cs="Times New Roman"/>
                <w:spacing w:val="-5"/>
                <w:szCs w:val="20"/>
              </w:rPr>
              <w:t>w</w:t>
            </w:r>
            <w:r>
              <w:rPr>
                <w:rFonts w:eastAsia="Times New Roman" w:cs="Times New Roman"/>
                <w:spacing w:val="3"/>
                <w:szCs w:val="20"/>
              </w:rPr>
              <w:t>a</w:t>
            </w:r>
            <w:r>
              <w:rPr>
                <w:rFonts w:eastAsia="Times New Roman" w:cs="Times New Roman"/>
                <w:spacing w:val="-1"/>
                <w:szCs w:val="20"/>
              </w:rPr>
              <w:t>n</w:t>
            </w:r>
            <w:r>
              <w:rPr>
                <w:rFonts w:eastAsia="Times New Roman" w:cs="Times New Roman"/>
                <w:szCs w:val="20"/>
              </w:rPr>
              <w:t>a</w:t>
            </w:r>
            <w:r>
              <w:rPr>
                <w:rFonts w:eastAsia="Times New Roman" w:cs="Times New Roman"/>
                <w:spacing w:val="-9"/>
                <w:szCs w:val="20"/>
              </w:rPr>
              <w:t xml:space="preserve"> </w:t>
            </w:r>
            <w:r>
              <w:rPr>
                <w:rFonts w:eastAsia="Times New Roman" w:cs="Times New Roman"/>
                <w:spacing w:val="1"/>
                <w:szCs w:val="20"/>
              </w:rPr>
              <w:t>pr</w:t>
            </w:r>
            <w:r>
              <w:rPr>
                <w:rFonts w:eastAsia="Times New Roman" w:cs="Times New Roman"/>
                <w:szCs w:val="20"/>
              </w:rPr>
              <w:t>z</w:t>
            </w:r>
            <w:r>
              <w:rPr>
                <w:rFonts w:eastAsia="Times New Roman" w:cs="Times New Roman"/>
                <w:spacing w:val="1"/>
                <w:szCs w:val="20"/>
              </w:rPr>
              <w:t>e</w:t>
            </w:r>
            <w:r>
              <w:rPr>
                <w:rFonts w:eastAsia="Times New Roman" w:cs="Times New Roman"/>
                <w:szCs w:val="20"/>
              </w:rPr>
              <w:t>z</w:t>
            </w:r>
            <w:r>
              <w:rPr>
                <w:rFonts w:eastAsia="Times New Roman" w:cs="Times New Roman"/>
                <w:spacing w:val="-3"/>
                <w:szCs w:val="20"/>
              </w:rPr>
              <w:t xml:space="preserve"> </w:t>
            </w:r>
            <w:r>
              <w:rPr>
                <w:rFonts w:eastAsia="Times New Roman" w:cs="Times New Roman"/>
                <w:spacing w:val="1"/>
                <w:szCs w:val="20"/>
              </w:rPr>
              <w:t>prod</w:t>
            </w:r>
            <w:r>
              <w:rPr>
                <w:rFonts w:eastAsia="Times New Roman" w:cs="Times New Roman"/>
                <w:spacing w:val="-1"/>
                <w:szCs w:val="20"/>
              </w:rPr>
              <w:t>u</w:t>
            </w:r>
            <w:r>
              <w:rPr>
                <w:rFonts w:eastAsia="Times New Roman" w:cs="Times New Roman"/>
                <w:szCs w:val="20"/>
              </w:rPr>
              <w:t>c</w:t>
            </w:r>
            <w:r>
              <w:rPr>
                <w:rFonts w:eastAsia="Times New Roman" w:cs="Times New Roman"/>
                <w:spacing w:val="1"/>
                <w:szCs w:val="20"/>
              </w:rPr>
              <w:t>e</w:t>
            </w:r>
            <w:r>
              <w:rPr>
                <w:rFonts w:eastAsia="Times New Roman" w:cs="Times New Roman"/>
                <w:spacing w:val="-1"/>
                <w:szCs w:val="20"/>
              </w:rPr>
              <w:t>n</w:t>
            </w:r>
            <w:r>
              <w:rPr>
                <w:rFonts w:eastAsia="Times New Roman" w:cs="Times New Roman"/>
                <w:szCs w:val="20"/>
              </w:rPr>
              <w:t>ta</w:t>
            </w:r>
          </w:p>
        </w:tc>
      </w:tr>
      <w:tr w:rsidR="00B77F00">
        <w:tblPrEx>
          <w:tblCellMar>
            <w:top w:w="0" w:type="dxa"/>
            <w:bottom w:w="0" w:type="dxa"/>
          </w:tblCellMar>
        </w:tblPrEx>
        <w:trPr>
          <w:trHeight w:val="170"/>
          <w:jc w:val="right"/>
        </w:trPr>
        <w:tc>
          <w:tcPr>
            <w:tcW w:w="4217"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1"/>
                <w:szCs w:val="20"/>
              </w:rPr>
              <w:t>Wo</w:t>
            </w:r>
            <w:r>
              <w:rPr>
                <w:rFonts w:eastAsia="Times New Roman" w:cs="Times New Roman"/>
                <w:szCs w:val="20"/>
              </w:rPr>
              <w:t>l</w:t>
            </w:r>
            <w:r>
              <w:rPr>
                <w:rFonts w:eastAsia="Times New Roman" w:cs="Times New Roman"/>
                <w:spacing w:val="-1"/>
                <w:szCs w:val="20"/>
              </w:rPr>
              <w:t>n</w:t>
            </w:r>
            <w:r>
              <w:rPr>
                <w:rFonts w:eastAsia="Times New Roman" w:cs="Times New Roman"/>
                <w:szCs w:val="20"/>
              </w:rPr>
              <w:t>e</w:t>
            </w:r>
            <w:r>
              <w:rPr>
                <w:rFonts w:eastAsia="Times New Roman" w:cs="Times New Roman"/>
                <w:spacing w:val="-4"/>
                <w:szCs w:val="20"/>
              </w:rPr>
              <w:t xml:space="preserve"> </w:t>
            </w:r>
            <w:r>
              <w:rPr>
                <w:rFonts w:eastAsia="Times New Roman" w:cs="Times New Roman"/>
                <w:spacing w:val="1"/>
                <w:szCs w:val="20"/>
              </w:rPr>
              <w:t>pr</w:t>
            </w:r>
            <w:r>
              <w:rPr>
                <w:rFonts w:eastAsia="Times New Roman" w:cs="Times New Roman"/>
                <w:szCs w:val="20"/>
              </w:rPr>
              <w:t>z</w:t>
            </w:r>
            <w:r>
              <w:rPr>
                <w:rFonts w:eastAsia="Times New Roman" w:cs="Times New Roman"/>
                <w:spacing w:val="1"/>
                <w:szCs w:val="20"/>
              </w:rPr>
              <w:t>e</w:t>
            </w:r>
            <w:r>
              <w:rPr>
                <w:rFonts w:eastAsia="Times New Roman" w:cs="Times New Roman"/>
                <w:spacing w:val="-1"/>
                <w:szCs w:val="20"/>
              </w:rPr>
              <w:t>s</w:t>
            </w:r>
            <w:r>
              <w:rPr>
                <w:rFonts w:eastAsia="Times New Roman" w:cs="Times New Roman"/>
                <w:szCs w:val="20"/>
              </w:rPr>
              <w:t>trz</w:t>
            </w:r>
            <w:r>
              <w:rPr>
                <w:rFonts w:eastAsia="Times New Roman" w:cs="Times New Roman"/>
                <w:spacing w:val="1"/>
                <w:szCs w:val="20"/>
              </w:rPr>
              <w:t>e</w:t>
            </w:r>
            <w:r>
              <w:rPr>
                <w:rFonts w:eastAsia="Times New Roman" w:cs="Times New Roman"/>
                <w:spacing w:val="-1"/>
                <w:szCs w:val="20"/>
              </w:rPr>
              <w:t>n</w:t>
            </w:r>
            <w:r>
              <w:rPr>
                <w:rFonts w:eastAsia="Times New Roman" w:cs="Times New Roman"/>
                <w:szCs w:val="20"/>
              </w:rPr>
              <w:t>ie</w:t>
            </w:r>
            <w:r>
              <w:rPr>
                <w:rFonts w:eastAsia="Times New Roman" w:cs="Times New Roman"/>
                <w:spacing w:val="-7"/>
                <w:szCs w:val="20"/>
              </w:rPr>
              <w:t xml:space="preserve"> </w:t>
            </w:r>
            <w:r>
              <w:rPr>
                <w:rFonts w:eastAsia="Times New Roman" w:cs="Times New Roman"/>
                <w:szCs w:val="20"/>
              </w:rPr>
              <w:t>w</w:t>
            </w:r>
            <w:r>
              <w:rPr>
                <w:rFonts w:eastAsia="Times New Roman" w:cs="Times New Roman"/>
                <w:spacing w:val="-1"/>
                <w:szCs w:val="20"/>
              </w:rPr>
              <w:t xml:space="preserve"> su</w:t>
            </w:r>
            <w:r>
              <w:rPr>
                <w:rFonts w:eastAsia="Times New Roman" w:cs="Times New Roman"/>
                <w:spacing w:val="3"/>
                <w:szCs w:val="20"/>
              </w:rPr>
              <w:t>c</w:t>
            </w:r>
            <w:r>
              <w:rPr>
                <w:rFonts w:eastAsia="Times New Roman" w:cs="Times New Roman"/>
                <w:spacing w:val="1"/>
                <w:szCs w:val="20"/>
              </w:rPr>
              <w:t>hy</w:t>
            </w:r>
            <w:r>
              <w:rPr>
                <w:rFonts w:eastAsia="Times New Roman" w:cs="Times New Roman"/>
                <w:szCs w:val="20"/>
              </w:rPr>
              <w:t>m z</w:t>
            </w:r>
            <w:r>
              <w:rPr>
                <w:rFonts w:eastAsia="Times New Roman" w:cs="Times New Roman"/>
                <w:spacing w:val="1"/>
                <w:szCs w:val="20"/>
              </w:rPr>
              <w:t>a</w:t>
            </w:r>
            <w:r>
              <w:rPr>
                <w:rFonts w:eastAsia="Times New Roman" w:cs="Times New Roman"/>
                <w:spacing w:val="-1"/>
                <w:szCs w:val="20"/>
              </w:rPr>
              <w:t>g</w:t>
            </w:r>
            <w:r>
              <w:rPr>
                <w:rFonts w:eastAsia="Times New Roman" w:cs="Times New Roman"/>
                <w:szCs w:val="20"/>
              </w:rPr>
              <w:t>ęszc</w:t>
            </w:r>
            <w:r>
              <w:rPr>
                <w:rFonts w:eastAsia="Times New Roman" w:cs="Times New Roman"/>
                <w:spacing w:val="1"/>
                <w:szCs w:val="20"/>
              </w:rPr>
              <w:t>zony</w:t>
            </w:r>
            <w:r>
              <w:rPr>
                <w:rFonts w:eastAsia="Times New Roman" w:cs="Times New Roman"/>
                <w:szCs w:val="20"/>
              </w:rPr>
              <w:t>m</w:t>
            </w:r>
            <w:r>
              <w:rPr>
                <w:rFonts w:eastAsia="Times New Roman" w:cs="Times New Roman"/>
                <w:spacing w:val="-11"/>
                <w:szCs w:val="20"/>
              </w:rPr>
              <w:t xml:space="preserve"> </w:t>
            </w:r>
            <w:r>
              <w:rPr>
                <w:rFonts w:eastAsia="Times New Roman" w:cs="Times New Roman"/>
                <w:szCs w:val="20"/>
              </w:rPr>
              <w:t>w</w:t>
            </w:r>
            <w:r>
              <w:rPr>
                <w:rFonts w:eastAsia="Times New Roman" w:cs="Times New Roman"/>
                <w:spacing w:val="-3"/>
                <w:szCs w:val="20"/>
              </w:rPr>
              <w:t>y</w:t>
            </w:r>
            <w:r>
              <w:rPr>
                <w:rFonts w:eastAsia="Times New Roman" w:cs="Times New Roman"/>
                <w:spacing w:val="1"/>
                <w:szCs w:val="20"/>
              </w:rPr>
              <w:t>p</w:t>
            </w:r>
            <w:r>
              <w:rPr>
                <w:rFonts w:eastAsia="Times New Roman" w:cs="Times New Roman"/>
                <w:szCs w:val="20"/>
              </w:rPr>
              <w:t>e</w:t>
            </w:r>
            <w:r>
              <w:rPr>
                <w:rFonts w:eastAsia="Times New Roman" w:cs="Times New Roman"/>
                <w:spacing w:val="2"/>
                <w:szCs w:val="20"/>
              </w:rPr>
              <w:t>ł</w:t>
            </w:r>
            <w:r>
              <w:rPr>
                <w:rFonts w:eastAsia="Times New Roman" w:cs="Times New Roman"/>
                <w:spacing w:val="-1"/>
                <w:szCs w:val="20"/>
              </w:rPr>
              <w:t>n</w:t>
            </w:r>
            <w:r>
              <w:rPr>
                <w:rFonts w:eastAsia="Times New Roman" w:cs="Times New Roman"/>
                <w:szCs w:val="20"/>
              </w:rPr>
              <w:t>iac</w:t>
            </w:r>
            <w:r>
              <w:rPr>
                <w:rFonts w:eastAsia="Times New Roman" w:cs="Times New Roman"/>
                <w:spacing w:val="3"/>
                <w:szCs w:val="20"/>
              </w:rPr>
              <w:t>z</w:t>
            </w:r>
            <w:r>
              <w:rPr>
                <w:rFonts w:eastAsia="Times New Roman" w:cs="Times New Roman"/>
                <w:szCs w:val="20"/>
              </w:rPr>
              <w:t>u</w:t>
            </w:r>
            <w:r>
              <w:rPr>
                <w:rFonts w:eastAsia="Times New Roman" w:cs="Times New Roman"/>
                <w:spacing w:val="-9"/>
                <w:szCs w:val="20"/>
              </w:rPr>
              <w:t xml:space="preserve"> </w:t>
            </w:r>
            <w:r>
              <w:rPr>
                <w:rFonts w:eastAsia="Times New Roman" w:cs="Times New Roman"/>
                <w:szCs w:val="20"/>
              </w:rPr>
              <w:t>we</w:t>
            </w:r>
            <w:r>
              <w:rPr>
                <w:rFonts w:eastAsia="Times New Roman" w:cs="Times New Roman"/>
                <w:spacing w:val="2"/>
                <w:szCs w:val="20"/>
              </w:rPr>
              <w:t>d</w:t>
            </w:r>
            <w:r>
              <w:rPr>
                <w:rFonts w:eastAsia="Times New Roman" w:cs="Times New Roman"/>
                <w:szCs w:val="20"/>
              </w:rPr>
              <w:t>ł</w:t>
            </w:r>
            <w:r>
              <w:rPr>
                <w:rFonts w:eastAsia="Times New Roman" w:cs="Times New Roman"/>
                <w:spacing w:val="-1"/>
                <w:szCs w:val="20"/>
              </w:rPr>
              <w:t>u</w:t>
            </w:r>
            <w:r>
              <w:rPr>
                <w:rFonts w:eastAsia="Times New Roman" w:cs="Times New Roman"/>
                <w:szCs w:val="20"/>
              </w:rPr>
              <w:t xml:space="preserve">g </w:t>
            </w:r>
            <w:r>
              <w:rPr>
                <w:rFonts w:eastAsia="Times New Roman" w:cs="Times New Roman"/>
                <w:spacing w:val="2"/>
                <w:szCs w:val="20"/>
              </w:rPr>
              <w:t>P</w:t>
            </w:r>
            <w:r>
              <w:rPr>
                <w:rFonts w:eastAsia="Times New Roman" w:cs="Times New Roman"/>
                <w:szCs w:val="20"/>
              </w:rPr>
              <w:t>N</w:t>
            </w:r>
            <w:r>
              <w:rPr>
                <w:rFonts w:eastAsia="Times New Roman" w:cs="Times New Roman"/>
                <w:spacing w:val="-2"/>
                <w:szCs w:val="20"/>
              </w:rPr>
              <w:t>-</w:t>
            </w:r>
            <w:r>
              <w:rPr>
                <w:rFonts w:eastAsia="Times New Roman" w:cs="Times New Roman"/>
                <w:szCs w:val="20"/>
              </w:rPr>
              <w:t>EN</w:t>
            </w:r>
            <w:r>
              <w:rPr>
                <w:rFonts w:eastAsia="Times New Roman" w:cs="Times New Roman"/>
                <w:spacing w:val="-6"/>
                <w:szCs w:val="20"/>
              </w:rPr>
              <w:t xml:space="preserve"> </w:t>
            </w:r>
            <w:r>
              <w:rPr>
                <w:rFonts w:eastAsia="Times New Roman" w:cs="Times New Roman"/>
                <w:spacing w:val="1"/>
                <w:szCs w:val="20"/>
              </w:rPr>
              <w:t>109</w:t>
            </w:r>
            <w:r>
              <w:rPr>
                <w:rFonts w:eastAsia="Times New Roman" w:cs="Times New Roman"/>
                <w:spacing w:val="2"/>
                <w:szCs w:val="20"/>
              </w:rPr>
              <w:t>7</w:t>
            </w:r>
            <w:r>
              <w:rPr>
                <w:rFonts w:eastAsia="Times New Roman" w:cs="Times New Roman"/>
                <w:spacing w:val="-2"/>
                <w:szCs w:val="20"/>
              </w:rPr>
              <w:t>-</w:t>
            </w:r>
            <w:r>
              <w:rPr>
                <w:rFonts w:eastAsia="Times New Roman" w:cs="Times New Roman"/>
                <w:spacing w:val="1"/>
                <w:szCs w:val="20"/>
              </w:rPr>
              <w:t>4</w:t>
            </w:r>
            <w:r>
              <w:rPr>
                <w:rFonts w:eastAsia="Times New Roman" w:cs="Times New Roman"/>
                <w:szCs w:val="20"/>
              </w:rPr>
              <w:t>,</w:t>
            </w:r>
            <w:r>
              <w:rPr>
                <w:rFonts w:eastAsia="Times New Roman" w:cs="Times New Roman"/>
                <w:spacing w:val="-5"/>
                <w:szCs w:val="20"/>
              </w:rPr>
              <w:t xml:space="preserve"> </w:t>
            </w:r>
            <w:r>
              <w:rPr>
                <w:rFonts w:eastAsia="Times New Roman" w:cs="Times New Roman"/>
                <w:spacing w:val="-2"/>
                <w:szCs w:val="20"/>
              </w:rPr>
              <w:t>w</w:t>
            </w:r>
            <w:r>
              <w:rPr>
                <w:rFonts w:eastAsia="Times New Roman" w:cs="Times New Roman"/>
                <w:spacing w:val="1"/>
                <w:szCs w:val="20"/>
              </w:rPr>
              <w:t>y</w:t>
            </w:r>
            <w:r>
              <w:rPr>
                <w:rFonts w:eastAsia="Times New Roman" w:cs="Times New Roman"/>
                <w:spacing w:val="-1"/>
                <w:szCs w:val="20"/>
              </w:rPr>
              <w:t>m</w:t>
            </w:r>
            <w:r>
              <w:rPr>
                <w:rFonts w:eastAsia="Times New Roman" w:cs="Times New Roman"/>
                <w:szCs w:val="20"/>
              </w:rPr>
              <w:t>a</w:t>
            </w:r>
            <w:r>
              <w:rPr>
                <w:rFonts w:eastAsia="Times New Roman" w:cs="Times New Roman"/>
                <w:spacing w:val="-1"/>
                <w:szCs w:val="20"/>
              </w:rPr>
              <w:t>g</w:t>
            </w:r>
            <w:r>
              <w:rPr>
                <w:rFonts w:eastAsia="Times New Roman" w:cs="Times New Roman"/>
                <w:spacing w:val="3"/>
                <w:szCs w:val="20"/>
              </w:rPr>
              <w:t>a</w:t>
            </w:r>
            <w:r>
              <w:rPr>
                <w:rFonts w:eastAsia="Times New Roman" w:cs="Times New Roman"/>
                <w:spacing w:val="-1"/>
                <w:szCs w:val="20"/>
              </w:rPr>
              <w:t>n</w:t>
            </w:r>
            <w:r>
              <w:rPr>
                <w:rFonts w:eastAsia="Times New Roman" w:cs="Times New Roman"/>
                <w:szCs w:val="20"/>
              </w:rPr>
              <w:t>a</w:t>
            </w:r>
            <w:r>
              <w:rPr>
                <w:rFonts w:eastAsia="Times New Roman" w:cs="Times New Roman"/>
                <w:spacing w:val="-8"/>
                <w:szCs w:val="20"/>
              </w:rPr>
              <w:t xml:space="preserve"> </w:t>
            </w:r>
            <w:r>
              <w:rPr>
                <w:rFonts w:eastAsia="Times New Roman" w:cs="Times New Roman"/>
                <w:spacing w:val="-1"/>
                <w:szCs w:val="20"/>
              </w:rPr>
              <w:t>k</w:t>
            </w:r>
            <w:r>
              <w:rPr>
                <w:rFonts w:eastAsia="Times New Roman" w:cs="Times New Roman"/>
                <w:spacing w:val="3"/>
                <w:szCs w:val="20"/>
              </w:rPr>
              <w:t>a</w:t>
            </w:r>
            <w:r>
              <w:rPr>
                <w:rFonts w:eastAsia="Times New Roman" w:cs="Times New Roman"/>
                <w:szCs w:val="20"/>
              </w:rPr>
              <w:t>te</w:t>
            </w:r>
            <w:r>
              <w:rPr>
                <w:rFonts w:eastAsia="Times New Roman" w:cs="Times New Roman"/>
                <w:spacing w:val="-1"/>
                <w:szCs w:val="20"/>
              </w:rPr>
              <w:t>g</w:t>
            </w:r>
            <w:r>
              <w:rPr>
                <w:rFonts w:eastAsia="Times New Roman" w:cs="Times New Roman"/>
                <w:spacing w:val="1"/>
                <w:szCs w:val="20"/>
              </w:rPr>
              <w:t>or</w:t>
            </w:r>
            <w:r>
              <w:rPr>
                <w:rFonts w:eastAsia="Times New Roman" w:cs="Times New Roman"/>
                <w:szCs w:val="20"/>
              </w:rPr>
              <w:t>ia:</w:t>
            </w:r>
          </w:p>
        </w:tc>
        <w:tc>
          <w:tcPr>
            <w:tcW w:w="5421" w:type="dxa"/>
            <w:gridSpan w:val="3"/>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w w:val="99"/>
                <w:position w:val="3"/>
                <w:szCs w:val="20"/>
              </w:rPr>
              <w:t>V</w:t>
            </w:r>
            <w:r>
              <w:rPr>
                <w:rFonts w:eastAsia="Times New Roman" w:cs="Times New Roman"/>
                <w:w w:val="99"/>
                <w:szCs w:val="20"/>
              </w:rPr>
              <w:t>28/45</w:t>
            </w:r>
          </w:p>
        </w:tc>
      </w:tr>
      <w:tr w:rsidR="00B77F00">
        <w:tblPrEx>
          <w:tblCellMar>
            <w:top w:w="0" w:type="dxa"/>
            <w:bottom w:w="0" w:type="dxa"/>
          </w:tblCellMar>
        </w:tblPrEx>
        <w:trPr>
          <w:trHeight w:val="170"/>
          <w:jc w:val="right"/>
        </w:trPr>
        <w:tc>
          <w:tcPr>
            <w:tcW w:w="4217"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2"/>
                <w:szCs w:val="20"/>
              </w:rPr>
              <w:t>P</w:t>
            </w:r>
            <w:r>
              <w:rPr>
                <w:rFonts w:eastAsia="Times New Roman" w:cs="Times New Roman"/>
                <w:spacing w:val="1"/>
                <w:szCs w:val="20"/>
              </w:rPr>
              <w:t>r</w:t>
            </w:r>
            <w:r>
              <w:rPr>
                <w:rFonts w:eastAsia="Times New Roman" w:cs="Times New Roman"/>
                <w:szCs w:val="20"/>
              </w:rPr>
              <w:t>z</w:t>
            </w:r>
            <w:r>
              <w:rPr>
                <w:rFonts w:eastAsia="Times New Roman" w:cs="Times New Roman"/>
                <w:spacing w:val="-3"/>
                <w:szCs w:val="20"/>
              </w:rPr>
              <w:t>y</w:t>
            </w:r>
            <w:r>
              <w:rPr>
                <w:rFonts w:eastAsia="Times New Roman" w:cs="Times New Roman"/>
                <w:spacing w:val="1"/>
                <w:szCs w:val="20"/>
              </w:rPr>
              <w:t>ro</w:t>
            </w:r>
            <w:r>
              <w:rPr>
                <w:rFonts w:eastAsia="Times New Roman" w:cs="Times New Roman"/>
                <w:spacing w:val="-1"/>
                <w:szCs w:val="20"/>
              </w:rPr>
              <w:t>s</w:t>
            </w:r>
            <w:r>
              <w:rPr>
                <w:rFonts w:eastAsia="Times New Roman" w:cs="Times New Roman"/>
                <w:szCs w:val="20"/>
              </w:rPr>
              <w:t>t</w:t>
            </w:r>
            <w:r>
              <w:rPr>
                <w:rFonts w:eastAsia="Times New Roman" w:cs="Times New Roman"/>
                <w:spacing w:val="-7"/>
                <w:szCs w:val="20"/>
              </w:rPr>
              <w:t xml:space="preserve"> </w:t>
            </w:r>
            <w:r>
              <w:rPr>
                <w:rFonts w:eastAsia="Times New Roman" w:cs="Times New Roman"/>
                <w:szCs w:val="20"/>
              </w:rPr>
              <w:t>t</w:t>
            </w:r>
            <w:r>
              <w:rPr>
                <w:rFonts w:eastAsia="Times New Roman" w:cs="Times New Roman"/>
                <w:spacing w:val="3"/>
                <w:szCs w:val="20"/>
              </w:rPr>
              <w:t>e</w:t>
            </w:r>
            <w:r>
              <w:rPr>
                <w:rFonts w:eastAsia="Times New Roman" w:cs="Times New Roman"/>
                <w:spacing w:val="-4"/>
                <w:szCs w:val="20"/>
              </w:rPr>
              <w:t>m</w:t>
            </w:r>
            <w:r>
              <w:rPr>
                <w:rFonts w:eastAsia="Times New Roman" w:cs="Times New Roman"/>
                <w:spacing w:val="1"/>
                <w:szCs w:val="20"/>
              </w:rPr>
              <w:t>p</w:t>
            </w:r>
            <w:r>
              <w:rPr>
                <w:rFonts w:eastAsia="Times New Roman" w:cs="Times New Roman"/>
                <w:szCs w:val="20"/>
              </w:rPr>
              <w:t>e</w:t>
            </w:r>
            <w:r>
              <w:rPr>
                <w:rFonts w:eastAsia="Times New Roman" w:cs="Times New Roman"/>
                <w:spacing w:val="1"/>
                <w:szCs w:val="20"/>
              </w:rPr>
              <w:t>r</w:t>
            </w:r>
            <w:r>
              <w:rPr>
                <w:rFonts w:eastAsia="Times New Roman" w:cs="Times New Roman"/>
                <w:szCs w:val="20"/>
              </w:rPr>
              <w:t>a</w:t>
            </w:r>
            <w:r>
              <w:rPr>
                <w:rFonts w:eastAsia="Times New Roman" w:cs="Times New Roman"/>
                <w:spacing w:val="2"/>
                <w:szCs w:val="20"/>
              </w:rPr>
              <w:t>t</w:t>
            </w:r>
            <w:r>
              <w:rPr>
                <w:rFonts w:eastAsia="Times New Roman" w:cs="Times New Roman"/>
                <w:spacing w:val="-1"/>
                <w:szCs w:val="20"/>
              </w:rPr>
              <w:t>u</w:t>
            </w:r>
            <w:r>
              <w:rPr>
                <w:rFonts w:eastAsia="Times New Roman" w:cs="Times New Roman"/>
                <w:spacing w:val="3"/>
                <w:szCs w:val="20"/>
              </w:rPr>
              <w:t>r</w:t>
            </w:r>
            <w:r>
              <w:rPr>
                <w:rFonts w:eastAsia="Times New Roman" w:cs="Times New Roman"/>
                <w:szCs w:val="20"/>
              </w:rPr>
              <w:t>y</w:t>
            </w:r>
            <w:r>
              <w:rPr>
                <w:rFonts w:eastAsia="Times New Roman" w:cs="Times New Roman"/>
                <w:spacing w:val="-11"/>
                <w:szCs w:val="20"/>
              </w:rPr>
              <w:t xml:space="preserve"> </w:t>
            </w:r>
            <w:r>
              <w:rPr>
                <w:rFonts w:eastAsia="Times New Roman" w:cs="Times New Roman"/>
                <w:spacing w:val="-1"/>
                <w:szCs w:val="20"/>
              </w:rPr>
              <w:t>m</w:t>
            </w:r>
            <w:r>
              <w:rPr>
                <w:rFonts w:eastAsia="Times New Roman" w:cs="Times New Roman"/>
                <w:szCs w:val="20"/>
              </w:rPr>
              <w:t>i</w:t>
            </w:r>
            <w:r>
              <w:rPr>
                <w:rFonts w:eastAsia="Times New Roman" w:cs="Times New Roman"/>
                <w:spacing w:val="2"/>
                <w:szCs w:val="20"/>
              </w:rPr>
              <w:t>ę</w:t>
            </w:r>
            <w:r>
              <w:rPr>
                <w:rFonts w:eastAsia="Times New Roman" w:cs="Times New Roman"/>
                <w:spacing w:val="-1"/>
                <w:szCs w:val="20"/>
              </w:rPr>
              <w:t>k</w:t>
            </w:r>
            <w:r>
              <w:rPr>
                <w:rFonts w:eastAsia="Times New Roman" w:cs="Times New Roman"/>
                <w:spacing w:val="1"/>
                <w:szCs w:val="20"/>
              </w:rPr>
              <w:t>n</w:t>
            </w:r>
            <w:r>
              <w:rPr>
                <w:rFonts w:eastAsia="Times New Roman" w:cs="Times New Roman"/>
                <w:szCs w:val="20"/>
              </w:rPr>
              <w:t>i</w:t>
            </w:r>
            <w:r>
              <w:rPr>
                <w:rFonts w:eastAsia="Times New Roman" w:cs="Times New Roman"/>
                <w:spacing w:val="2"/>
                <w:szCs w:val="20"/>
              </w:rPr>
              <w:t>e</w:t>
            </w:r>
            <w:r>
              <w:rPr>
                <w:rFonts w:eastAsia="Times New Roman" w:cs="Times New Roman"/>
                <w:spacing w:val="-1"/>
                <w:szCs w:val="20"/>
              </w:rPr>
              <w:t>n</w:t>
            </w:r>
            <w:r>
              <w:rPr>
                <w:rFonts w:eastAsia="Times New Roman" w:cs="Times New Roman"/>
                <w:szCs w:val="20"/>
              </w:rPr>
              <w:t xml:space="preserve">ia </w:t>
            </w:r>
            <w:r>
              <w:rPr>
                <w:rFonts w:eastAsia="Times New Roman" w:cs="Times New Roman"/>
                <w:spacing w:val="-2"/>
                <w:szCs w:val="20"/>
              </w:rPr>
              <w:t>w</w:t>
            </w:r>
            <w:r>
              <w:rPr>
                <w:rFonts w:eastAsia="Times New Roman" w:cs="Times New Roman"/>
                <w:szCs w:val="20"/>
              </w:rPr>
              <w:t>e</w:t>
            </w:r>
            <w:r>
              <w:rPr>
                <w:rFonts w:eastAsia="Times New Roman" w:cs="Times New Roman"/>
                <w:spacing w:val="1"/>
                <w:szCs w:val="20"/>
              </w:rPr>
              <w:t>d</w:t>
            </w:r>
            <w:r>
              <w:rPr>
                <w:rFonts w:eastAsia="Times New Roman" w:cs="Times New Roman"/>
                <w:spacing w:val="2"/>
                <w:szCs w:val="20"/>
              </w:rPr>
              <w:t>ł</w:t>
            </w:r>
            <w:r>
              <w:rPr>
                <w:rFonts w:eastAsia="Times New Roman" w:cs="Times New Roman"/>
                <w:spacing w:val="-1"/>
                <w:szCs w:val="20"/>
              </w:rPr>
              <w:t>u</w:t>
            </w:r>
            <w:r>
              <w:rPr>
                <w:rFonts w:eastAsia="Times New Roman" w:cs="Times New Roman"/>
                <w:szCs w:val="20"/>
              </w:rPr>
              <w:t>g</w:t>
            </w:r>
            <w:r>
              <w:rPr>
                <w:rFonts w:eastAsia="Times New Roman" w:cs="Times New Roman"/>
                <w:spacing w:val="-7"/>
                <w:szCs w:val="20"/>
              </w:rPr>
              <w:t xml:space="preserve"> </w:t>
            </w:r>
            <w:r>
              <w:rPr>
                <w:rFonts w:eastAsia="Times New Roman" w:cs="Times New Roman"/>
                <w:spacing w:val="2"/>
                <w:szCs w:val="20"/>
              </w:rPr>
              <w:t>P</w:t>
            </w:r>
            <w:r>
              <w:rPr>
                <w:rFonts w:eastAsia="Times New Roman" w:cs="Times New Roman"/>
                <w:spacing w:val="1"/>
                <w:szCs w:val="20"/>
              </w:rPr>
              <w:t>N</w:t>
            </w:r>
            <w:r>
              <w:rPr>
                <w:rFonts w:eastAsia="Times New Roman" w:cs="Times New Roman"/>
                <w:spacing w:val="-2"/>
                <w:szCs w:val="20"/>
              </w:rPr>
              <w:t>-</w:t>
            </w:r>
            <w:r>
              <w:rPr>
                <w:rFonts w:eastAsia="Times New Roman" w:cs="Times New Roman"/>
                <w:spacing w:val="3"/>
                <w:szCs w:val="20"/>
              </w:rPr>
              <w:t>E</w:t>
            </w:r>
            <w:r>
              <w:rPr>
                <w:rFonts w:eastAsia="Times New Roman" w:cs="Times New Roman"/>
                <w:szCs w:val="20"/>
              </w:rPr>
              <w:t>N</w:t>
            </w:r>
            <w:r>
              <w:rPr>
                <w:rFonts w:eastAsia="Times New Roman" w:cs="Times New Roman"/>
                <w:spacing w:val="-6"/>
                <w:szCs w:val="20"/>
              </w:rPr>
              <w:t xml:space="preserve"> </w:t>
            </w:r>
            <w:r>
              <w:rPr>
                <w:rFonts w:eastAsia="Times New Roman" w:cs="Times New Roman"/>
                <w:spacing w:val="1"/>
                <w:szCs w:val="20"/>
              </w:rPr>
              <w:t>1317</w:t>
            </w:r>
            <w:r>
              <w:rPr>
                <w:rFonts w:eastAsia="Times New Roman" w:cs="Times New Roman"/>
                <w:spacing w:val="3"/>
                <w:szCs w:val="20"/>
              </w:rPr>
              <w:t>9</w:t>
            </w:r>
            <w:r>
              <w:rPr>
                <w:rFonts w:eastAsia="Times New Roman" w:cs="Times New Roman"/>
                <w:spacing w:val="-2"/>
                <w:szCs w:val="20"/>
              </w:rPr>
              <w:t>-</w:t>
            </w:r>
            <w:r>
              <w:rPr>
                <w:rFonts w:eastAsia="Times New Roman" w:cs="Times New Roman"/>
                <w:spacing w:val="1"/>
                <w:szCs w:val="20"/>
              </w:rPr>
              <w:t>1</w:t>
            </w:r>
            <w:r>
              <w:rPr>
                <w:rFonts w:eastAsia="Times New Roman" w:cs="Times New Roman"/>
                <w:szCs w:val="20"/>
              </w:rPr>
              <w:t>,</w:t>
            </w:r>
            <w:r>
              <w:rPr>
                <w:rFonts w:eastAsia="Times New Roman" w:cs="Times New Roman"/>
                <w:spacing w:val="-6"/>
                <w:szCs w:val="20"/>
              </w:rPr>
              <w:t xml:space="preserve"> </w:t>
            </w:r>
            <w:r>
              <w:rPr>
                <w:rFonts w:eastAsia="Times New Roman" w:cs="Times New Roman"/>
                <w:spacing w:val="-2"/>
                <w:szCs w:val="20"/>
              </w:rPr>
              <w:t>w</w:t>
            </w:r>
            <w:r>
              <w:rPr>
                <w:rFonts w:eastAsia="Times New Roman" w:cs="Times New Roman"/>
                <w:spacing w:val="1"/>
                <w:szCs w:val="20"/>
              </w:rPr>
              <w:t>ym</w:t>
            </w:r>
            <w:r>
              <w:rPr>
                <w:rFonts w:eastAsia="Times New Roman" w:cs="Times New Roman"/>
                <w:szCs w:val="20"/>
              </w:rPr>
              <w:t>a</w:t>
            </w:r>
            <w:r>
              <w:rPr>
                <w:rFonts w:eastAsia="Times New Roman" w:cs="Times New Roman"/>
                <w:spacing w:val="-1"/>
                <w:szCs w:val="20"/>
              </w:rPr>
              <w:t>g</w:t>
            </w:r>
            <w:r>
              <w:rPr>
                <w:rFonts w:eastAsia="Times New Roman" w:cs="Times New Roman"/>
                <w:szCs w:val="20"/>
              </w:rPr>
              <w:t>a</w:t>
            </w:r>
            <w:r>
              <w:rPr>
                <w:rFonts w:eastAsia="Times New Roman" w:cs="Times New Roman"/>
                <w:spacing w:val="-1"/>
                <w:szCs w:val="20"/>
              </w:rPr>
              <w:t>n</w:t>
            </w:r>
            <w:r>
              <w:rPr>
                <w:rFonts w:eastAsia="Times New Roman" w:cs="Times New Roman"/>
                <w:szCs w:val="20"/>
              </w:rPr>
              <w:t xml:space="preserve">a </w:t>
            </w:r>
            <w:r>
              <w:rPr>
                <w:rFonts w:eastAsia="Times New Roman" w:cs="Times New Roman"/>
                <w:spacing w:val="-1"/>
                <w:szCs w:val="20"/>
              </w:rPr>
              <w:t>k</w:t>
            </w:r>
            <w:r>
              <w:rPr>
                <w:rFonts w:eastAsia="Times New Roman" w:cs="Times New Roman"/>
                <w:szCs w:val="20"/>
              </w:rPr>
              <w:t>ate</w:t>
            </w:r>
            <w:r>
              <w:rPr>
                <w:rFonts w:eastAsia="Times New Roman" w:cs="Times New Roman"/>
                <w:spacing w:val="-1"/>
                <w:szCs w:val="20"/>
              </w:rPr>
              <w:t>g</w:t>
            </w:r>
            <w:r>
              <w:rPr>
                <w:rFonts w:eastAsia="Times New Roman" w:cs="Times New Roman"/>
                <w:spacing w:val="1"/>
                <w:szCs w:val="20"/>
              </w:rPr>
              <w:t>or</w:t>
            </w:r>
            <w:r>
              <w:rPr>
                <w:rFonts w:eastAsia="Times New Roman" w:cs="Times New Roman"/>
                <w:szCs w:val="20"/>
              </w:rPr>
              <w:t>ia:</w:t>
            </w:r>
          </w:p>
        </w:tc>
        <w:tc>
          <w:tcPr>
            <w:tcW w:w="5421" w:type="dxa"/>
            <w:gridSpan w:val="3"/>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Symbol" w:cs="Symbol"/>
                <w:w w:val="99"/>
                <w:szCs w:val="20"/>
              </w:rPr>
              <w:t></w:t>
            </w:r>
            <w:r>
              <w:rPr>
                <w:rFonts w:eastAsia="Times New Roman" w:cs="Times New Roman"/>
                <w:w w:val="99"/>
                <w:position w:val="-5"/>
                <w:szCs w:val="20"/>
              </w:rPr>
              <w:t>R</w:t>
            </w:r>
            <w:r>
              <w:rPr>
                <w:rFonts w:eastAsia="Times New Roman" w:cs="Times New Roman"/>
                <w:spacing w:val="-2"/>
                <w:w w:val="99"/>
                <w:position w:val="-5"/>
                <w:szCs w:val="20"/>
              </w:rPr>
              <w:t>&amp;</w:t>
            </w:r>
            <w:r>
              <w:rPr>
                <w:rFonts w:eastAsia="Times New Roman" w:cs="Times New Roman"/>
                <w:w w:val="99"/>
                <w:position w:val="-5"/>
                <w:szCs w:val="20"/>
              </w:rPr>
              <w:t>B</w:t>
            </w:r>
            <w:r>
              <w:rPr>
                <w:rFonts w:eastAsia="Times New Roman" w:cs="Times New Roman"/>
                <w:spacing w:val="1"/>
                <w:w w:val="99"/>
                <w:szCs w:val="20"/>
              </w:rPr>
              <w:t>8</w:t>
            </w:r>
            <w:r>
              <w:rPr>
                <w:rFonts w:eastAsia="Times New Roman" w:cs="Times New Roman"/>
                <w:w w:val="99"/>
                <w:szCs w:val="20"/>
              </w:rPr>
              <w:t>/</w:t>
            </w:r>
            <w:r>
              <w:rPr>
                <w:rFonts w:eastAsia="Times New Roman" w:cs="Times New Roman"/>
                <w:spacing w:val="1"/>
                <w:w w:val="99"/>
                <w:szCs w:val="20"/>
              </w:rPr>
              <w:t>2</w:t>
            </w:r>
            <w:r>
              <w:rPr>
                <w:rFonts w:eastAsia="Times New Roman" w:cs="Times New Roman"/>
                <w:w w:val="99"/>
                <w:szCs w:val="20"/>
              </w:rPr>
              <w:t>5</w:t>
            </w:r>
          </w:p>
        </w:tc>
      </w:tr>
      <w:tr w:rsidR="00B77F00">
        <w:tblPrEx>
          <w:tblCellMar>
            <w:top w:w="0" w:type="dxa"/>
            <w:bottom w:w="0" w:type="dxa"/>
          </w:tblCellMar>
        </w:tblPrEx>
        <w:trPr>
          <w:trHeight w:val="170"/>
          <w:jc w:val="right"/>
        </w:trPr>
        <w:tc>
          <w:tcPr>
            <w:tcW w:w="4217"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1"/>
                <w:szCs w:val="20"/>
              </w:rPr>
              <w:t>R</w:t>
            </w:r>
            <w:r>
              <w:rPr>
                <w:rFonts w:eastAsia="Times New Roman" w:cs="Times New Roman"/>
                <w:spacing w:val="1"/>
                <w:szCs w:val="20"/>
              </w:rPr>
              <w:t>o</w:t>
            </w:r>
            <w:r>
              <w:rPr>
                <w:rFonts w:eastAsia="Times New Roman" w:cs="Times New Roman"/>
                <w:szCs w:val="20"/>
              </w:rPr>
              <w:t>z</w:t>
            </w:r>
            <w:r>
              <w:rPr>
                <w:rFonts w:eastAsia="Times New Roman" w:cs="Times New Roman"/>
                <w:spacing w:val="1"/>
                <w:szCs w:val="20"/>
              </w:rPr>
              <w:t>p</w:t>
            </w:r>
            <w:r>
              <w:rPr>
                <w:rFonts w:eastAsia="Times New Roman" w:cs="Times New Roman"/>
                <w:spacing w:val="-1"/>
                <w:szCs w:val="20"/>
              </w:rPr>
              <w:t>us</w:t>
            </w:r>
            <w:r>
              <w:rPr>
                <w:rFonts w:eastAsia="Times New Roman" w:cs="Times New Roman"/>
                <w:szCs w:val="20"/>
              </w:rPr>
              <w:t>z</w:t>
            </w:r>
            <w:r>
              <w:rPr>
                <w:rFonts w:eastAsia="Times New Roman" w:cs="Times New Roman"/>
                <w:spacing w:val="1"/>
                <w:szCs w:val="20"/>
              </w:rPr>
              <w:t>c</w:t>
            </w:r>
            <w:r>
              <w:rPr>
                <w:rFonts w:eastAsia="Times New Roman" w:cs="Times New Roman"/>
                <w:szCs w:val="20"/>
              </w:rPr>
              <w:t>z</w:t>
            </w:r>
            <w:r>
              <w:rPr>
                <w:rFonts w:eastAsia="Times New Roman" w:cs="Times New Roman"/>
                <w:spacing w:val="1"/>
                <w:szCs w:val="20"/>
              </w:rPr>
              <w:t>a</w:t>
            </w:r>
            <w:r>
              <w:rPr>
                <w:rFonts w:eastAsia="Times New Roman" w:cs="Times New Roman"/>
                <w:spacing w:val="2"/>
                <w:szCs w:val="20"/>
              </w:rPr>
              <w:t>l</w:t>
            </w:r>
            <w:r>
              <w:rPr>
                <w:rFonts w:eastAsia="Times New Roman" w:cs="Times New Roman"/>
                <w:spacing w:val="-1"/>
                <w:szCs w:val="20"/>
              </w:rPr>
              <w:t>n</w:t>
            </w:r>
            <w:r>
              <w:rPr>
                <w:rFonts w:eastAsia="Times New Roman" w:cs="Times New Roman"/>
                <w:spacing w:val="1"/>
                <w:szCs w:val="20"/>
              </w:rPr>
              <w:t>o</w:t>
            </w:r>
            <w:r>
              <w:rPr>
                <w:rFonts w:eastAsia="Times New Roman" w:cs="Times New Roman"/>
                <w:spacing w:val="-1"/>
                <w:szCs w:val="20"/>
              </w:rPr>
              <w:t>ś</w:t>
            </w:r>
            <w:r>
              <w:rPr>
                <w:rFonts w:eastAsia="Times New Roman" w:cs="Times New Roman"/>
                <w:szCs w:val="20"/>
              </w:rPr>
              <w:t>ć</w:t>
            </w:r>
            <w:r>
              <w:rPr>
                <w:rFonts w:eastAsia="Times New Roman" w:cs="Times New Roman"/>
                <w:spacing w:val="-11"/>
                <w:szCs w:val="20"/>
              </w:rPr>
              <w:t xml:space="preserve"> </w:t>
            </w:r>
            <w:r>
              <w:rPr>
                <w:rFonts w:eastAsia="Times New Roman" w:cs="Times New Roman"/>
                <w:szCs w:val="20"/>
              </w:rPr>
              <w:t>w</w:t>
            </w:r>
            <w:r>
              <w:rPr>
                <w:rFonts w:eastAsia="Times New Roman" w:cs="Times New Roman"/>
                <w:spacing w:val="-1"/>
                <w:szCs w:val="20"/>
              </w:rPr>
              <w:t xml:space="preserve"> </w:t>
            </w:r>
            <w:r>
              <w:rPr>
                <w:rFonts w:eastAsia="Times New Roman" w:cs="Times New Roman"/>
                <w:spacing w:val="-2"/>
                <w:szCs w:val="20"/>
              </w:rPr>
              <w:t>w</w:t>
            </w:r>
            <w:r>
              <w:rPr>
                <w:rFonts w:eastAsia="Times New Roman" w:cs="Times New Roman"/>
                <w:spacing w:val="1"/>
                <w:szCs w:val="20"/>
              </w:rPr>
              <w:t>od</w:t>
            </w:r>
            <w:r>
              <w:rPr>
                <w:rFonts w:eastAsia="Times New Roman" w:cs="Times New Roman"/>
                <w:szCs w:val="20"/>
              </w:rPr>
              <w:t>zie</w:t>
            </w:r>
            <w:r>
              <w:rPr>
                <w:rFonts w:eastAsia="Times New Roman" w:cs="Times New Roman"/>
                <w:spacing w:val="-3"/>
                <w:szCs w:val="20"/>
              </w:rPr>
              <w:t xml:space="preserve"> </w:t>
            </w:r>
            <w:r>
              <w:rPr>
                <w:rFonts w:eastAsia="Times New Roman" w:cs="Times New Roman"/>
                <w:spacing w:val="-2"/>
                <w:szCs w:val="20"/>
              </w:rPr>
              <w:t>w</w:t>
            </w:r>
            <w:r>
              <w:rPr>
                <w:rFonts w:eastAsia="Times New Roman" w:cs="Times New Roman"/>
                <w:szCs w:val="20"/>
              </w:rPr>
              <w:t>e</w:t>
            </w:r>
            <w:r>
              <w:rPr>
                <w:rFonts w:eastAsia="Times New Roman" w:cs="Times New Roman"/>
                <w:spacing w:val="1"/>
                <w:szCs w:val="20"/>
              </w:rPr>
              <w:t>d</w:t>
            </w:r>
            <w:r>
              <w:rPr>
                <w:rFonts w:eastAsia="Times New Roman" w:cs="Times New Roman"/>
                <w:szCs w:val="20"/>
              </w:rPr>
              <w:t>ł</w:t>
            </w:r>
            <w:r>
              <w:rPr>
                <w:rFonts w:eastAsia="Times New Roman" w:cs="Times New Roman"/>
                <w:spacing w:val="-1"/>
                <w:szCs w:val="20"/>
              </w:rPr>
              <w:t>u</w:t>
            </w:r>
            <w:r>
              <w:rPr>
                <w:rFonts w:eastAsia="Times New Roman" w:cs="Times New Roman"/>
                <w:szCs w:val="20"/>
              </w:rPr>
              <w:t xml:space="preserve">g </w:t>
            </w:r>
            <w:r>
              <w:rPr>
                <w:rFonts w:eastAsia="Times New Roman" w:cs="Times New Roman"/>
                <w:spacing w:val="2"/>
                <w:szCs w:val="20"/>
              </w:rPr>
              <w:t>P</w:t>
            </w:r>
            <w:r>
              <w:rPr>
                <w:rFonts w:eastAsia="Times New Roman" w:cs="Times New Roman"/>
                <w:szCs w:val="20"/>
              </w:rPr>
              <w:t>N</w:t>
            </w:r>
            <w:r>
              <w:rPr>
                <w:rFonts w:eastAsia="Times New Roman" w:cs="Times New Roman"/>
                <w:spacing w:val="-2"/>
                <w:szCs w:val="20"/>
              </w:rPr>
              <w:t>-</w:t>
            </w:r>
            <w:r>
              <w:rPr>
                <w:rFonts w:eastAsia="Times New Roman" w:cs="Times New Roman"/>
                <w:szCs w:val="20"/>
              </w:rPr>
              <w:t>EN</w:t>
            </w:r>
            <w:r>
              <w:rPr>
                <w:rFonts w:eastAsia="Times New Roman" w:cs="Times New Roman"/>
                <w:spacing w:val="-6"/>
                <w:szCs w:val="20"/>
              </w:rPr>
              <w:t xml:space="preserve"> </w:t>
            </w:r>
            <w:r>
              <w:rPr>
                <w:rFonts w:eastAsia="Times New Roman" w:cs="Times New Roman"/>
                <w:spacing w:val="1"/>
                <w:szCs w:val="20"/>
              </w:rPr>
              <w:t>174</w:t>
            </w:r>
            <w:r>
              <w:rPr>
                <w:rFonts w:eastAsia="Times New Roman" w:cs="Times New Roman"/>
                <w:spacing w:val="2"/>
                <w:szCs w:val="20"/>
              </w:rPr>
              <w:t>4</w:t>
            </w:r>
            <w:r>
              <w:rPr>
                <w:rFonts w:eastAsia="Times New Roman" w:cs="Times New Roman"/>
                <w:spacing w:val="-2"/>
                <w:szCs w:val="20"/>
              </w:rPr>
              <w:t>-</w:t>
            </w:r>
            <w:r>
              <w:rPr>
                <w:rFonts w:eastAsia="Times New Roman" w:cs="Times New Roman"/>
                <w:spacing w:val="1"/>
                <w:szCs w:val="20"/>
              </w:rPr>
              <w:t>1</w:t>
            </w:r>
            <w:r>
              <w:rPr>
                <w:rFonts w:eastAsia="Times New Roman" w:cs="Times New Roman"/>
                <w:szCs w:val="20"/>
              </w:rPr>
              <w:t>,</w:t>
            </w:r>
            <w:r>
              <w:rPr>
                <w:rFonts w:eastAsia="Times New Roman" w:cs="Times New Roman"/>
                <w:spacing w:val="-5"/>
                <w:szCs w:val="20"/>
              </w:rPr>
              <w:t xml:space="preserve"> </w:t>
            </w:r>
            <w:r>
              <w:rPr>
                <w:rFonts w:eastAsia="Times New Roman" w:cs="Times New Roman"/>
                <w:spacing w:val="-1"/>
                <w:szCs w:val="20"/>
              </w:rPr>
              <w:t>k</w:t>
            </w:r>
            <w:r>
              <w:rPr>
                <w:rFonts w:eastAsia="Times New Roman" w:cs="Times New Roman"/>
                <w:szCs w:val="20"/>
              </w:rPr>
              <w:t>ate</w:t>
            </w:r>
            <w:r>
              <w:rPr>
                <w:rFonts w:eastAsia="Times New Roman" w:cs="Times New Roman"/>
                <w:spacing w:val="-1"/>
                <w:szCs w:val="20"/>
              </w:rPr>
              <w:t>g</w:t>
            </w:r>
            <w:r>
              <w:rPr>
                <w:rFonts w:eastAsia="Times New Roman" w:cs="Times New Roman"/>
                <w:spacing w:val="1"/>
                <w:szCs w:val="20"/>
              </w:rPr>
              <w:t>or</w:t>
            </w:r>
            <w:r>
              <w:rPr>
                <w:rFonts w:eastAsia="Times New Roman" w:cs="Times New Roman"/>
                <w:szCs w:val="20"/>
              </w:rPr>
              <w:t>ia</w:t>
            </w:r>
            <w:r>
              <w:rPr>
                <w:rFonts w:eastAsia="Times New Roman" w:cs="Times New Roman"/>
                <w:spacing w:val="-7"/>
                <w:szCs w:val="20"/>
              </w:rPr>
              <w:t xml:space="preserve"> </w:t>
            </w:r>
            <w:r>
              <w:rPr>
                <w:rFonts w:eastAsia="Times New Roman" w:cs="Times New Roman"/>
                <w:spacing w:val="-1"/>
                <w:szCs w:val="20"/>
              </w:rPr>
              <w:t>n</w:t>
            </w:r>
            <w:r>
              <w:rPr>
                <w:rFonts w:eastAsia="Times New Roman" w:cs="Times New Roman"/>
                <w:szCs w:val="20"/>
              </w:rPr>
              <w:t>ie</w:t>
            </w:r>
            <w:r>
              <w:rPr>
                <w:rFonts w:eastAsia="Times New Roman" w:cs="Times New Roman"/>
                <w:spacing w:val="1"/>
                <w:szCs w:val="20"/>
              </w:rPr>
              <w:t xml:space="preserve"> </w:t>
            </w:r>
            <w:r>
              <w:rPr>
                <w:rFonts w:eastAsia="Times New Roman" w:cs="Times New Roman"/>
                <w:szCs w:val="20"/>
              </w:rPr>
              <w:t>w</w:t>
            </w:r>
            <w:r>
              <w:rPr>
                <w:rFonts w:eastAsia="Times New Roman" w:cs="Times New Roman"/>
                <w:spacing w:val="-1"/>
                <w:szCs w:val="20"/>
              </w:rPr>
              <w:t>y</w:t>
            </w:r>
            <w:r>
              <w:rPr>
                <w:rFonts w:eastAsia="Times New Roman" w:cs="Times New Roman"/>
                <w:szCs w:val="20"/>
              </w:rPr>
              <w:t xml:space="preserve">ższa </w:t>
            </w:r>
            <w:r>
              <w:rPr>
                <w:rFonts w:eastAsia="Times New Roman" w:cs="Times New Roman"/>
                <w:spacing w:val="-1"/>
                <w:szCs w:val="20"/>
              </w:rPr>
              <w:t>n</w:t>
            </w:r>
            <w:r>
              <w:rPr>
                <w:rFonts w:eastAsia="Times New Roman" w:cs="Times New Roman"/>
                <w:szCs w:val="20"/>
              </w:rPr>
              <w:t>iż:</w:t>
            </w:r>
          </w:p>
        </w:tc>
        <w:tc>
          <w:tcPr>
            <w:tcW w:w="5421" w:type="dxa"/>
            <w:gridSpan w:val="3"/>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2"/>
                <w:w w:val="99"/>
                <w:szCs w:val="20"/>
              </w:rPr>
              <w:t>W</w:t>
            </w:r>
            <w:r>
              <w:rPr>
                <w:rFonts w:eastAsia="Times New Roman" w:cs="Times New Roman"/>
                <w:w w:val="99"/>
                <w:szCs w:val="20"/>
              </w:rPr>
              <w:t>S</w:t>
            </w:r>
            <w:r>
              <w:rPr>
                <w:rFonts w:eastAsia="Times New Roman" w:cs="Times New Roman"/>
                <w:w w:val="99"/>
                <w:position w:val="-5"/>
                <w:szCs w:val="20"/>
              </w:rPr>
              <w:t>10</w:t>
            </w:r>
          </w:p>
        </w:tc>
      </w:tr>
      <w:tr w:rsidR="00B77F00">
        <w:tblPrEx>
          <w:tblCellMar>
            <w:top w:w="0" w:type="dxa"/>
            <w:bottom w:w="0" w:type="dxa"/>
          </w:tblCellMar>
        </w:tblPrEx>
        <w:trPr>
          <w:trHeight w:val="170"/>
          <w:jc w:val="right"/>
        </w:trPr>
        <w:tc>
          <w:tcPr>
            <w:tcW w:w="4217"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2"/>
                <w:szCs w:val="20"/>
              </w:rPr>
              <w:t>Z</w:t>
            </w:r>
            <w:r>
              <w:rPr>
                <w:rFonts w:eastAsia="Times New Roman" w:cs="Times New Roman"/>
                <w:spacing w:val="3"/>
                <w:szCs w:val="20"/>
              </w:rPr>
              <w:t>a</w:t>
            </w:r>
            <w:r>
              <w:rPr>
                <w:rFonts w:eastAsia="Times New Roman" w:cs="Times New Roman"/>
                <w:spacing w:val="-2"/>
                <w:szCs w:val="20"/>
              </w:rPr>
              <w:t>w</w:t>
            </w:r>
            <w:r>
              <w:rPr>
                <w:rFonts w:eastAsia="Times New Roman" w:cs="Times New Roman"/>
                <w:szCs w:val="20"/>
              </w:rPr>
              <w:t>a</w:t>
            </w:r>
            <w:r>
              <w:rPr>
                <w:rFonts w:eastAsia="Times New Roman" w:cs="Times New Roman"/>
                <w:spacing w:val="1"/>
                <w:szCs w:val="20"/>
              </w:rPr>
              <w:t>r</w:t>
            </w:r>
            <w:r>
              <w:rPr>
                <w:rFonts w:eastAsia="Times New Roman" w:cs="Times New Roman"/>
                <w:szCs w:val="20"/>
              </w:rPr>
              <w:t>t</w:t>
            </w:r>
            <w:r>
              <w:rPr>
                <w:rFonts w:eastAsia="Times New Roman" w:cs="Times New Roman"/>
                <w:spacing w:val="1"/>
                <w:szCs w:val="20"/>
              </w:rPr>
              <w:t>o</w:t>
            </w:r>
            <w:r>
              <w:rPr>
                <w:rFonts w:eastAsia="Times New Roman" w:cs="Times New Roman"/>
                <w:spacing w:val="-1"/>
                <w:szCs w:val="20"/>
              </w:rPr>
              <w:t>ś</w:t>
            </w:r>
            <w:r>
              <w:rPr>
                <w:rFonts w:eastAsia="Times New Roman" w:cs="Times New Roman"/>
                <w:szCs w:val="20"/>
              </w:rPr>
              <w:t>ć</w:t>
            </w:r>
            <w:r>
              <w:rPr>
                <w:rFonts w:eastAsia="Times New Roman" w:cs="Times New Roman"/>
                <w:spacing w:val="-7"/>
                <w:szCs w:val="20"/>
              </w:rPr>
              <w:t xml:space="preserve"> </w:t>
            </w:r>
            <w:r>
              <w:rPr>
                <w:rFonts w:eastAsia="Times New Roman" w:cs="Times New Roman"/>
                <w:spacing w:val="-1"/>
                <w:szCs w:val="20"/>
              </w:rPr>
              <w:t>C</w:t>
            </w:r>
            <w:r>
              <w:rPr>
                <w:rFonts w:eastAsia="Times New Roman" w:cs="Times New Roman"/>
                <w:spacing w:val="3"/>
                <w:szCs w:val="20"/>
              </w:rPr>
              <w:t>a</w:t>
            </w:r>
            <w:r>
              <w:rPr>
                <w:rFonts w:eastAsia="Times New Roman" w:cs="Times New Roman"/>
                <w:spacing w:val="-1"/>
                <w:szCs w:val="20"/>
              </w:rPr>
              <w:t>C</w:t>
            </w:r>
            <w:r>
              <w:rPr>
                <w:rFonts w:eastAsia="Times New Roman" w:cs="Times New Roman"/>
                <w:szCs w:val="20"/>
              </w:rPr>
              <w:t>O</w:t>
            </w:r>
            <w:r>
              <w:rPr>
                <w:rFonts w:eastAsia="Times New Roman" w:cs="Times New Roman"/>
                <w:position w:val="-5"/>
                <w:szCs w:val="20"/>
              </w:rPr>
              <w:t>3</w:t>
            </w:r>
            <w:r>
              <w:rPr>
                <w:rFonts w:eastAsia="Times New Roman" w:cs="Times New Roman"/>
                <w:spacing w:val="15"/>
                <w:position w:val="-5"/>
                <w:szCs w:val="20"/>
              </w:rPr>
              <w:t xml:space="preserve"> </w:t>
            </w:r>
            <w:r>
              <w:rPr>
                <w:rFonts w:eastAsia="Times New Roman" w:cs="Times New Roman"/>
                <w:szCs w:val="20"/>
              </w:rPr>
              <w:t>w</w:t>
            </w:r>
            <w:r>
              <w:rPr>
                <w:rFonts w:eastAsia="Times New Roman" w:cs="Times New Roman"/>
                <w:spacing w:val="-1"/>
                <w:szCs w:val="20"/>
              </w:rPr>
              <w:t xml:space="preserve"> </w:t>
            </w:r>
            <w:r>
              <w:rPr>
                <w:rFonts w:eastAsia="Times New Roman" w:cs="Times New Roman"/>
                <w:szCs w:val="20"/>
              </w:rPr>
              <w:t>w</w:t>
            </w:r>
            <w:r>
              <w:rPr>
                <w:rFonts w:eastAsia="Times New Roman" w:cs="Times New Roman"/>
                <w:spacing w:val="-1"/>
                <w:szCs w:val="20"/>
              </w:rPr>
              <w:t>y</w:t>
            </w:r>
            <w:r>
              <w:rPr>
                <w:rFonts w:eastAsia="Times New Roman" w:cs="Times New Roman"/>
                <w:spacing w:val="1"/>
                <w:szCs w:val="20"/>
              </w:rPr>
              <w:t>p</w:t>
            </w:r>
            <w:r>
              <w:rPr>
                <w:rFonts w:eastAsia="Times New Roman" w:cs="Times New Roman"/>
                <w:szCs w:val="20"/>
              </w:rPr>
              <w:t>e</w:t>
            </w:r>
            <w:r>
              <w:rPr>
                <w:rFonts w:eastAsia="Times New Roman" w:cs="Times New Roman"/>
                <w:spacing w:val="2"/>
                <w:szCs w:val="20"/>
              </w:rPr>
              <w:t>ł</w:t>
            </w:r>
            <w:r>
              <w:rPr>
                <w:rFonts w:eastAsia="Times New Roman" w:cs="Times New Roman"/>
                <w:spacing w:val="-1"/>
                <w:szCs w:val="20"/>
              </w:rPr>
              <w:t>n</w:t>
            </w:r>
            <w:r>
              <w:rPr>
                <w:rFonts w:eastAsia="Times New Roman" w:cs="Times New Roman"/>
                <w:szCs w:val="20"/>
              </w:rPr>
              <w:t>i</w:t>
            </w:r>
            <w:r>
              <w:rPr>
                <w:rFonts w:eastAsia="Times New Roman" w:cs="Times New Roman"/>
                <w:spacing w:val="2"/>
                <w:szCs w:val="20"/>
              </w:rPr>
              <w:t>a</w:t>
            </w:r>
            <w:r>
              <w:rPr>
                <w:rFonts w:eastAsia="Times New Roman" w:cs="Times New Roman"/>
                <w:szCs w:val="20"/>
              </w:rPr>
              <w:t>c</w:t>
            </w:r>
            <w:r>
              <w:rPr>
                <w:rFonts w:eastAsia="Times New Roman" w:cs="Times New Roman"/>
                <w:spacing w:val="1"/>
                <w:szCs w:val="20"/>
              </w:rPr>
              <w:t>z</w:t>
            </w:r>
            <w:r>
              <w:rPr>
                <w:rFonts w:eastAsia="Times New Roman" w:cs="Times New Roman"/>
                <w:szCs w:val="20"/>
              </w:rPr>
              <w:t xml:space="preserve">u </w:t>
            </w:r>
            <w:r>
              <w:rPr>
                <w:rFonts w:eastAsia="Times New Roman" w:cs="Times New Roman"/>
                <w:spacing w:val="-2"/>
                <w:szCs w:val="20"/>
              </w:rPr>
              <w:t>w</w:t>
            </w:r>
            <w:r>
              <w:rPr>
                <w:rFonts w:eastAsia="Times New Roman" w:cs="Times New Roman"/>
                <w:szCs w:val="20"/>
              </w:rPr>
              <w:t>a</w:t>
            </w:r>
            <w:r>
              <w:rPr>
                <w:rFonts w:eastAsia="Times New Roman" w:cs="Times New Roman"/>
                <w:spacing w:val="1"/>
                <w:szCs w:val="20"/>
              </w:rPr>
              <w:t>p</w:t>
            </w:r>
            <w:r>
              <w:rPr>
                <w:rFonts w:eastAsia="Times New Roman" w:cs="Times New Roman"/>
                <w:szCs w:val="20"/>
              </w:rPr>
              <w:t>i</w:t>
            </w:r>
            <w:r>
              <w:rPr>
                <w:rFonts w:eastAsia="Times New Roman" w:cs="Times New Roman"/>
                <w:spacing w:val="2"/>
                <w:szCs w:val="20"/>
              </w:rPr>
              <w:t>e</w:t>
            </w:r>
            <w:r>
              <w:rPr>
                <w:rFonts w:eastAsia="Times New Roman" w:cs="Times New Roman"/>
                <w:spacing w:val="-1"/>
                <w:szCs w:val="20"/>
              </w:rPr>
              <w:t>n</w:t>
            </w:r>
            <w:r>
              <w:rPr>
                <w:rFonts w:eastAsia="Times New Roman" w:cs="Times New Roman"/>
                <w:spacing w:val="1"/>
                <w:szCs w:val="20"/>
              </w:rPr>
              <w:t>ny</w:t>
            </w:r>
            <w:r>
              <w:rPr>
                <w:rFonts w:eastAsia="Times New Roman" w:cs="Times New Roman"/>
                <w:szCs w:val="20"/>
              </w:rPr>
              <w:t>m</w:t>
            </w:r>
            <w:r>
              <w:rPr>
                <w:rFonts w:eastAsia="Times New Roman" w:cs="Times New Roman"/>
                <w:spacing w:val="-8"/>
                <w:szCs w:val="20"/>
              </w:rPr>
              <w:t xml:space="preserve"> </w:t>
            </w:r>
            <w:r>
              <w:rPr>
                <w:rFonts w:eastAsia="Times New Roman" w:cs="Times New Roman"/>
                <w:spacing w:val="-2"/>
                <w:szCs w:val="20"/>
              </w:rPr>
              <w:t>w</w:t>
            </w:r>
            <w:r>
              <w:rPr>
                <w:rFonts w:eastAsia="Times New Roman" w:cs="Times New Roman"/>
                <w:szCs w:val="20"/>
              </w:rPr>
              <w:t>e</w:t>
            </w:r>
            <w:r>
              <w:rPr>
                <w:rFonts w:eastAsia="Times New Roman" w:cs="Times New Roman"/>
                <w:spacing w:val="1"/>
                <w:szCs w:val="20"/>
              </w:rPr>
              <w:t>d</w:t>
            </w:r>
            <w:r>
              <w:rPr>
                <w:rFonts w:eastAsia="Times New Roman" w:cs="Times New Roman"/>
                <w:szCs w:val="20"/>
              </w:rPr>
              <w:t>ł</w:t>
            </w:r>
            <w:r>
              <w:rPr>
                <w:rFonts w:eastAsia="Times New Roman" w:cs="Times New Roman"/>
                <w:spacing w:val="1"/>
                <w:szCs w:val="20"/>
              </w:rPr>
              <w:t>u</w:t>
            </w:r>
            <w:r>
              <w:rPr>
                <w:rFonts w:eastAsia="Times New Roman" w:cs="Times New Roman"/>
                <w:szCs w:val="20"/>
              </w:rPr>
              <w:t>g</w:t>
            </w:r>
            <w:r>
              <w:rPr>
                <w:rFonts w:eastAsia="Times New Roman" w:cs="Times New Roman"/>
                <w:spacing w:val="-7"/>
                <w:szCs w:val="20"/>
              </w:rPr>
              <w:t xml:space="preserve"> </w:t>
            </w:r>
            <w:r>
              <w:rPr>
                <w:rFonts w:eastAsia="Times New Roman" w:cs="Times New Roman"/>
                <w:spacing w:val="2"/>
                <w:szCs w:val="20"/>
              </w:rPr>
              <w:t>P</w:t>
            </w:r>
            <w:r>
              <w:rPr>
                <w:rFonts w:eastAsia="Times New Roman" w:cs="Times New Roman"/>
                <w:spacing w:val="3"/>
                <w:szCs w:val="20"/>
              </w:rPr>
              <w:t>N</w:t>
            </w:r>
            <w:r>
              <w:rPr>
                <w:rFonts w:eastAsia="Times New Roman" w:cs="Times New Roman"/>
                <w:spacing w:val="-2"/>
                <w:szCs w:val="20"/>
              </w:rPr>
              <w:t>-</w:t>
            </w:r>
            <w:r>
              <w:rPr>
                <w:rFonts w:eastAsia="Times New Roman" w:cs="Times New Roman"/>
                <w:szCs w:val="20"/>
              </w:rPr>
              <w:t>EN</w:t>
            </w:r>
            <w:r>
              <w:rPr>
                <w:rFonts w:eastAsia="Times New Roman" w:cs="Times New Roman"/>
                <w:spacing w:val="-6"/>
                <w:szCs w:val="20"/>
              </w:rPr>
              <w:t xml:space="preserve"> </w:t>
            </w:r>
            <w:r>
              <w:rPr>
                <w:rFonts w:eastAsia="Times New Roman" w:cs="Times New Roman"/>
                <w:spacing w:val="3"/>
                <w:szCs w:val="20"/>
              </w:rPr>
              <w:t>1</w:t>
            </w:r>
            <w:r>
              <w:rPr>
                <w:rFonts w:eastAsia="Times New Roman" w:cs="Times New Roman"/>
                <w:spacing w:val="1"/>
                <w:szCs w:val="20"/>
              </w:rPr>
              <w:t>9</w:t>
            </w:r>
            <w:r>
              <w:rPr>
                <w:rFonts w:eastAsia="Times New Roman" w:cs="Times New Roman"/>
                <w:spacing w:val="2"/>
                <w:szCs w:val="20"/>
              </w:rPr>
              <w:t>6</w:t>
            </w:r>
            <w:r>
              <w:rPr>
                <w:rFonts w:eastAsia="Times New Roman" w:cs="Times New Roman"/>
                <w:spacing w:val="-2"/>
                <w:szCs w:val="20"/>
              </w:rPr>
              <w:t>-</w:t>
            </w:r>
            <w:r>
              <w:rPr>
                <w:rFonts w:eastAsia="Times New Roman" w:cs="Times New Roman"/>
                <w:spacing w:val="1"/>
                <w:szCs w:val="20"/>
              </w:rPr>
              <w:t>2</w:t>
            </w:r>
            <w:r>
              <w:rPr>
                <w:rFonts w:eastAsia="Times New Roman" w:cs="Times New Roman"/>
                <w:szCs w:val="20"/>
              </w:rPr>
              <w:t xml:space="preserve">, </w:t>
            </w:r>
            <w:r>
              <w:rPr>
                <w:rFonts w:eastAsia="Times New Roman" w:cs="Times New Roman"/>
                <w:spacing w:val="-1"/>
                <w:szCs w:val="20"/>
              </w:rPr>
              <w:t>k</w:t>
            </w:r>
            <w:r>
              <w:rPr>
                <w:rFonts w:eastAsia="Times New Roman" w:cs="Times New Roman"/>
                <w:szCs w:val="20"/>
              </w:rPr>
              <w:t>ate</w:t>
            </w:r>
            <w:r>
              <w:rPr>
                <w:rFonts w:eastAsia="Times New Roman" w:cs="Times New Roman"/>
                <w:spacing w:val="-1"/>
                <w:szCs w:val="20"/>
              </w:rPr>
              <w:t>g</w:t>
            </w:r>
            <w:r>
              <w:rPr>
                <w:rFonts w:eastAsia="Times New Roman" w:cs="Times New Roman"/>
                <w:spacing w:val="1"/>
                <w:szCs w:val="20"/>
              </w:rPr>
              <w:t>or</w:t>
            </w:r>
            <w:r>
              <w:rPr>
                <w:rFonts w:eastAsia="Times New Roman" w:cs="Times New Roman"/>
                <w:szCs w:val="20"/>
              </w:rPr>
              <w:t>ia</w:t>
            </w:r>
            <w:r>
              <w:rPr>
                <w:rFonts w:eastAsia="Times New Roman" w:cs="Times New Roman"/>
                <w:spacing w:val="-4"/>
                <w:szCs w:val="20"/>
              </w:rPr>
              <w:t xml:space="preserve"> </w:t>
            </w:r>
            <w:r>
              <w:rPr>
                <w:rFonts w:eastAsia="Times New Roman" w:cs="Times New Roman"/>
                <w:spacing w:val="-1"/>
                <w:szCs w:val="20"/>
              </w:rPr>
              <w:t>n</w:t>
            </w:r>
            <w:r>
              <w:rPr>
                <w:rFonts w:eastAsia="Times New Roman" w:cs="Times New Roman"/>
                <w:szCs w:val="20"/>
              </w:rPr>
              <w:t>ie</w:t>
            </w:r>
            <w:r>
              <w:rPr>
                <w:rFonts w:eastAsia="Times New Roman" w:cs="Times New Roman"/>
                <w:spacing w:val="-2"/>
                <w:szCs w:val="20"/>
              </w:rPr>
              <w:t xml:space="preserve"> </w:t>
            </w:r>
            <w:r>
              <w:rPr>
                <w:rFonts w:eastAsia="Times New Roman" w:cs="Times New Roman"/>
                <w:spacing w:val="-1"/>
                <w:szCs w:val="20"/>
              </w:rPr>
              <w:t>n</w:t>
            </w:r>
            <w:r>
              <w:rPr>
                <w:rFonts w:eastAsia="Times New Roman" w:cs="Times New Roman"/>
                <w:szCs w:val="20"/>
              </w:rPr>
              <w:t>i</w:t>
            </w:r>
            <w:r>
              <w:rPr>
                <w:rFonts w:eastAsia="Times New Roman" w:cs="Times New Roman"/>
                <w:spacing w:val="2"/>
                <w:szCs w:val="20"/>
              </w:rPr>
              <w:t>ż</w:t>
            </w:r>
            <w:r>
              <w:rPr>
                <w:rFonts w:eastAsia="Times New Roman" w:cs="Times New Roman"/>
                <w:spacing w:val="-1"/>
                <w:szCs w:val="20"/>
              </w:rPr>
              <w:t>s</w:t>
            </w:r>
            <w:r>
              <w:rPr>
                <w:rFonts w:eastAsia="Times New Roman" w:cs="Times New Roman"/>
                <w:szCs w:val="20"/>
              </w:rPr>
              <w:t>za</w:t>
            </w:r>
            <w:r>
              <w:rPr>
                <w:rFonts w:eastAsia="Times New Roman" w:cs="Times New Roman"/>
                <w:spacing w:val="-4"/>
                <w:szCs w:val="20"/>
              </w:rPr>
              <w:t xml:space="preserve"> </w:t>
            </w:r>
            <w:r>
              <w:rPr>
                <w:rFonts w:eastAsia="Times New Roman" w:cs="Times New Roman"/>
                <w:spacing w:val="-1"/>
                <w:szCs w:val="20"/>
              </w:rPr>
              <w:t>n</w:t>
            </w:r>
            <w:r>
              <w:rPr>
                <w:rFonts w:eastAsia="Times New Roman" w:cs="Times New Roman"/>
                <w:szCs w:val="20"/>
              </w:rPr>
              <w:t>i</w:t>
            </w:r>
            <w:r>
              <w:rPr>
                <w:rFonts w:eastAsia="Times New Roman" w:cs="Times New Roman"/>
                <w:spacing w:val="2"/>
                <w:szCs w:val="20"/>
              </w:rPr>
              <w:t>ż</w:t>
            </w:r>
            <w:r>
              <w:rPr>
                <w:rFonts w:eastAsia="Times New Roman" w:cs="Times New Roman"/>
                <w:szCs w:val="20"/>
              </w:rPr>
              <w:t>:</w:t>
            </w:r>
          </w:p>
        </w:tc>
        <w:tc>
          <w:tcPr>
            <w:tcW w:w="5421" w:type="dxa"/>
            <w:gridSpan w:val="3"/>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1"/>
                <w:w w:val="99"/>
                <w:szCs w:val="20"/>
              </w:rPr>
              <w:t>CC</w:t>
            </w:r>
            <w:r>
              <w:rPr>
                <w:rFonts w:eastAsia="Times New Roman" w:cs="Times New Roman"/>
                <w:w w:val="99"/>
                <w:position w:val="-5"/>
                <w:szCs w:val="20"/>
              </w:rPr>
              <w:t>70</w:t>
            </w:r>
          </w:p>
        </w:tc>
      </w:tr>
      <w:tr w:rsidR="00B77F00">
        <w:tblPrEx>
          <w:tblCellMar>
            <w:top w:w="0" w:type="dxa"/>
            <w:bottom w:w="0" w:type="dxa"/>
          </w:tblCellMar>
        </w:tblPrEx>
        <w:trPr>
          <w:trHeight w:val="170"/>
          <w:jc w:val="right"/>
        </w:trPr>
        <w:tc>
          <w:tcPr>
            <w:tcW w:w="4217"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2"/>
                <w:szCs w:val="20"/>
              </w:rPr>
              <w:t>Z</w:t>
            </w:r>
            <w:r>
              <w:rPr>
                <w:rFonts w:eastAsia="Times New Roman" w:cs="Times New Roman"/>
                <w:spacing w:val="3"/>
                <w:szCs w:val="20"/>
              </w:rPr>
              <w:t>a</w:t>
            </w:r>
            <w:r>
              <w:rPr>
                <w:rFonts w:eastAsia="Times New Roman" w:cs="Times New Roman"/>
                <w:spacing w:val="-2"/>
                <w:szCs w:val="20"/>
              </w:rPr>
              <w:t>w</w:t>
            </w:r>
            <w:r>
              <w:rPr>
                <w:rFonts w:eastAsia="Times New Roman" w:cs="Times New Roman"/>
                <w:szCs w:val="20"/>
              </w:rPr>
              <w:t>a</w:t>
            </w:r>
            <w:r>
              <w:rPr>
                <w:rFonts w:eastAsia="Times New Roman" w:cs="Times New Roman"/>
                <w:spacing w:val="1"/>
                <w:szCs w:val="20"/>
              </w:rPr>
              <w:t>r</w:t>
            </w:r>
            <w:r>
              <w:rPr>
                <w:rFonts w:eastAsia="Times New Roman" w:cs="Times New Roman"/>
                <w:szCs w:val="20"/>
              </w:rPr>
              <w:t>t</w:t>
            </w:r>
            <w:r>
              <w:rPr>
                <w:rFonts w:eastAsia="Times New Roman" w:cs="Times New Roman"/>
                <w:spacing w:val="1"/>
                <w:szCs w:val="20"/>
              </w:rPr>
              <w:t>o</w:t>
            </w:r>
            <w:r>
              <w:rPr>
                <w:rFonts w:eastAsia="Times New Roman" w:cs="Times New Roman"/>
                <w:spacing w:val="-1"/>
                <w:szCs w:val="20"/>
              </w:rPr>
              <w:t>ś</w:t>
            </w:r>
            <w:r>
              <w:rPr>
                <w:rFonts w:eastAsia="Times New Roman" w:cs="Times New Roman"/>
                <w:szCs w:val="20"/>
              </w:rPr>
              <w:t>ć</w:t>
            </w:r>
            <w:r>
              <w:rPr>
                <w:rFonts w:eastAsia="Times New Roman" w:cs="Times New Roman"/>
                <w:spacing w:val="-5"/>
                <w:szCs w:val="20"/>
              </w:rPr>
              <w:t xml:space="preserve"> </w:t>
            </w:r>
            <w:r>
              <w:rPr>
                <w:rFonts w:eastAsia="Times New Roman" w:cs="Times New Roman"/>
                <w:spacing w:val="-2"/>
                <w:szCs w:val="20"/>
              </w:rPr>
              <w:t>w</w:t>
            </w:r>
            <w:r>
              <w:rPr>
                <w:rFonts w:eastAsia="Times New Roman" w:cs="Times New Roman"/>
                <w:spacing w:val="1"/>
                <w:szCs w:val="20"/>
              </w:rPr>
              <w:t>odoro</w:t>
            </w:r>
            <w:r>
              <w:rPr>
                <w:rFonts w:eastAsia="Times New Roman" w:cs="Times New Roman"/>
                <w:szCs w:val="20"/>
              </w:rPr>
              <w:t>tle</w:t>
            </w:r>
            <w:r>
              <w:rPr>
                <w:rFonts w:eastAsia="Times New Roman" w:cs="Times New Roman"/>
                <w:spacing w:val="-1"/>
                <w:szCs w:val="20"/>
              </w:rPr>
              <w:t>n</w:t>
            </w:r>
            <w:r>
              <w:rPr>
                <w:rFonts w:eastAsia="Times New Roman" w:cs="Times New Roman"/>
                <w:spacing w:val="1"/>
                <w:szCs w:val="20"/>
              </w:rPr>
              <w:t>k</w:t>
            </w:r>
            <w:r>
              <w:rPr>
                <w:rFonts w:eastAsia="Times New Roman" w:cs="Times New Roman"/>
                <w:szCs w:val="20"/>
              </w:rPr>
              <w:t>u</w:t>
            </w:r>
            <w:r>
              <w:rPr>
                <w:rFonts w:eastAsia="Times New Roman" w:cs="Times New Roman"/>
                <w:spacing w:val="-10"/>
                <w:szCs w:val="20"/>
              </w:rPr>
              <w:t xml:space="preserve"> </w:t>
            </w:r>
            <w:r>
              <w:rPr>
                <w:rFonts w:eastAsia="Times New Roman" w:cs="Times New Roman"/>
                <w:spacing w:val="-2"/>
                <w:szCs w:val="20"/>
              </w:rPr>
              <w:t>w</w:t>
            </w:r>
            <w:r>
              <w:rPr>
                <w:rFonts w:eastAsia="Times New Roman" w:cs="Times New Roman"/>
                <w:szCs w:val="20"/>
              </w:rPr>
              <w:t>a</w:t>
            </w:r>
            <w:r>
              <w:rPr>
                <w:rFonts w:eastAsia="Times New Roman" w:cs="Times New Roman"/>
                <w:spacing w:val="4"/>
                <w:szCs w:val="20"/>
              </w:rPr>
              <w:t>p</w:t>
            </w:r>
            <w:r>
              <w:rPr>
                <w:rFonts w:eastAsia="Times New Roman" w:cs="Times New Roman"/>
                <w:spacing w:val="-1"/>
                <w:szCs w:val="20"/>
              </w:rPr>
              <w:t>n</w:t>
            </w:r>
            <w:r>
              <w:rPr>
                <w:rFonts w:eastAsia="Times New Roman" w:cs="Times New Roman"/>
                <w:szCs w:val="20"/>
              </w:rPr>
              <w:t>ia</w:t>
            </w:r>
            <w:r>
              <w:rPr>
                <w:rFonts w:eastAsia="Times New Roman" w:cs="Times New Roman"/>
                <w:spacing w:val="-3"/>
                <w:szCs w:val="20"/>
              </w:rPr>
              <w:t xml:space="preserve"> </w:t>
            </w:r>
            <w:r>
              <w:rPr>
                <w:rFonts w:eastAsia="Times New Roman" w:cs="Times New Roman"/>
                <w:szCs w:val="20"/>
              </w:rPr>
              <w:t>w w</w:t>
            </w:r>
            <w:r>
              <w:rPr>
                <w:rFonts w:eastAsia="Times New Roman" w:cs="Times New Roman"/>
                <w:spacing w:val="-1"/>
                <w:szCs w:val="20"/>
              </w:rPr>
              <w:t>y</w:t>
            </w:r>
            <w:r>
              <w:rPr>
                <w:rFonts w:eastAsia="Times New Roman" w:cs="Times New Roman"/>
                <w:spacing w:val="1"/>
                <w:szCs w:val="20"/>
              </w:rPr>
              <w:t>p</w:t>
            </w:r>
            <w:r>
              <w:rPr>
                <w:rFonts w:eastAsia="Times New Roman" w:cs="Times New Roman"/>
                <w:szCs w:val="20"/>
              </w:rPr>
              <w:t>eł</w:t>
            </w:r>
            <w:r>
              <w:rPr>
                <w:rFonts w:eastAsia="Times New Roman" w:cs="Times New Roman"/>
                <w:spacing w:val="-1"/>
                <w:szCs w:val="20"/>
              </w:rPr>
              <w:t>n</w:t>
            </w:r>
            <w:r>
              <w:rPr>
                <w:rFonts w:eastAsia="Times New Roman" w:cs="Times New Roman"/>
                <w:szCs w:val="20"/>
              </w:rPr>
              <w:t>iac</w:t>
            </w:r>
            <w:r>
              <w:rPr>
                <w:rFonts w:eastAsia="Times New Roman" w:cs="Times New Roman"/>
                <w:spacing w:val="3"/>
                <w:szCs w:val="20"/>
              </w:rPr>
              <w:t>z</w:t>
            </w:r>
            <w:r>
              <w:rPr>
                <w:rFonts w:eastAsia="Times New Roman" w:cs="Times New Roman"/>
                <w:szCs w:val="20"/>
              </w:rPr>
              <w:t>u</w:t>
            </w:r>
            <w:r>
              <w:rPr>
                <w:rFonts w:eastAsia="Times New Roman" w:cs="Times New Roman"/>
                <w:spacing w:val="-9"/>
                <w:szCs w:val="20"/>
              </w:rPr>
              <w:t xml:space="preserve"> </w:t>
            </w:r>
            <w:r>
              <w:rPr>
                <w:rFonts w:eastAsia="Times New Roman" w:cs="Times New Roman"/>
                <w:spacing w:val="-1"/>
                <w:szCs w:val="20"/>
              </w:rPr>
              <w:t>m</w:t>
            </w:r>
            <w:r>
              <w:rPr>
                <w:rFonts w:eastAsia="Times New Roman" w:cs="Times New Roman"/>
                <w:szCs w:val="20"/>
              </w:rPr>
              <w:t>iesz</w:t>
            </w:r>
            <w:r>
              <w:rPr>
                <w:rFonts w:eastAsia="Times New Roman" w:cs="Times New Roman"/>
                <w:spacing w:val="2"/>
                <w:szCs w:val="20"/>
              </w:rPr>
              <w:t>a</w:t>
            </w:r>
            <w:r>
              <w:rPr>
                <w:rFonts w:eastAsia="Times New Roman" w:cs="Times New Roman"/>
                <w:spacing w:val="1"/>
                <w:szCs w:val="20"/>
              </w:rPr>
              <w:t>ny</w:t>
            </w:r>
            <w:r>
              <w:rPr>
                <w:rFonts w:eastAsia="Times New Roman" w:cs="Times New Roman"/>
                <w:spacing w:val="-4"/>
                <w:szCs w:val="20"/>
              </w:rPr>
              <w:t>m</w:t>
            </w:r>
            <w:r>
              <w:rPr>
                <w:rFonts w:eastAsia="Times New Roman" w:cs="Times New Roman"/>
                <w:szCs w:val="20"/>
              </w:rPr>
              <w:t>,</w:t>
            </w:r>
            <w:r>
              <w:rPr>
                <w:rFonts w:eastAsia="Times New Roman" w:cs="Times New Roman"/>
                <w:spacing w:val="-7"/>
                <w:szCs w:val="20"/>
              </w:rPr>
              <w:t xml:space="preserve"> </w:t>
            </w:r>
            <w:r>
              <w:rPr>
                <w:rFonts w:eastAsia="Times New Roman" w:cs="Times New Roman"/>
                <w:szCs w:val="20"/>
              </w:rPr>
              <w:t>w</w:t>
            </w:r>
            <w:r>
              <w:rPr>
                <w:rFonts w:eastAsia="Times New Roman" w:cs="Times New Roman"/>
                <w:spacing w:val="1"/>
                <w:szCs w:val="20"/>
              </w:rPr>
              <w:t>y</w:t>
            </w:r>
            <w:r>
              <w:rPr>
                <w:rFonts w:eastAsia="Times New Roman" w:cs="Times New Roman"/>
                <w:spacing w:val="-1"/>
                <w:szCs w:val="20"/>
              </w:rPr>
              <w:t>m</w:t>
            </w:r>
            <w:r>
              <w:rPr>
                <w:rFonts w:eastAsia="Times New Roman" w:cs="Times New Roman"/>
                <w:szCs w:val="20"/>
              </w:rPr>
              <w:t>a</w:t>
            </w:r>
            <w:r>
              <w:rPr>
                <w:rFonts w:eastAsia="Times New Roman" w:cs="Times New Roman"/>
                <w:spacing w:val="-1"/>
                <w:szCs w:val="20"/>
              </w:rPr>
              <w:t>g</w:t>
            </w:r>
            <w:r>
              <w:rPr>
                <w:rFonts w:eastAsia="Times New Roman" w:cs="Times New Roman"/>
                <w:spacing w:val="3"/>
                <w:szCs w:val="20"/>
              </w:rPr>
              <w:t>a</w:t>
            </w:r>
            <w:r>
              <w:rPr>
                <w:rFonts w:eastAsia="Times New Roman" w:cs="Times New Roman"/>
                <w:spacing w:val="-1"/>
                <w:szCs w:val="20"/>
              </w:rPr>
              <w:t>n</w:t>
            </w:r>
            <w:r>
              <w:rPr>
                <w:rFonts w:eastAsia="Times New Roman" w:cs="Times New Roman"/>
                <w:szCs w:val="20"/>
              </w:rPr>
              <w:t xml:space="preserve">a </w:t>
            </w:r>
            <w:r>
              <w:rPr>
                <w:rFonts w:eastAsia="Times New Roman" w:cs="Times New Roman"/>
                <w:spacing w:val="-1"/>
                <w:szCs w:val="20"/>
              </w:rPr>
              <w:t>k</w:t>
            </w:r>
            <w:r>
              <w:rPr>
                <w:rFonts w:eastAsia="Times New Roman" w:cs="Times New Roman"/>
                <w:szCs w:val="20"/>
              </w:rPr>
              <w:t>ate</w:t>
            </w:r>
            <w:r>
              <w:rPr>
                <w:rFonts w:eastAsia="Times New Roman" w:cs="Times New Roman"/>
                <w:spacing w:val="-1"/>
                <w:szCs w:val="20"/>
              </w:rPr>
              <w:t>g</w:t>
            </w:r>
            <w:r>
              <w:rPr>
                <w:rFonts w:eastAsia="Times New Roman" w:cs="Times New Roman"/>
                <w:spacing w:val="1"/>
                <w:szCs w:val="20"/>
              </w:rPr>
              <w:t>or</w:t>
            </w:r>
            <w:r>
              <w:rPr>
                <w:rFonts w:eastAsia="Times New Roman" w:cs="Times New Roman"/>
                <w:szCs w:val="20"/>
              </w:rPr>
              <w:t>ia:</w:t>
            </w:r>
          </w:p>
        </w:tc>
        <w:tc>
          <w:tcPr>
            <w:tcW w:w="5421" w:type="dxa"/>
            <w:gridSpan w:val="3"/>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w w:val="99"/>
                <w:position w:val="3"/>
                <w:szCs w:val="20"/>
              </w:rPr>
              <w:t>K</w:t>
            </w:r>
            <w:r>
              <w:rPr>
                <w:rFonts w:eastAsia="Times New Roman" w:cs="Times New Roman"/>
                <w:w w:val="99"/>
                <w:szCs w:val="20"/>
              </w:rPr>
              <w:t>aDeklarowana</w:t>
            </w:r>
          </w:p>
        </w:tc>
      </w:tr>
      <w:tr w:rsidR="00B77F00">
        <w:tblPrEx>
          <w:tblCellMar>
            <w:top w:w="0" w:type="dxa"/>
            <w:bottom w:w="0" w:type="dxa"/>
          </w:tblCellMar>
        </w:tblPrEx>
        <w:trPr>
          <w:trHeight w:val="170"/>
          <w:jc w:val="right"/>
        </w:trPr>
        <w:tc>
          <w:tcPr>
            <w:tcW w:w="4217"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w:t>
            </w:r>
            <w:r>
              <w:rPr>
                <w:rFonts w:eastAsia="Times New Roman" w:cs="Times New Roman"/>
                <w:spacing w:val="-1"/>
                <w:szCs w:val="20"/>
              </w:rPr>
              <w:t>L</w:t>
            </w:r>
            <w:r>
              <w:rPr>
                <w:rFonts w:eastAsia="Times New Roman" w:cs="Times New Roman"/>
                <w:szCs w:val="20"/>
              </w:rPr>
              <w:t>icz</w:t>
            </w:r>
            <w:r>
              <w:rPr>
                <w:rFonts w:eastAsia="Times New Roman" w:cs="Times New Roman"/>
                <w:spacing w:val="2"/>
                <w:szCs w:val="20"/>
              </w:rPr>
              <w:t>b</w:t>
            </w:r>
            <w:r>
              <w:rPr>
                <w:rFonts w:eastAsia="Times New Roman" w:cs="Times New Roman"/>
                <w:szCs w:val="20"/>
              </w:rPr>
              <w:t>a</w:t>
            </w:r>
            <w:r>
              <w:rPr>
                <w:rFonts w:eastAsia="Times New Roman" w:cs="Times New Roman"/>
                <w:spacing w:val="-5"/>
                <w:szCs w:val="20"/>
              </w:rPr>
              <w:t xml:space="preserve"> </w:t>
            </w:r>
            <w:r>
              <w:rPr>
                <w:rFonts w:eastAsia="Times New Roman" w:cs="Times New Roman"/>
                <w:szCs w:val="20"/>
              </w:rPr>
              <w:t>a</w:t>
            </w:r>
            <w:r>
              <w:rPr>
                <w:rFonts w:eastAsia="Times New Roman" w:cs="Times New Roman"/>
                <w:spacing w:val="2"/>
                <w:szCs w:val="20"/>
              </w:rPr>
              <w:t>s</w:t>
            </w:r>
            <w:r>
              <w:rPr>
                <w:rFonts w:eastAsia="Times New Roman" w:cs="Times New Roman"/>
                <w:spacing w:val="-2"/>
                <w:szCs w:val="20"/>
              </w:rPr>
              <w:t>f</w:t>
            </w:r>
            <w:r>
              <w:rPr>
                <w:rFonts w:eastAsia="Times New Roman" w:cs="Times New Roman"/>
                <w:szCs w:val="20"/>
              </w:rPr>
              <w:t>alt</w:t>
            </w:r>
            <w:r>
              <w:rPr>
                <w:rFonts w:eastAsia="Times New Roman" w:cs="Times New Roman"/>
                <w:spacing w:val="3"/>
                <w:szCs w:val="20"/>
              </w:rPr>
              <w:t>o</w:t>
            </w:r>
            <w:r>
              <w:rPr>
                <w:rFonts w:eastAsia="Times New Roman" w:cs="Times New Roman"/>
                <w:spacing w:val="-2"/>
                <w:szCs w:val="20"/>
              </w:rPr>
              <w:t>w</w:t>
            </w:r>
            <w:r>
              <w:rPr>
                <w:rFonts w:eastAsia="Times New Roman" w:cs="Times New Roman"/>
                <w:szCs w:val="20"/>
              </w:rPr>
              <w:t>a”</w:t>
            </w:r>
            <w:r>
              <w:rPr>
                <w:rFonts w:eastAsia="Times New Roman" w:cs="Times New Roman"/>
                <w:spacing w:val="-6"/>
                <w:szCs w:val="20"/>
              </w:rPr>
              <w:t xml:space="preserve"> </w:t>
            </w:r>
            <w:r>
              <w:rPr>
                <w:rFonts w:eastAsia="Times New Roman" w:cs="Times New Roman"/>
                <w:spacing w:val="-2"/>
                <w:szCs w:val="20"/>
              </w:rPr>
              <w:t>w</w:t>
            </w:r>
            <w:r>
              <w:rPr>
                <w:rFonts w:eastAsia="Times New Roman" w:cs="Times New Roman"/>
                <w:szCs w:val="20"/>
              </w:rPr>
              <w:t>e</w:t>
            </w:r>
            <w:r>
              <w:rPr>
                <w:rFonts w:eastAsia="Times New Roman" w:cs="Times New Roman"/>
                <w:spacing w:val="1"/>
                <w:szCs w:val="20"/>
              </w:rPr>
              <w:t>d</w:t>
            </w:r>
            <w:r>
              <w:rPr>
                <w:rFonts w:eastAsia="Times New Roman" w:cs="Times New Roman"/>
                <w:szCs w:val="20"/>
              </w:rPr>
              <w:t>ł</w:t>
            </w:r>
            <w:r>
              <w:rPr>
                <w:rFonts w:eastAsia="Times New Roman" w:cs="Times New Roman"/>
                <w:spacing w:val="1"/>
                <w:szCs w:val="20"/>
              </w:rPr>
              <w:t>u</w:t>
            </w:r>
            <w:r>
              <w:rPr>
                <w:rFonts w:eastAsia="Times New Roman" w:cs="Times New Roman"/>
                <w:szCs w:val="20"/>
              </w:rPr>
              <w:t>g</w:t>
            </w:r>
            <w:r>
              <w:rPr>
                <w:rFonts w:eastAsia="Times New Roman" w:cs="Times New Roman"/>
                <w:spacing w:val="-7"/>
                <w:szCs w:val="20"/>
              </w:rPr>
              <w:t xml:space="preserve"> </w:t>
            </w:r>
            <w:r>
              <w:rPr>
                <w:rFonts w:eastAsia="Times New Roman" w:cs="Times New Roman"/>
                <w:spacing w:val="2"/>
                <w:szCs w:val="20"/>
              </w:rPr>
              <w:t>P</w:t>
            </w:r>
            <w:r>
              <w:rPr>
                <w:rFonts w:eastAsia="Times New Roman" w:cs="Times New Roman"/>
                <w:spacing w:val="3"/>
                <w:szCs w:val="20"/>
              </w:rPr>
              <w:t>N</w:t>
            </w:r>
            <w:r>
              <w:rPr>
                <w:rFonts w:eastAsia="Times New Roman" w:cs="Times New Roman"/>
                <w:spacing w:val="-2"/>
                <w:szCs w:val="20"/>
              </w:rPr>
              <w:t>-</w:t>
            </w:r>
            <w:r>
              <w:rPr>
                <w:rFonts w:eastAsia="Times New Roman" w:cs="Times New Roman"/>
                <w:szCs w:val="20"/>
              </w:rPr>
              <w:t xml:space="preserve">EN </w:t>
            </w:r>
            <w:r>
              <w:rPr>
                <w:rFonts w:eastAsia="Times New Roman" w:cs="Times New Roman"/>
                <w:spacing w:val="1"/>
                <w:szCs w:val="20"/>
              </w:rPr>
              <w:t>131</w:t>
            </w:r>
            <w:r>
              <w:rPr>
                <w:rFonts w:eastAsia="Times New Roman" w:cs="Times New Roman"/>
                <w:spacing w:val="-1"/>
                <w:szCs w:val="20"/>
              </w:rPr>
              <w:t>7</w:t>
            </w:r>
            <w:r>
              <w:rPr>
                <w:rFonts w:eastAsia="Times New Roman" w:cs="Times New Roman"/>
                <w:spacing w:val="2"/>
                <w:szCs w:val="20"/>
              </w:rPr>
              <w:t>9</w:t>
            </w:r>
            <w:r>
              <w:rPr>
                <w:rFonts w:eastAsia="Times New Roman" w:cs="Times New Roman"/>
                <w:spacing w:val="-2"/>
                <w:szCs w:val="20"/>
              </w:rPr>
              <w:t>-</w:t>
            </w:r>
            <w:r>
              <w:rPr>
                <w:rFonts w:eastAsia="Times New Roman" w:cs="Times New Roman"/>
                <w:spacing w:val="1"/>
                <w:szCs w:val="20"/>
              </w:rPr>
              <w:t>2</w:t>
            </w:r>
            <w:r>
              <w:rPr>
                <w:rFonts w:eastAsia="Times New Roman" w:cs="Times New Roman"/>
                <w:szCs w:val="20"/>
              </w:rPr>
              <w:t>,</w:t>
            </w:r>
            <w:r>
              <w:rPr>
                <w:rFonts w:eastAsia="Times New Roman" w:cs="Times New Roman"/>
                <w:spacing w:val="-4"/>
                <w:szCs w:val="20"/>
              </w:rPr>
              <w:t xml:space="preserve"> </w:t>
            </w:r>
            <w:r>
              <w:rPr>
                <w:rFonts w:eastAsia="Times New Roman" w:cs="Times New Roman"/>
                <w:spacing w:val="-2"/>
                <w:szCs w:val="20"/>
              </w:rPr>
              <w:t>w</w:t>
            </w:r>
            <w:r>
              <w:rPr>
                <w:rFonts w:eastAsia="Times New Roman" w:cs="Times New Roman"/>
                <w:spacing w:val="-1"/>
                <w:szCs w:val="20"/>
              </w:rPr>
              <w:t>ym</w:t>
            </w:r>
            <w:r>
              <w:rPr>
                <w:rFonts w:eastAsia="Times New Roman" w:cs="Times New Roman"/>
                <w:spacing w:val="3"/>
                <w:szCs w:val="20"/>
              </w:rPr>
              <w:t>a</w:t>
            </w:r>
            <w:r>
              <w:rPr>
                <w:rFonts w:eastAsia="Times New Roman" w:cs="Times New Roman"/>
                <w:spacing w:val="-1"/>
                <w:szCs w:val="20"/>
              </w:rPr>
              <w:t>g</w:t>
            </w:r>
            <w:r>
              <w:rPr>
                <w:rFonts w:eastAsia="Times New Roman" w:cs="Times New Roman"/>
                <w:szCs w:val="20"/>
              </w:rPr>
              <w:t>a</w:t>
            </w:r>
            <w:r>
              <w:rPr>
                <w:rFonts w:eastAsia="Times New Roman" w:cs="Times New Roman"/>
                <w:spacing w:val="-1"/>
                <w:szCs w:val="20"/>
              </w:rPr>
              <w:t>n</w:t>
            </w:r>
            <w:r>
              <w:rPr>
                <w:rFonts w:eastAsia="Times New Roman" w:cs="Times New Roman"/>
                <w:szCs w:val="20"/>
              </w:rPr>
              <w:t>a</w:t>
            </w:r>
            <w:r>
              <w:rPr>
                <w:rFonts w:eastAsia="Times New Roman" w:cs="Times New Roman"/>
                <w:spacing w:val="-6"/>
                <w:szCs w:val="20"/>
              </w:rPr>
              <w:t xml:space="preserve"> </w:t>
            </w:r>
            <w:r>
              <w:rPr>
                <w:rFonts w:eastAsia="Times New Roman" w:cs="Times New Roman"/>
                <w:spacing w:val="-1"/>
                <w:szCs w:val="20"/>
              </w:rPr>
              <w:t>k</w:t>
            </w:r>
            <w:r>
              <w:rPr>
                <w:rFonts w:eastAsia="Times New Roman" w:cs="Times New Roman"/>
                <w:szCs w:val="20"/>
              </w:rPr>
              <w:t>at</w:t>
            </w:r>
            <w:r>
              <w:rPr>
                <w:rFonts w:eastAsia="Times New Roman" w:cs="Times New Roman"/>
                <w:spacing w:val="3"/>
                <w:szCs w:val="20"/>
              </w:rPr>
              <w:t>e</w:t>
            </w:r>
            <w:r>
              <w:rPr>
                <w:rFonts w:eastAsia="Times New Roman" w:cs="Times New Roman"/>
                <w:spacing w:val="-1"/>
                <w:szCs w:val="20"/>
              </w:rPr>
              <w:t>g</w:t>
            </w:r>
            <w:r>
              <w:rPr>
                <w:rFonts w:eastAsia="Times New Roman" w:cs="Times New Roman"/>
                <w:spacing w:val="1"/>
                <w:szCs w:val="20"/>
              </w:rPr>
              <w:t>or</w:t>
            </w:r>
            <w:r>
              <w:rPr>
                <w:rFonts w:eastAsia="Times New Roman" w:cs="Times New Roman"/>
                <w:szCs w:val="20"/>
              </w:rPr>
              <w:t>ia:</w:t>
            </w:r>
          </w:p>
        </w:tc>
        <w:tc>
          <w:tcPr>
            <w:tcW w:w="5421" w:type="dxa"/>
            <w:gridSpan w:val="3"/>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2"/>
                <w:w w:val="99"/>
                <w:position w:val="3"/>
                <w:szCs w:val="20"/>
              </w:rPr>
              <w:t>B</w:t>
            </w:r>
            <w:r>
              <w:rPr>
                <w:rFonts w:eastAsia="Times New Roman" w:cs="Times New Roman"/>
                <w:w w:val="99"/>
                <w:position w:val="3"/>
                <w:szCs w:val="20"/>
              </w:rPr>
              <w:t>N</w:t>
            </w:r>
            <w:r>
              <w:rPr>
                <w:rFonts w:eastAsia="Times New Roman" w:cs="Times New Roman"/>
                <w:w w:val="99"/>
                <w:szCs w:val="20"/>
              </w:rPr>
              <w:t>De</w:t>
            </w:r>
            <w:r>
              <w:rPr>
                <w:rFonts w:eastAsia="Times New Roman" w:cs="Times New Roman"/>
                <w:spacing w:val="-2"/>
                <w:w w:val="99"/>
                <w:szCs w:val="20"/>
              </w:rPr>
              <w:t>k</w:t>
            </w:r>
            <w:r>
              <w:rPr>
                <w:rFonts w:eastAsia="Times New Roman" w:cs="Times New Roman"/>
                <w:w w:val="99"/>
                <w:szCs w:val="20"/>
              </w:rPr>
              <w:t>larowa</w:t>
            </w:r>
            <w:r>
              <w:rPr>
                <w:rFonts w:eastAsia="Times New Roman" w:cs="Times New Roman"/>
                <w:spacing w:val="2"/>
                <w:w w:val="99"/>
                <w:szCs w:val="20"/>
              </w:rPr>
              <w:t>n</w:t>
            </w:r>
            <w:r>
              <w:rPr>
                <w:rFonts w:eastAsia="Times New Roman" w:cs="Times New Roman"/>
                <w:w w:val="99"/>
                <w:szCs w:val="20"/>
              </w:rPr>
              <w:t>a</w:t>
            </w:r>
          </w:p>
        </w:tc>
      </w:tr>
    </w:tbl>
    <w:p w:rsidR="00B77F00" w:rsidRDefault="00B77F00">
      <w:pPr>
        <w:pStyle w:val="Standard"/>
        <w:rPr>
          <w:szCs w:val="20"/>
        </w:rPr>
      </w:pPr>
    </w:p>
    <w:p w:rsidR="00B77F00" w:rsidRDefault="00865FA3">
      <w:pPr>
        <w:pStyle w:val="Standard"/>
        <w:jc w:val="both"/>
        <w:rPr>
          <w:szCs w:val="20"/>
        </w:rPr>
      </w:pPr>
      <w:r>
        <w:rPr>
          <w:szCs w:val="20"/>
        </w:rPr>
        <w:t>2.5. Materiały do uszczelniania połączeń i krawędzi</w:t>
      </w:r>
    </w:p>
    <w:p w:rsidR="00B77F00" w:rsidRDefault="00865FA3">
      <w:pPr>
        <w:pStyle w:val="Standard"/>
        <w:jc w:val="both"/>
        <w:rPr>
          <w:szCs w:val="20"/>
        </w:rPr>
      </w:pPr>
      <w:r>
        <w:rPr>
          <w:szCs w:val="20"/>
        </w:rPr>
        <w:lastRenderedPageBreak/>
        <w:t xml:space="preserve">Do uszczelniania połączeń technologicznych należy stosować materiały termoplastyczne (taśmy, zalewy na gorąco itp.) wg norm lub aprobat technicznych. Do uszczelniania krawędzi </w:t>
      </w:r>
      <w:r>
        <w:rPr>
          <w:szCs w:val="20"/>
        </w:rPr>
        <w:t>należy stosować materiały termoplastyczne (taśmy, zalewy na gorąco itp.) wg norm lub aprobat technicznych.</w:t>
      </w:r>
    </w:p>
    <w:p w:rsidR="00B77F00" w:rsidRDefault="00865FA3">
      <w:pPr>
        <w:pStyle w:val="Standard"/>
        <w:jc w:val="both"/>
        <w:rPr>
          <w:szCs w:val="20"/>
        </w:rPr>
      </w:pPr>
      <w:r>
        <w:rPr>
          <w:szCs w:val="20"/>
        </w:rPr>
        <w:t>2.6. Dodatki do mieszanki mineralno-asfaltowej</w:t>
      </w:r>
    </w:p>
    <w:p w:rsidR="00B77F00" w:rsidRDefault="00865FA3">
      <w:pPr>
        <w:pStyle w:val="Standard"/>
        <w:jc w:val="both"/>
        <w:rPr>
          <w:szCs w:val="20"/>
        </w:rPr>
      </w:pPr>
      <w:r>
        <w:rPr>
          <w:szCs w:val="20"/>
        </w:rPr>
        <w:t xml:space="preserve">Mogą być stosowane dodatki stabilizujące lub modyfikujące. Pochodzenie, rodzaj i właściwości dodatków </w:t>
      </w:r>
      <w:r>
        <w:rPr>
          <w:szCs w:val="20"/>
        </w:rPr>
        <w:t>powinny być deklarowane. Skuteczność stosowanych dodatków i modyfikatorów powinna być udokumentowana lub sprawdzona. Zaleca się stosowanie do mieszanki mineralno-asfaltowej środka obniżającego temperaturę produkcji i układania.</w:t>
      </w:r>
    </w:p>
    <w:p w:rsidR="00B77F00" w:rsidRDefault="00865FA3">
      <w:pPr>
        <w:pStyle w:val="Standard"/>
        <w:jc w:val="both"/>
        <w:rPr>
          <w:szCs w:val="20"/>
        </w:rPr>
      </w:pPr>
      <w:r>
        <w:rPr>
          <w:szCs w:val="20"/>
        </w:rPr>
        <w:t>Do asfaltu lanego może być s</w:t>
      </w:r>
      <w:r>
        <w:rPr>
          <w:szCs w:val="20"/>
        </w:rPr>
        <w:t>tosowany dodatek asfaltu naturalnego wg PN-EN 13108-4, załącznik B.</w:t>
      </w:r>
    </w:p>
    <w:p w:rsidR="00B77F00" w:rsidRDefault="00865FA3">
      <w:pPr>
        <w:pStyle w:val="Standard"/>
        <w:jc w:val="both"/>
        <w:rPr>
          <w:szCs w:val="20"/>
        </w:rPr>
      </w:pPr>
      <w:r>
        <w:rPr>
          <w:szCs w:val="20"/>
        </w:rPr>
        <w:t>2.7. Dostawa materiałów</w:t>
      </w:r>
    </w:p>
    <w:p w:rsidR="00B77F00" w:rsidRDefault="00865FA3">
      <w:pPr>
        <w:pStyle w:val="Standard"/>
        <w:jc w:val="both"/>
        <w:rPr>
          <w:szCs w:val="20"/>
        </w:rPr>
      </w:pPr>
      <w:r>
        <w:rPr>
          <w:szCs w:val="20"/>
        </w:rPr>
        <w:t>Za dostawy materiałów odpowiedzialny jest Wykonawca robót, zgodnie z ustaleniami określonymi w ST DM.00.00.00 „Wymagania Ogólne".</w:t>
      </w:r>
    </w:p>
    <w:p w:rsidR="00B77F00" w:rsidRDefault="00865FA3">
      <w:pPr>
        <w:pStyle w:val="Standard"/>
        <w:jc w:val="both"/>
        <w:rPr>
          <w:szCs w:val="20"/>
        </w:rPr>
      </w:pPr>
      <w:r>
        <w:rPr>
          <w:szCs w:val="20"/>
        </w:rPr>
        <w:t>Wykonawca jest zobowiązany do prow</w:t>
      </w:r>
      <w:r>
        <w:rPr>
          <w:szCs w:val="20"/>
        </w:rPr>
        <w:t>adzenia ilościowego i jakościowego odbioru dostaw poszczególnych asortymentów materiałów oraz ustalonych badań kontrolnych.</w:t>
      </w:r>
    </w:p>
    <w:p w:rsidR="00B77F00" w:rsidRDefault="00865FA3">
      <w:pPr>
        <w:pStyle w:val="Standard"/>
        <w:jc w:val="both"/>
        <w:rPr>
          <w:szCs w:val="20"/>
        </w:rPr>
      </w:pPr>
      <w:r>
        <w:rPr>
          <w:szCs w:val="20"/>
        </w:rPr>
        <w:t>Pochodzenie i jakość kruszywa powinny być wcześniej zaaprobowane przez Inżyniera na podstawie wyników badań kontrolnych wg pktu. 6.</w:t>
      </w:r>
    </w:p>
    <w:p w:rsidR="00B77F00" w:rsidRDefault="00865FA3">
      <w:pPr>
        <w:pStyle w:val="Standard"/>
        <w:jc w:val="both"/>
        <w:rPr>
          <w:szCs w:val="20"/>
        </w:rPr>
      </w:pPr>
      <w:r>
        <w:rPr>
          <w:szCs w:val="20"/>
        </w:rPr>
        <w:t>Zmiana producenta lepiszcza, jak i zmiana źródła pozyskania kruszyw w trakcie trwania robót, wymaga akceptacji Inżyniera i wymaga opracowania nowej recepty na mieszankę betonu asfaltowego i jej zatwierdzenia.</w:t>
      </w:r>
    </w:p>
    <w:p w:rsidR="00B77F00" w:rsidRDefault="00865FA3">
      <w:pPr>
        <w:pStyle w:val="Standard"/>
        <w:jc w:val="both"/>
        <w:rPr>
          <w:szCs w:val="20"/>
        </w:rPr>
      </w:pPr>
      <w:r>
        <w:rPr>
          <w:szCs w:val="20"/>
        </w:rPr>
        <w:t>2.8. Składowanie materiałów</w:t>
      </w:r>
    </w:p>
    <w:p w:rsidR="00B77F00" w:rsidRDefault="00865FA3">
      <w:pPr>
        <w:pStyle w:val="Standard"/>
        <w:jc w:val="both"/>
        <w:rPr>
          <w:szCs w:val="20"/>
        </w:rPr>
      </w:pPr>
      <w:r>
        <w:rPr>
          <w:szCs w:val="20"/>
        </w:rPr>
        <w:t>2.8.1.Składowanie k</w:t>
      </w:r>
      <w:r>
        <w:rPr>
          <w:szCs w:val="20"/>
        </w:rPr>
        <w:t>ruszyw</w:t>
      </w:r>
    </w:p>
    <w:p w:rsidR="00B77F00" w:rsidRDefault="00865FA3">
      <w:pPr>
        <w:pStyle w:val="Standard"/>
        <w:jc w:val="both"/>
        <w:rPr>
          <w:szCs w:val="20"/>
        </w:rPr>
      </w:pPr>
      <w:r>
        <w:rPr>
          <w:szCs w:val="20"/>
        </w:rPr>
        <w:t>Sposób skład</w:t>
      </w:r>
      <w:r>
        <w:rPr>
          <w:szCs w:val="20"/>
        </w:rPr>
        <w:t>owania kruszyw powinien je zabezpieczać przed zanieczyszczeniem i przemieszaniem z innymi asortymentami materiału kamiennego. Powierzchnia składowania powinna zapewniać możliwość zgromadzenia materiałów w ilościach zabezpieczających ciąg</w:t>
      </w:r>
      <w:r>
        <w:rPr>
          <w:szCs w:val="20"/>
        </w:rPr>
        <w:t>łość produkcji.</w:t>
      </w:r>
    </w:p>
    <w:p w:rsidR="00B77F00" w:rsidRDefault="00865FA3">
      <w:pPr>
        <w:pStyle w:val="Standard"/>
        <w:jc w:val="both"/>
        <w:rPr>
          <w:szCs w:val="20"/>
        </w:rPr>
      </w:pPr>
      <w:r>
        <w:rPr>
          <w:szCs w:val="20"/>
        </w:rPr>
        <w:t>Warunki składowania, lokalizacja i parametry techniczne składowiska powinny uzyskać akceptację Inżyniera.</w:t>
      </w:r>
    </w:p>
    <w:p w:rsidR="00B77F00" w:rsidRDefault="00865FA3">
      <w:pPr>
        <w:pStyle w:val="Standard"/>
        <w:jc w:val="both"/>
        <w:rPr>
          <w:szCs w:val="20"/>
        </w:rPr>
      </w:pPr>
      <w:r>
        <w:rPr>
          <w:szCs w:val="20"/>
        </w:rPr>
        <w:t>2.8.2. Składowanie wypełniacza</w:t>
      </w:r>
    </w:p>
    <w:p w:rsidR="00B77F00" w:rsidRDefault="00865FA3">
      <w:pPr>
        <w:pStyle w:val="Standard"/>
        <w:jc w:val="both"/>
        <w:rPr>
          <w:szCs w:val="20"/>
        </w:rPr>
      </w:pPr>
      <w:r>
        <w:rPr>
          <w:szCs w:val="20"/>
        </w:rPr>
        <w:t>Warunki składowania, lokalizacja i parametry techniczne składowiska powinny uzyskać akceptację Inżynier</w:t>
      </w:r>
      <w:r>
        <w:rPr>
          <w:szCs w:val="20"/>
        </w:rPr>
        <w:t>a. Sposób składowania musi zabezpieczać przed zawilgoceniem, zbryleniem i zanieczyszczeniem. Wypełniacz należy przechowywać w silosach stalowych w ilościach zabezpieczających ciągłość produkcji.</w:t>
      </w:r>
    </w:p>
    <w:p w:rsidR="00B77F00" w:rsidRDefault="00B77F00">
      <w:pPr>
        <w:pStyle w:val="Standard"/>
        <w:jc w:val="both"/>
        <w:rPr>
          <w:szCs w:val="20"/>
        </w:rPr>
      </w:pPr>
    </w:p>
    <w:p w:rsidR="00B77F00" w:rsidRDefault="00865FA3">
      <w:pPr>
        <w:pStyle w:val="Standard"/>
        <w:jc w:val="both"/>
        <w:rPr>
          <w:b/>
          <w:bCs/>
          <w:szCs w:val="20"/>
        </w:rPr>
      </w:pPr>
      <w:r>
        <w:rPr>
          <w:b/>
          <w:bCs/>
          <w:szCs w:val="20"/>
        </w:rPr>
        <w:t>3. SPRZĘT</w:t>
      </w:r>
    </w:p>
    <w:p w:rsidR="00B77F00" w:rsidRDefault="00865FA3">
      <w:pPr>
        <w:pStyle w:val="Standard"/>
        <w:jc w:val="both"/>
        <w:rPr>
          <w:szCs w:val="20"/>
        </w:rPr>
      </w:pPr>
      <w:r>
        <w:rPr>
          <w:szCs w:val="20"/>
        </w:rPr>
        <w:t>3.1. Ogólne wymagania dotyczące sprzętu</w:t>
      </w:r>
    </w:p>
    <w:p w:rsidR="00B77F00" w:rsidRDefault="00865FA3">
      <w:pPr>
        <w:pStyle w:val="Standard"/>
        <w:jc w:val="both"/>
        <w:rPr>
          <w:szCs w:val="20"/>
        </w:rPr>
      </w:pPr>
      <w:r>
        <w:rPr>
          <w:szCs w:val="20"/>
        </w:rPr>
        <w:t xml:space="preserve">Ogólne </w:t>
      </w:r>
      <w:r>
        <w:rPr>
          <w:szCs w:val="20"/>
        </w:rPr>
        <w:t>wymagania dotyczące sprzętu podano w ST DM.00.00.00 „Wymagania ogólne”.</w:t>
      </w:r>
    </w:p>
    <w:p w:rsidR="00B77F00" w:rsidRDefault="00865FA3">
      <w:pPr>
        <w:pStyle w:val="Standard"/>
        <w:jc w:val="both"/>
        <w:rPr>
          <w:szCs w:val="20"/>
        </w:rPr>
      </w:pPr>
      <w:r>
        <w:rPr>
          <w:szCs w:val="20"/>
        </w:rPr>
        <w:t>3.2. Sprzęt stosowany do wykonania robót</w:t>
      </w:r>
    </w:p>
    <w:p w:rsidR="00B77F00" w:rsidRDefault="00865FA3">
      <w:pPr>
        <w:pStyle w:val="Standard"/>
        <w:jc w:val="both"/>
        <w:rPr>
          <w:szCs w:val="20"/>
        </w:rPr>
      </w:pPr>
      <w:r>
        <w:rPr>
          <w:szCs w:val="20"/>
        </w:rPr>
        <w:t>Wykonawca przystępujący do wykonania warstwy nawierzchni z asfaltu lanego powinien wykazać się możliwością korzystania z następującego sprzętu:</w:t>
      </w:r>
    </w:p>
    <w:p w:rsidR="00B77F00" w:rsidRDefault="00865FA3">
      <w:pPr>
        <w:pStyle w:val="Standard"/>
        <w:jc w:val="both"/>
        <w:rPr>
          <w:szCs w:val="20"/>
        </w:rPr>
      </w:pPr>
      <w:r>
        <w:rPr>
          <w:szCs w:val="20"/>
        </w:rPr>
        <w:t>– wytwórnia (otaczarka) o mieszaniu cyklicznym lub ciągłym, z automatycznym komputerowym sterowaniem produkcji, do wytwarzania mieszanek mineralno-asfaltowych,</w:t>
      </w:r>
    </w:p>
    <w:p w:rsidR="00B77F00" w:rsidRDefault="00865FA3">
      <w:pPr>
        <w:pStyle w:val="Standard"/>
        <w:jc w:val="both"/>
        <w:rPr>
          <w:szCs w:val="20"/>
        </w:rPr>
      </w:pPr>
      <w:r>
        <w:rPr>
          <w:szCs w:val="20"/>
        </w:rPr>
        <w:t>– kotłów transportowych wyposażonych w mieszadła i system podgrzewania z automatyczną regulacją</w:t>
      </w:r>
      <w:r>
        <w:rPr>
          <w:szCs w:val="20"/>
        </w:rPr>
        <w:t xml:space="preserve"> temperatury,</w:t>
      </w:r>
    </w:p>
    <w:p w:rsidR="00B77F00" w:rsidRDefault="00865FA3">
      <w:pPr>
        <w:pStyle w:val="Standard"/>
        <w:jc w:val="both"/>
        <w:rPr>
          <w:szCs w:val="20"/>
        </w:rPr>
      </w:pPr>
      <w:r>
        <w:rPr>
          <w:szCs w:val="20"/>
        </w:rPr>
        <w:t>– sprzętu do ręcznego wykończenia przy krawężnikach i urządzeniach instalacyjnych (taczek, żelazek, gładzików, łopat, szczotek itp.).</w:t>
      </w:r>
    </w:p>
    <w:p w:rsidR="00B77F00" w:rsidRDefault="00B77F00">
      <w:pPr>
        <w:pStyle w:val="Standard"/>
        <w:jc w:val="both"/>
        <w:rPr>
          <w:szCs w:val="20"/>
        </w:rPr>
      </w:pPr>
    </w:p>
    <w:p w:rsidR="00B77F00" w:rsidRDefault="00865FA3">
      <w:pPr>
        <w:pStyle w:val="Standard"/>
        <w:jc w:val="both"/>
        <w:rPr>
          <w:b/>
          <w:bCs/>
          <w:szCs w:val="20"/>
        </w:rPr>
      </w:pPr>
      <w:r>
        <w:rPr>
          <w:b/>
          <w:bCs/>
          <w:szCs w:val="20"/>
        </w:rPr>
        <w:t>4. TRANSPORT</w:t>
      </w:r>
    </w:p>
    <w:p w:rsidR="00B77F00" w:rsidRDefault="00865FA3">
      <w:pPr>
        <w:pStyle w:val="Standard"/>
        <w:jc w:val="both"/>
        <w:rPr>
          <w:szCs w:val="20"/>
        </w:rPr>
      </w:pPr>
      <w:r>
        <w:rPr>
          <w:szCs w:val="20"/>
        </w:rPr>
        <w:t>4.1. Ogólne wymagania dotyczące transportu</w:t>
      </w:r>
    </w:p>
    <w:p w:rsidR="00B77F00" w:rsidRDefault="00865FA3">
      <w:pPr>
        <w:pStyle w:val="Standard"/>
        <w:jc w:val="both"/>
        <w:rPr>
          <w:szCs w:val="20"/>
        </w:rPr>
      </w:pPr>
      <w:r>
        <w:rPr>
          <w:szCs w:val="20"/>
        </w:rPr>
        <w:t>Ogólne wymagania dotyczące transportu podano w ST D</w:t>
      </w:r>
      <w:r>
        <w:rPr>
          <w:szCs w:val="20"/>
        </w:rPr>
        <w:t>M.00.00.00 „Wymagania ogólne”.</w:t>
      </w:r>
    </w:p>
    <w:p w:rsidR="00B77F00" w:rsidRDefault="00865FA3">
      <w:pPr>
        <w:pStyle w:val="Standard"/>
        <w:jc w:val="both"/>
        <w:rPr>
          <w:szCs w:val="20"/>
        </w:rPr>
      </w:pPr>
      <w:r>
        <w:rPr>
          <w:szCs w:val="20"/>
        </w:rPr>
        <w:t>4.2. Transport materiałów</w:t>
      </w:r>
    </w:p>
    <w:p w:rsidR="00B77F00" w:rsidRDefault="00865FA3">
      <w:pPr>
        <w:pStyle w:val="Standard"/>
        <w:jc w:val="both"/>
        <w:rPr>
          <w:szCs w:val="20"/>
        </w:rPr>
      </w:pPr>
      <w:r>
        <w:rPr>
          <w:szCs w:val="20"/>
        </w:rPr>
        <w:t>4.2.1. Wypełniacz</w:t>
      </w:r>
    </w:p>
    <w:p w:rsidR="00B77F00" w:rsidRDefault="00865FA3">
      <w:pPr>
        <w:pStyle w:val="Standard"/>
        <w:jc w:val="both"/>
        <w:rPr>
          <w:szCs w:val="20"/>
        </w:rPr>
      </w:pPr>
      <w:r>
        <w:rPr>
          <w:szCs w:val="20"/>
        </w:rPr>
        <w:t>Wypełniacz luzem należy przewozić w cysternach przystosowanych do przewozu materiałów sypkich, umożliwiających rozładunek pneumatyczny.</w:t>
      </w:r>
    </w:p>
    <w:p w:rsidR="00B77F00" w:rsidRDefault="00865FA3">
      <w:pPr>
        <w:pStyle w:val="Standard"/>
        <w:jc w:val="both"/>
        <w:rPr>
          <w:szCs w:val="20"/>
        </w:rPr>
      </w:pPr>
      <w:r>
        <w:rPr>
          <w:szCs w:val="20"/>
        </w:rPr>
        <w:t xml:space="preserve">Wypełniacz workowany można przewozić </w:t>
      </w:r>
      <w:r>
        <w:rPr>
          <w:szCs w:val="20"/>
        </w:rPr>
        <w:t>dowolnymi środkami transportu w sposób zabezpieczony przed zawilgoceniem.</w:t>
      </w:r>
    </w:p>
    <w:p w:rsidR="00B77F00" w:rsidRDefault="00865FA3">
      <w:pPr>
        <w:pStyle w:val="Standard"/>
        <w:jc w:val="both"/>
        <w:rPr>
          <w:szCs w:val="20"/>
        </w:rPr>
      </w:pPr>
      <w:r>
        <w:rPr>
          <w:szCs w:val="20"/>
        </w:rPr>
        <w:t>Do każdej dostawy wypełniacza powinien być dołączony dokument zawierający co najmniej:</w:t>
      </w:r>
    </w:p>
    <w:p w:rsidR="00B77F00" w:rsidRDefault="00865FA3">
      <w:pPr>
        <w:pStyle w:val="Standard"/>
        <w:jc w:val="both"/>
        <w:rPr>
          <w:szCs w:val="20"/>
        </w:rPr>
      </w:pPr>
      <w:r>
        <w:rPr>
          <w:szCs w:val="20"/>
        </w:rPr>
        <w:t>- oznaczenie,</w:t>
      </w:r>
    </w:p>
    <w:p w:rsidR="00B77F00" w:rsidRDefault="00865FA3">
      <w:pPr>
        <w:pStyle w:val="Standard"/>
        <w:jc w:val="both"/>
        <w:rPr>
          <w:szCs w:val="20"/>
        </w:rPr>
      </w:pPr>
      <w:r>
        <w:rPr>
          <w:szCs w:val="20"/>
        </w:rPr>
        <w:t>- datę wysyłki,</w:t>
      </w:r>
    </w:p>
    <w:p w:rsidR="00B77F00" w:rsidRDefault="00865FA3">
      <w:pPr>
        <w:pStyle w:val="Standard"/>
        <w:jc w:val="both"/>
        <w:rPr>
          <w:szCs w:val="20"/>
        </w:rPr>
      </w:pPr>
      <w:r>
        <w:rPr>
          <w:szCs w:val="20"/>
        </w:rPr>
        <w:t>- kolejny numer dokumentu dostawy,</w:t>
      </w:r>
    </w:p>
    <w:p w:rsidR="00B77F00" w:rsidRDefault="00865FA3">
      <w:pPr>
        <w:pStyle w:val="Standard"/>
        <w:jc w:val="both"/>
        <w:rPr>
          <w:szCs w:val="20"/>
        </w:rPr>
      </w:pPr>
      <w:r>
        <w:rPr>
          <w:szCs w:val="20"/>
        </w:rPr>
        <w:t>- numer normy PN-EN 13043.</w:t>
      </w:r>
    </w:p>
    <w:p w:rsidR="00B77F00" w:rsidRDefault="00865FA3">
      <w:pPr>
        <w:pStyle w:val="Standard"/>
        <w:jc w:val="both"/>
        <w:rPr>
          <w:szCs w:val="20"/>
        </w:rPr>
      </w:pPr>
      <w:r>
        <w:rPr>
          <w:szCs w:val="20"/>
        </w:rPr>
        <w:t>4.2</w:t>
      </w:r>
      <w:r>
        <w:rPr>
          <w:szCs w:val="20"/>
        </w:rPr>
        <w:t>.2. Kruszywo</w:t>
      </w:r>
    </w:p>
    <w:p w:rsidR="00B77F00" w:rsidRDefault="00865FA3">
      <w:pPr>
        <w:pStyle w:val="Standard"/>
        <w:jc w:val="both"/>
        <w:rPr>
          <w:szCs w:val="20"/>
        </w:rPr>
      </w:pPr>
      <w:r>
        <w:rPr>
          <w:szCs w:val="20"/>
        </w:rPr>
        <w:lastRenderedPageBreak/>
        <w:t>Składowanie kruszywa powinno odbywać się w warunkach zabezpieczających je przed zanieczyszczeniem i zmieszaniem z innymi asortymentami kruszywa lub jego frakcjami. Zaleca się, aby frakcje drobne kruszywa (poniżej 4 mm) były przechowywane pod z</w:t>
      </w:r>
      <w:r>
        <w:rPr>
          <w:szCs w:val="20"/>
        </w:rPr>
        <w:t>adaszeniem. Warunki składowania oraz lokalizacja powinny być wcześniej uzgodnione z Inżynierem. Powierzchnia składowania powinna zapewniać możliwość zgromadzenia materiałów w ilościach zabezpieczających ciągłość produkcji.</w:t>
      </w:r>
    </w:p>
    <w:p w:rsidR="00B77F00" w:rsidRDefault="00865FA3">
      <w:pPr>
        <w:pStyle w:val="Standard"/>
        <w:jc w:val="both"/>
        <w:rPr>
          <w:szCs w:val="20"/>
        </w:rPr>
      </w:pPr>
      <w:r>
        <w:rPr>
          <w:szCs w:val="20"/>
        </w:rPr>
        <w:t xml:space="preserve">Warunki składowania, lokalizacja </w:t>
      </w:r>
      <w:r>
        <w:rPr>
          <w:szCs w:val="20"/>
        </w:rPr>
        <w:t>i parametry techniczne składowiska powinny uzyskać akceptację Inżyniera. Do każdej dostawy kruszywa powinien być dołączony dokument zawierający co najmniej:</w:t>
      </w:r>
    </w:p>
    <w:p w:rsidR="00B77F00" w:rsidRDefault="00865FA3">
      <w:pPr>
        <w:pStyle w:val="Standard"/>
        <w:jc w:val="both"/>
        <w:rPr>
          <w:szCs w:val="20"/>
        </w:rPr>
      </w:pPr>
      <w:r>
        <w:rPr>
          <w:szCs w:val="20"/>
        </w:rPr>
        <w:t>- oznaczenie,</w:t>
      </w:r>
    </w:p>
    <w:p w:rsidR="00B77F00" w:rsidRDefault="00865FA3">
      <w:pPr>
        <w:pStyle w:val="Standard"/>
        <w:jc w:val="both"/>
        <w:rPr>
          <w:szCs w:val="20"/>
        </w:rPr>
      </w:pPr>
      <w:r>
        <w:rPr>
          <w:szCs w:val="20"/>
        </w:rPr>
        <w:t>- datę wysyłki,</w:t>
      </w:r>
    </w:p>
    <w:p w:rsidR="00B77F00" w:rsidRDefault="00865FA3">
      <w:pPr>
        <w:pStyle w:val="Standard"/>
        <w:jc w:val="both"/>
        <w:rPr>
          <w:szCs w:val="20"/>
        </w:rPr>
      </w:pPr>
      <w:r>
        <w:rPr>
          <w:szCs w:val="20"/>
        </w:rPr>
        <w:t>- kolejny numer dokumentu dostawy,</w:t>
      </w:r>
    </w:p>
    <w:p w:rsidR="00B77F00" w:rsidRDefault="00865FA3">
      <w:pPr>
        <w:pStyle w:val="Standard"/>
        <w:jc w:val="both"/>
        <w:rPr>
          <w:szCs w:val="20"/>
        </w:rPr>
      </w:pPr>
      <w:r>
        <w:rPr>
          <w:szCs w:val="20"/>
        </w:rPr>
        <w:t>- numer normy PN-EN 13043.</w:t>
      </w:r>
    </w:p>
    <w:p w:rsidR="00B77F00" w:rsidRDefault="00865FA3">
      <w:pPr>
        <w:pStyle w:val="Standard"/>
        <w:jc w:val="both"/>
        <w:rPr>
          <w:szCs w:val="20"/>
        </w:rPr>
      </w:pPr>
      <w:r>
        <w:rPr>
          <w:szCs w:val="20"/>
        </w:rPr>
        <w:t xml:space="preserve">4.2.3. </w:t>
      </w:r>
      <w:r>
        <w:rPr>
          <w:szCs w:val="20"/>
        </w:rPr>
        <w:t>Lepiszcze asfaltowe</w:t>
      </w:r>
    </w:p>
    <w:p w:rsidR="00B77F00" w:rsidRDefault="00865FA3">
      <w:pPr>
        <w:pStyle w:val="Standard"/>
        <w:jc w:val="both"/>
        <w:rPr>
          <w:szCs w:val="20"/>
        </w:rPr>
      </w:pPr>
      <w:r>
        <w:rPr>
          <w:szCs w:val="20"/>
        </w:rPr>
        <w:t>Lepiszcze asfaltowe należy przechowywać w zbiorniku z pośrednim systemem ogrzewania, z układem termostatowania zapewniającym utrzymanie żądanej temperatury z dokładnością ±5°C. Temperatura polimeroasfaltu PMB 25/55 – 60 w zbiorniku maga</w:t>
      </w:r>
      <w:r>
        <w:rPr>
          <w:szCs w:val="20"/>
        </w:rPr>
        <w:t>zynowym (roboczym) nie powinna przekraczać 180°C w czasie krótkotrwałym nie dłuższym niż 5 dni.</w:t>
      </w:r>
    </w:p>
    <w:p w:rsidR="00B77F00" w:rsidRDefault="00865FA3">
      <w:pPr>
        <w:pStyle w:val="Standard"/>
        <w:jc w:val="both"/>
        <w:rPr>
          <w:szCs w:val="20"/>
        </w:rPr>
      </w:pPr>
      <w:r>
        <w:rPr>
          <w:szCs w:val="20"/>
        </w:rPr>
        <w:t>4.2.4. Transport mieszanki mineralno-asfaltowej</w:t>
      </w:r>
    </w:p>
    <w:p w:rsidR="00B77F00" w:rsidRDefault="00865FA3">
      <w:pPr>
        <w:pStyle w:val="Standard"/>
        <w:jc w:val="both"/>
        <w:rPr>
          <w:szCs w:val="20"/>
        </w:rPr>
      </w:pPr>
      <w:r>
        <w:rPr>
          <w:szCs w:val="20"/>
        </w:rPr>
        <w:t>Mieszanka mineralno-asfaltowa powinna być dowożona na budowę w zależności od postępu robót. Mieszanka podczas tr</w:t>
      </w:r>
      <w:r>
        <w:rPr>
          <w:szCs w:val="20"/>
        </w:rPr>
        <w:t>ansportu i postoju przed wbudowaniem powinna być zabezpieczona przed ostygnięciem i dopływem powietrza (przykrycie, pojemniki termoizolacyjne lub ogrzewane itp.). Asfalt lany powinien być przewożony w kotłach termo izolowanych z mieszadłem i cały czas mies</w:t>
      </w:r>
      <w:r>
        <w:rPr>
          <w:szCs w:val="20"/>
        </w:rPr>
        <w:t>zany.</w:t>
      </w:r>
    </w:p>
    <w:p w:rsidR="00B77F00" w:rsidRDefault="00865FA3">
      <w:pPr>
        <w:pStyle w:val="Standard"/>
        <w:jc w:val="both"/>
        <w:rPr>
          <w:szCs w:val="20"/>
        </w:rPr>
      </w:pPr>
      <w:r>
        <w:rPr>
          <w:szCs w:val="20"/>
        </w:rPr>
        <w:t>Warunki i czas transportu mieszanki mineralno-asfaltowej, od produkcji do wbudowania, powinny zapewniać</w:t>
      </w:r>
    </w:p>
    <w:p w:rsidR="00B77F00" w:rsidRDefault="00865FA3">
      <w:pPr>
        <w:pStyle w:val="Standard"/>
        <w:jc w:val="both"/>
        <w:rPr>
          <w:szCs w:val="20"/>
        </w:rPr>
      </w:pPr>
      <w:r>
        <w:rPr>
          <w:szCs w:val="20"/>
        </w:rPr>
        <w:t>utrzymanie temperatury w wymaganym przedziale.</w:t>
      </w:r>
    </w:p>
    <w:p w:rsidR="00B77F00" w:rsidRDefault="00865FA3">
      <w:pPr>
        <w:pStyle w:val="Standard"/>
        <w:jc w:val="both"/>
        <w:rPr>
          <w:szCs w:val="20"/>
        </w:rPr>
      </w:pPr>
      <w:r>
        <w:rPr>
          <w:szCs w:val="20"/>
        </w:rPr>
        <w:t>Czas transportu asfaltu lanego z asfaltem modyfikowanym w kotłach, od załadunku do załadunku, nie p</w:t>
      </w:r>
      <w:r>
        <w:rPr>
          <w:szCs w:val="20"/>
        </w:rPr>
        <w:t>owinien przekraczać 8 h przy temperaturze do 230°C. Asfalt lany, który był ogrzewany przez dłuższy czas lub w wyższej temperaturze nie może być użyty do wbudowania. Podczas transportu mieszanki mineralno-asfaltowej muszą być zachowane dopuszczalne wartości</w:t>
      </w:r>
      <w:r>
        <w:rPr>
          <w:szCs w:val="20"/>
        </w:rPr>
        <w:t xml:space="preserve"> temperatury. Nie dotyczy to wypadku stosowania dodatków obniżających temperaturę produkcji i wbudowania lub lepiszczy zawierających takie środki. Należy również się kierować informacjami podanymi przez producenta mieszanki.</w:t>
      </w:r>
    </w:p>
    <w:p w:rsidR="00B77F00" w:rsidRDefault="00865FA3">
      <w:pPr>
        <w:pStyle w:val="Standard"/>
        <w:jc w:val="both"/>
        <w:rPr>
          <w:szCs w:val="20"/>
        </w:rPr>
      </w:pPr>
      <w:r>
        <w:rPr>
          <w:szCs w:val="20"/>
        </w:rPr>
        <w:t>Powierzchnie pojemników używany</w:t>
      </w:r>
      <w:r>
        <w:rPr>
          <w:szCs w:val="20"/>
        </w:rPr>
        <w:t>ch do transportu mieszanki powinny być czyste, a do zwilżania tych powierzchni można używać tylko środki adhezyjne niewpływające szkodliwie na mieszankę mineralno - asfaltową.</w:t>
      </w:r>
    </w:p>
    <w:p w:rsidR="00B77F00" w:rsidRDefault="00B77F00">
      <w:pPr>
        <w:pStyle w:val="Standard"/>
        <w:jc w:val="both"/>
        <w:rPr>
          <w:szCs w:val="20"/>
        </w:rPr>
      </w:pPr>
    </w:p>
    <w:p w:rsidR="00B77F00" w:rsidRDefault="00865FA3">
      <w:pPr>
        <w:pStyle w:val="Standard"/>
        <w:jc w:val="both"/>
        <w:rPr>
          <w:szCs w:val="20"/>
        </w:rPr>
      </w:pPr>
      <w:r>
        <w:rPr>
          <w:szCs w:val="20"/>
        </w:rPr>
        <w:t>5. Wykonanie robót</w:t>
      </w:r>
    </w:p>
    <w:p w:rsidR="00B77F00" w:rsidRDefault="00865FA3">
      <w:pPr>
        <w:pStyle w:val="Standard"/>
        <w:jc w:val="both"/>
        <w:rPr>
          <w:szCs w:val="20"/>
        </w:rPr>
      </w:pPr>
      <w:r>
        <w:rPr>
          <w:szCs w:val="20"/>
        </w:rPr>
        <w:t>5.1. Ogólne zasady wykonania robót</w:t>
      </w:r>
    </w:p>
    <w:p w:rsidR="00B77F00" w:rsidRDefault="00865FA3">
      <w:pPr>
        <w:pStyle w:val="Standard"/>
        <w:jc w:val="both"/>
        <w:rPr>
          <w:szCs w:val="20"/>
        </w:rPr>
      </w:pPr>
      <w:r>
        <w:rPr>
          <w:szCs w:val="20"/>
        </w:rPr>
        <w:t>Ogólne zasady wykonania r</w:t>
      </w:r>
      <w:r>
        <w:rPr>
          <w:szCs w:val="20"/>
        </w:rPr>
        <w:t>obót podano w ST DM.00.00.00 „Wymagania ogólne”.</w:t>
      </w:r>
    </w:p>
    <w:p w:rsidR="00B77F00" w:rsidRDefault="00865FA3">
      <w:pPr>
        <w:pStyle w:val="Standard"/>
        <w:jc w:val="both"/>
        <w:rPr>
          <w:szCs w:val="20"/>
        </w:rPr>
      </w:pPr>
      <w:r>
        <w:rPr>
          <w:szCs w:val="20"/>
        </w:rPr>
        <w:t>Roboty powinny być wykonane zgodnie z WT-2 2010 i PN-EN 13108-6.</w:t>
      </w:r>
    </w:p>
    <w:p w:rsidR="00B77F00" w:rsidRDefault="00865FA3">
      <w:pPr>
        <w:pStyle w:val="Standard"/>
        <w:jc w:val="both"/>
        <w:rPr>
          <w:szCs w:val="20"/>
        </w:rPr>
      </w:pPr>
      <w:r>
        <w:rPr>
          <w:szCs w:val="20"/>
        </w:rPr>
        <w:t>5.2. Zasady wykonywania robót</w:t>
      </w:r>
    </w:p>
    <w:p w:rsidR="00B77F00" w:rsidRDefault="00865FA3">
      <w:pPr>
        <w:pStyle w:val="Standard"/>
        <w:jc w:val="both"/>
        <w:rPr>
          <w:szCs w:val="20"/>
        </w:rPr>
      </w:pPr>
      <w:r>
        <w:rPr>
          <w:szCs w:val="20"/>
        </w:rPr>
        <w:t>Podstawowe czynności przy wykonywaniu robót obejmują:</w:t>
      </w:r>
    </w:p>
    <w:p w:rsidR="00B77F00" w:rsidRDefault="00865FA3">
      <w:pPr>
        <w:pStyle w:val="Standard"/>
        <w:jc w:val="both"/>
        <w:rPr>
          <w:szCs w:val="20"/>
        </w:rPr>
      </w:pPr>
      <w:r>
        <w:rPr>
          <w:szCs w:val="20"/>
        </w:rPr>
        <w:t>-  roboty przygotowawcze,</w:t>
      </w:r>
    </w:p>
    <w:p w:rsidR="00B77F00" w:rsidRDefault="00865FA3">
      <w:pPr>
        <w:pStyle w:val="Standard"/>
        <w:jc w:val="both"/>
        <w:rPr>
          <w:szCs w:val="20"/>
        </w:rPr>
      </w:pPr>
      <w:r>
        <w:rPr>
          <w:szCs w:val="20"/>
        </w:rPr>
        <w:t xml:space="preserve">-  projektowanie mieszanki </w:t>
      </w:r>
      <w:r>
        <w:rPr>
          <w:szCs w:val="20"/>
        </w:rPr>
        <w:t>mineralno-asfaltowej,</w:t>
      </w:r>
    </w:p>
    <w:p w:rsidR="00B77F00" w:rsidRDefault="00865FA3">
      <w:pPr>
        <w:pStyle w:val="Standard"/>
        <w:jc w:val="both"/>
        <w:rPr>
          <w:szCs w:val="20"/>
        </w:rPr>
      </w:pPr>
      <w:r>
        <w:rPr>
          <w:szCs w:val="20"/>
        </w:rPr>
        <w:t>-  wytworzenie asfaltu lanego,</w:t>
      </w:r>
    </w:p>
    <w:p w:rsidR="00B77F00" w:rsidRDefault="00865FA3">
      <w:pPr>
        <w:pStyle w:val="Standard"/>
        <w:jc w:val="both"/>
        <w:rPr>
          <w:szCs w:val="20"/>
        </w:rPr>
      </w:pPr>
      <w:r>
        <w:rPr>
          <w:szCs w:val="20"/>
        </w:rPr>
        <w:t>-  wbudowanie mieszanki,</w:t>
      </w:r>
    </w:p>
    <w:p w:rsidR="00B77F00" w:rsidRDefault="00865FA3">
      <w:pPr>
        <w:pStyle w:val="Standard"/>
        <w:jc w:val="both"/>
        <w:rPr>
          <w:szCs w:val="20"/>
        </w:rPr>
      </w:pPr>
      <w:r>
        <w:rPr>
          <w:szCs w:val="20"/>
        </w:rPr>
        <w:t>-  roboty wykończeniowe.</w:t>
      </w:r>
    </w:p>
    <w:p w:rsidR="00B77F00" w:rsidRDefault="00865FA3">
      <w:pPr>
        <w:pStyle w:val="Standard"/>
        <w:jc w:val="both"/>
        <w:rPr>
          <w:szCs w:val="20"/>
        </w:rPr>
      </w:pPr>
      <w:r>
        <w:rPr>
          <w:szCs w:val="20"/>
        </w:rPr>
        <w:t>5.3. Roboty przygotowawcze</w:t>
      </w:r>
    </w:p>
    <w:p w:rsidR="00B77F00" w:rsidRDefault="00865FA3">
      <w:pPr>
        <w:pStyle w:val="Standard"/>
        <w:jc w:val="both"/>
        <w:rPr>
          <w:szCs w:val="20"/>
        </w:rPr>
      </w:pPr>
      <w:r>
        <w:rPr>
          <w:szCs w:val="20"/>
        </w:rPr>
        <w:t>Przed przystąpieniem do robót należy, na podstawie dokumentacji projektowej, ST lub wskazań Inżyniera:</w:t>
      </w:r>
    </w:p>
    <w:p w:rsidR="00B77F00" w:rsidRDefault="00865FA3">
      <w:pPr>
        <w:pStyle w:val="Standard"/>
        <w:jc w:val="both"/>
        <w:rPr>
          <w:szCs w:val="20"/>
        </w:rPr>
      </w:pPr>
      <w:r>
        <w:rPr>
          <w:szCs w:val="20"/>
        </w:rPr>
        <w:t>- ustalić materiały nie</w:t>
      </w:r>
      <w:r>
        <w:rPr>
          <w:szCs w:val="20"/>
        </w:rPr>
        <w:t>zbędne do wykonania robót,</w:t>
      </w:r>
    </w:p>
    <w:p w:rsidR="00B77F00" w:rsidRDefault="00865FA3">
      <w:pPr>
        <w:pStyle w:val="Standard"/>
        <w:jc w:val="both"/>
        <w:rPr>
          <w:szCs w:val="20"/>
        </w:rPr>
      </w:pPr>
      <w:r>
        <w:rPr>
          <w:szCs w:val="20"/>
        </w:rPr>
        <w:t>- określić kolejność, sposób i termin wykonania robót.</w:t>
      </w:r>
    </w:p>
    <w:p w:rsidR="00B77F00" w:rsidRDefault="00865FA3">
      <w:pPr>
        <w:pStyle w:val="Standard"/>
        <w:jc w:val="both"/>
        <w:rPr>
          <w:szCs w:val="20"/>
        </w:rPr>
      </w:pPr>
      <w:r>
        <w:rPr>
          <w:szCs w:val="20"/>
        </w:rPr>
        <w:t>5.4. Projektowanie mieszanki mineralno-asfaltowej</w:t>
      </w:r>
    </w:p>
    <w:p w:rsidR="00B77F00" w:rsidRDefault="00865FA3">
      <w:pPr>
        <w:pStyle w:val="Standard"/>
        <w:jc w:val="both"/>
        <w:rPr>
          <w:szCs w:val="20"/>
        </w:rPr>
      </w:pPr>
      <w:r>
        <w:rPr>
          <w:szCs w:val="20"/>
        </w:rPr>
        <w:t>5.4.1. Projekt mieszanki mineralno-asfaltowej</w:t>
      </w:r>
    </w:p>
    <w:p w:rsidR="00B77F00" w:rsidRDefault="00865FA3">
      <w:pPr>
        <w:pStyle w:val="Standard"/>
        <w:jc w:val="both"/>
        <w:rPr>
          <w:szCs w:val="20"/>
        </w:rPr>
      </w:pPr>
      <w:r>
        <w:rPr>
          <w:szCs w:val="20"/>
        </w:rPr>
        <w:t xml:space="preserve">Przed przystąpieniem do robót, w terminie uzgodnionym z Inżynierem, Wykonawca </w:t>
      </w:r>
      <w:r>
        <w:rPr>
          <w:szCs w:val="20"/>
        </w:rPr>
        <w:t>dostarczy Inżynierowi do akceptacji projekt składu mieszanki mineralno-asfaltowej, wyniki badań laboratoryjnych oraz próbki materiałów pobrane w obecności Inżyniera do wykonania badań kontrolnych przez Zamawiającego.</w:t>
      </w:r>
    </w:p>
    <w:p w:rsidR="00B77F00" w:rsidRDefault="00865FA3">
      <w:pPr>
        <w:pStyle w:val="Standard"/>
        <w:jc w:val="both"/>
        <w:rPr>
          <w:szCs w:val="20"/>
        </w:rPr>
      </w:pPr>
      <w:r>
        <w:rPr>
          <w:szCs w:val="20"/>
        </w:rPr>
        <w:t xml:space="preserve">Projekt mieszanki mineralno-asfaltowej </w:t>
      </w:r>
      <w:r>
        <w:rPr>
          <w:szCs w:val="20"/>
        </w:rPr>
        <w:t>powinien określać:</w:t>
      </w:r>
    </w:p>
    <w:p w:rsidR="00B77F00" w:rsidRDefault="00865FA3">
      <w:pPr>
        <w:pStyle w:val="Standard"/>
        <w:jc w:val="both"/>
        <w:rPr>
          <w:szCs w:val="20"/>
        </w:rPr>
      </w:pPr>
      <w:r>
        <w:rPr>
          <w:szCs w:val="20"/>
        </w:rPr>
        <w:t>- źródło wszystkich zastosowanych materiałów,</w:t>
      </w:r>
    </w:p>
    <w:p w:rsidR="00B77F00" w:rsidRDefault="00865FA3">
      <w:pPr>
        <w:pStyle w:val="Standard"/>
        <w:jc w:val="both"/>
        <w:rPr>
          <w:szCs w:val="20"/>
        </w:rPr>
      </w:pPr>
      <w:r>
        <w:rPr>
          <w:szCs w:val="20"/>
        </w:rPr>
        <w:t>- proporcje wszystkich składników mieszanki mineralnej,</w:t>
      </w:r>
    </w:p>
    <w:p w:rsidR="00B77F00" w:rsidRDefault="00865FA3">
      <w:pPr>
        <w:pStyle w:val="Standard"/>
        <w:jc w:val="both"/>
        <w:rPr>
          <w:szCs w:val="20"/>
        </w:rPr>
      </w:pPr>
      <w:r>
        <w:rPr>
          <w:szCs w:val="20"/>
        </w:rPr>
        <w:t>- rzędne krzywych uziarnienia,</w:t>
      </w:r>
    </w:p>
    <w:p w:rsidR="00B77F00" w:rsidRDefault="00865FA3">
      <w:pPr>
        <w:pStyle w:val="Standard"/>
        <w:jc w:val="both"/>
        <w:rPr>
          <w:szCs w:val="20"/>
        </w:rPr>
      </w:pPr>
      <w:r>
        <w:rPr>
          <w:szCs w:val="20"/>
        </w:rPr>
        <w:t>- wyniki badań przeprowadzonych w celu określenia właściwości mieszanki, i porównanie ich z</w:t>
      </w:r>
    </w:p>
    <w:p w:rsidR="00B77F00" w:rsidRDefault="00865FA3">
      <w:pPr>
        <w:pStyle w:val="Standard"/>
        <w:jc w:val="both"/>
        <w:rPr>
          <w:szCs w:val="20"/>
        </w:rPr>
      </w:pPr>
      <w:r>
        <w:rPr>
          <w:szCs w:val="20"/>
        </w:rPr>
        <w:lastRenderedPageBreak/>
        <w:t xml:space="preserve">wymaganiami </w:t>
      </w:r>
      <w:r>
        <w:rPr>
          <w:szCs w:val="20"/>
        </w:rPr>
        <w:t>specyfikacji,</w:t>
      </w:r>
    </w:p>
    <w:p w:rsidR="00B77F00" w:rsidRDefault="00865FA3">
      <w:pPr>
        <w:pStyle w:val="Standard"/>
        <w:jc w:val="both"/>
        <w:rPr>
          <w:szCs w:val="20"/>
        </w:rPr>
      </w:pPr>
      <w:r>
        <w:rPr>
          <w:szCs w:val="20"/>
        </w:rPr>
        <w:t>- wyniki badań dotyczących fizycznych właściwości kruszywa,</w:t>
      </w:r>
    </w:p>
    <w:p w:rsidR="00B77F00" w:rsidRDefault="00865FA3">
      <w:pPr>
        <w:pStyle w:val="Standard"/>
        <w:jc w:val="both"/>
        <w:rPr>
          <w:szCs w:val="20"/>
        </w:rPr>
      </w:pPr>
      <w:r>
        <w:rPr>
          <w:szCs w:val="20"/>
        </w:rPr>
        <w:t>- temperaturę wytwarzania i układania mieszanki.</w:t>
      </w:r>
    </w:p>
    <w:p w:rsidR="00B77F00" w:rsidRDefault="00865FA3">
      <w:pPr>
        <w:pStyle w:val="Standard"/>
        <w:jc w:val="both"/>
        <w:rPr>
          <w:szCs w:val="20"/>
        </w:rPr>
      </w:pPr>
      <w:r>
        <w:rPr>
          <w:szCs w:val="20"/>
        </w:rPr>
        <w:t>Recepta powinna być zaprojektowana dla konkretnych materiałów zaakceptowanych przez Inżyniera do wbudowania i przy wykorzystaniu repr</w:t>
      </w:r>
      <w:r>
        <w:rPr>
          <w:szCs w:val="20"/>
        </w:rPr>
        <w:t>ezentatywnych próbek tych materiałów</w:t>
      </w:r>
    </w:p>
    <w:p w:rsidR="00B77F00" w:rsidRDefault="00865FA3">
      <w:pPr>
        <w:pStyle w:val="Standard"/>
        <w:jc w:val="both"/>
        <w:rPr>
          <w:szCs w:val="20"/>
        </w:rPr>
      </w:pPr>
      <w:r>
        <w:rPr>
          <w:szCs w:val="20"/>
        </w:rPr>
        <w:t>Jeżeli mieszanka mineralno-asfaltowa jest dostarczana z kilku wytwórni lub od kilku producentów, to należy zapewnić zgodność typu i wymiaru mieszanki oraz spełnienie wymaganej dokumentacji projektowej.</w:t>
      </w:r>
    </w:p>
    <w:p w:rsidR="00B77F00" w:rsidRDefault="00865FA3">
      <w:pPr>
        <w:pStyle w:val="Standard"/>
        <w:jc w:val="both"/>
        <w:rPr>
          <w:szCs w:val="20"/>
        </w:rPr>
      </w:pPr>
      <w:r>
        <w:rPr>
          <w:szCs w:val="20"/>
        </w:rPr>
        <w:t>Każda zmiana skła</w:t>
      </w:r>
      <w:r>
        <w:rPr>
          <w:szCs w:val="20"/>
        </w:rPr>
        <w:t>dników mieszanki w czasie trwania robót wymaga akceptacji Inżyniera oraz opracowania</w:t>
      </w:r>
    </w:p>
    <w:p w:rsidR="00B77F00" w:rsidRDefault="00865FA3">
      <w:pPr>
        <w:pStyle w:val="Standard"/>
        <w:jc w:val="both"/>
        <w:rPr>
          <w:szCs w:val="20"/>
        </w:rPr>
      </w:pPr>
      <w:r>
        <w:rPr>
          <w:szCs w:val="20"/>
        </w:rPr>
        <w:t>nowej recepty i jej zatwierdzenia.</w:t>
      </w:r>
    </w:p>
    <w:p w:rsidR="00B77F00" w:rsidRDefault="00865FA3">
      <w:pPr>
        <w:pStyle w:val="Standard"/>
        <w:jc w:val="both"/>
        <w:rPr>
          <w:szCs w:val="20"/>
        </w:rPr>
      </w:pPr>
      <w:r>
        <w:rPr>
          <w:szCs w:val="20"/>
        </w:rPr>
        <w:t>5.4.2. Mieszanka mineralna</w:t>
      </w:r>
    </w:p>
    <w:p w:rsidR="00B77F00" w:rsidRDefault="00865FA3">
      <w:pPr>
        <w:pStyle w:val="Standard"/>
        <w:jc w:val="both"/>
        <w:rPr>
          <w:szCs w:val="20"/>
        </w:rPr>
      </w:pPr>
      <w:r>
        <w:rPr>
          <w:szCs w:val="20"/>
        </w:rPr>
        <w:t>Uziarnienie mieszanki mineralnej oraz zawartość lepiszcza w asfalcie lanym podano w tablicy 6.</w:t>
      </w:r>
    </w:p>
    <w:p w:rsidR="00B77F00" w:rsidRDefault="00B77F00">
      <w:pPr>
        <w:pStyle w:val="Standard"/>
        <w:jc w:val="both"/>
        <w:rPr>
          <w:szCs w:val="20"/>
        </w:rPr>
      </w:pPr>
    </w:p>
    <w:p w:rsidR="00B77F00" w:rsidRDefault="00865FA3">
      <w:pPr>
        <w:pStyle w:val="Standard"/>
        <w:rPr>
          <w:szCs w:val="20"/>
        </w:rPr>
      </w:pPr>
      <w:r>
        <w:rPr>
          <w:szCs w:val="20"/>
        </w:rPr>
        <w:t xml:space="preserve">Tablica 6. </w:t>
      </w:r>
      <w:r>
        <w:rPr>
          <w:szCs w:val="20"/>
        </w:rPr>
        <w:t>Uziarnienie mieszanki mineralnej i zawartości lepiszcza do asfaltu lanego do przeciwspadku</w:t>
      </w:r>
    </w:p>
    <w:p w:rsidR="00B77F00" w:rsidRDefault="00B77F00">
      <w:pPr>
        <w:pStyle w:val="Standard"/>
        <w:rPr>
          <w:szCs w:val="20"/>
        </w:rPr>
      </w:pPr>
    </w:p>
    <w:tbl>
      <w:tblPr>
        <w:tblW w:w="5955" w:type="dxa"/>
        <w:tblInd w:w="1668" w:type="dxa"/>
        <w:tblLayout w:type="fixed"/>
        <w:tblCellMar>
          <w:left w:w="10" w:type="dxa"/>
          <w:right w:w="10" w:type="dxa"/>
        </w:tblCellMar>
        <w:tblLook w:val="0000" w:firstRow="0" w:lastRow="0" w:firstColumn="0" w:lastColumn="0" w:noHBand="0" w:noVBand="0"/>
      </w:tblPr>
      <w:tblGrid>
        <w:gridCol w:w="1985"/>
        <w:gridCol w:w="1985"/>
        <w:gridCol w:w="1985"/>
      </w:tblGrid>
      <w:tr w:rsidR="00B77F00">
        <w:tblPrEx>
          <w:tblCellMar>
            <w:top w:w="0" w:type="dxa"/>
            <w:bottom w:w="0" w:type="dxa"/>
          </w:tblCellMar>
        </w:tblPrEx>
        <w:trPr>
          <w:trHeight w:hRule="exact" w:val="240"/>
        </w:trPr>
        <w:tc>
          <w:tcPr>
            <w:tcW w:w="1985" w:type="dxa"/>
            <w:vMerge w:val="restart"/>
            <w:tcBorders>
              <w:top w:val="single" w:sz="4" w:space="0" w:color="000001"/>
              <w:left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1"/>
                <w:szCs w:val="20"/>
              </w:rPr>
              <w:t>W</w:t>
            </w:r>
            <w:r>
              <w:rPr>
                <w:rFonts w:eastAsia="Times New Roman" w:cs="Times New Roman"/>
                <w:szCs w:val="20"/>
              </w:rPr>
              <w:t>łaśc</w:t>
            </w:r>
            <w:r>
              <w:rPr>
                <w:rFonts w:eastAsia="Times New Roman" w:cs="Times New Roman"/>
                <w:spacing w:val="2"/>
                <w:szCs w:val="20"/>
              </w:rPr>
              <w:t>i</w:t>
            </w:r>
            <w:r>
              <w:rPr>
                <w:rFonts w:eastAsia="Times New Roman" w:cs="Times New Roman"/>
                <w:spacing w:val="-5"/>
                <w:szCs w:val="20"/>
              </w:rPr>
              <w:t>w</w:t>
            </w:r>
            <w:r>
              <w:rPr>
                <w:rFonts w:eastAsia="Times New Roman" w:cs="Times New Roman"/>
                <w:spacing w:val="3"/>
                <w:szCs w:val="20"/>
              </w:rPr>
              <w:t>o</w:t>
            </w:r>
            <w:r>
              <w:rPr>
                <w:rFonts w:eastAsia="Times New Roman" w:cs="Times New Roman"/>
                <w:spacing w:val="-1"/>
                <w:szCs w:val="20"/>
              </w:rPr>
              <w:t>ś</w:t>
            </w:r>
            <w:r>
              <w:rPr>
                <w:rFonts w:eastAsia="Times New Roman" w:cs="Times New Roman"/>
                <w:szCs w:val="20"/>
              </w:rPr>
              <w:t>ć</w:t>
            </w:r>
          </w:p>
        </w:tc>
        <w:tc>
          <w:tcPr>
            <w:tcW w:w="3970" w:type="dxa"/>
            <w:gridSpan w:val="2"/>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2"/>
                <w:szCs w:val="20"/>
              </w:rPr>
              <w:t>P</w:t>
            </w:r>
            <w:r>
              <w:rPr>
                <w:rFonts w:eastAsia="Times New Roman" w:cs="Times New Roman"/>
                <w:spacing w:val="1"/>
                <w:szCs w:val="20"/>
              </w:rPr>
              <w:t>r</w:t>
            </w:r>
            <w:r>
              <w:rPr>
                <w:rFonts w:eastAsia="Times New Roman" w:cs="Times New Roman"/>
                <w:szCs w:val="20"/>
              </w:rPr>
              <w:t>z</w:t>
            </w:r>
            <w:r>
              <w:rPr>
                <w:rFonts w:eastAsia="Times New Roman" w:cs="Times New Roman"/>
                <w:spacing w:val="1"/>
                <w:szCs w:val="20"/>
              </w:rPr>
              <w:t>e</w:t>
            </w:r>
            <w:r>
              <w:rPr>
                <w:rFonts w:eastAsia="Times New Roman" w:cs="Times New Roman"/>
                <w:spacing w:val="-1"/>
                <w:szCs w:val="20"/>
              </w:rPr>
              <w:t>s</w:t>
            </w:r>
            <w:r>
              <w:rPr>
                <w:rFonts w:eastAsia="Times New Roman" w:cs="Times New Roman"/>
                <w:szCs w:val="20"/>
              </w:rPr>
              <w:t>i</w:t>
            </w:r>
            <w:r>
              <w:rPr>
                <w:rFonts w:eastAsia="Times New Roman" w:cs="Times New Roman"/>
                <w:spacing w:val="2"/>
                <w:szCs w:val="20"/>
              </w:rPr>
              <w:t>e</w:t>
            </w:r>
            <w:r>
              <w:rPr>
                <w:rFonts w:eastAsia="Times New Roman" w:cs="Times New Roman"/>
                <w:szCs w:val="20"/>
              </w:rPr>
              <w:t>w</w:t>
            </w:r>
            <w:r>
              <w:rPr>
                <w:rFonts w:eastAsia="Times New Roman" w:cs="Times New Roman"/>
                <w:spacing w:val="-11"/>
                <w:szCs w:val="20"/>
              </w:rPr>
              <w:t xml:space="preserve"> </w:t>
            </w:r>
            <w:r>
              <w:rPr>
                <w:rFonts w:eastAsia="Times New Roman" w:cs="Times New Roman"/>
                <w:spacing w:val="1"/>
                <w:szCs w:val="20"/>
              </w:rPr>
              <w:t>[</w:t>
            </w:r>
            <w:r>
              <w:rPr>
                <w:rFonts w:eastAsia="Times New Roman" w:cs="Times New Roman"/>
                <w:szCs w:val="20"/>
              </w:rPr>
              <w:t>%</w:t>
            </w:r>
            <w:r>
              <w:rPr>
                <w:rFonts w:eastAsia="Times New Roman" w:cs="Times New Roman"/>
                <w:spacing w:val="3"/>
                <w:szCs w:val="20"/>
              </w:rPr>
              <w:t>(</w:t>
            </w:r>
            <w:r>
              <w:rPr>
                <w:rFonts w:eastAsia="Times New Roman" w:cs="Times New Roman"/>
                <w:spacing w:val="-1"/>
                <w:szCs w:val="20"/>
              </w:rPr>
              <w:t>m</w:t>
            </w:r>
            <w:r>
              <w:rPr>
                <w:rFonts w:eastAsia="Times New Roman" w:cs="Times New Roman"/>
                <w:spacing w:val="2"/>
                <w:szCs w:val="20"/>
              </w:rPr>
              <w:t>/</w:t>
            </w:r>
            <w:r>
              <w:rPr>
                <w:rFonts w:eastAsia="Times New Roman" w:cs="Times New Roman"/>
                <w:spacing w:val="-4"/>
                <w:szCs w:val="20"/>
              </w:rPr>
              <w:t>m</w:t>
            </w:r>
            <w:r>
              <w:rPr>
                <w:rFonts w:eastAsia="Times New Roman" w:cs="Times New Roman"/>
                <w:spacing w:val="1"/>
                <w:szCs w:val="20"/>
              </w:rPr>
              <w:t>)</w:t>
            </w:r>
            <w:r>
              <w:rPr>
                <w:rFonts w:eastAsia="Times New Roman" w:cs="Times New Roman"/>
                <w:szCs w:val="20"/>
              </w:rPr>
              <w:t>]</w:t>
            </w:r>
          </w:p>
        </w:tc>
      </w:tr>
      <w:tr w:rsidR="00B77F00">
        <w:tblPrEx>
          <w:tblCellMar>
            <w:top w:w="0" w:type="dxa"/>
            <w:bottom w:w="0" w:type="dxa"/>
          </w:tblCellMar>
        </w:tblPrEx>
        <w:trPr>
          <w:trHeight w:hRule="exact" w:val="470"/>
        </w:trPr>
        <w:tc>
          <w:tcPr>
            <w:tcW w:w="1985" w:type="dxa"/>
            <w:vMerge/>
            <w:tcBorders>
              <w:top w:val="single" w:sz="4" w:space="0" w:color="000001"/>
              <w:left w:val="single" w:sz="4" w:space="0" w:color="000001"/>
              <w:right w:val="single" w:sz="4" w:space="0" w:color="000001"/>
            </w:tcBorders>
            <w:tcMar>
              <w:top w:w="0" w:type="dxa"/>
              <w:left w:w="0" w:type="dxa"/>
              <w:bottom w:w="0" w:type="dxa"/>
              <w:right w:w="0" w:type="dxa"/>
            </w:tcMar>
            <w:vAlign w:val="center"/>
          </w:tcPr>
          <w:p w:rsidR="00000000" w:rsidRDefault="00865FA3"/>
        </w:tc>
        <w:tc>
          <w:tcPr>
            <w:tcW w:w="3970" w:type="dxa"/>
            <w:gridSpan w:val="2"/>
            <w:tcBorders>
              <w:top w:val="single" w:sz="4" w:space="0" w:color="000001"/>
              <w:left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b/>
                <w:spacing w:val="4"/>
                <w:szCs w:val="20"/>
              </w:rPr>
              <w:t>M</w:t>
            </w:r>
            <w:r>
              <w:rPr>
                <w:rFonts w:eastAsia="Times New Roman" w:cs="Times New Roman"/>
                <w:b/>
                <w:szCs w:val="20"/>
              </w:rPr>
              <w:t>A</w:t>
            </w:r>
            <w:r>
              <w:rPr>
                <w:rFonts w:eastAsia="Times New Roman" w:cs="Times New Roman"/>
                <w:b/>
                <w:spacing w:val="-5"/>
                <w:szCs w:val="20"/>
              </w:rPr>
              <w:t xml:space="preserve"> </w:t>
            </w:r>
            <w:r>
              <w:rPr>
                <w:rFonts w:eastAsia="Times New Roman" w:cs="Times New Roman"/>
                <w:b/>
                <w:spacing w:val="1"/>
                <w:w w:val="99"/>
                <w:szCs w:val="20"/>
              </w:rPr>
              <w:t>1</w:t>
            </w:r>
            <w:r>
              <w:rPr>
                <w:rFonts w:eastAsia="Times New Roman" w:cs="Times New Roman"/>
                <w:b/>
                <w:w w:val="99"/>
                <w:szCs w:val="20"/>
              </w:rPr>
              <w:t>1</w:t>
            </w:r>
          </w:p>
          <w:p w:rsidR="00B77F00" w:rsidRDefault="00865FA3">
            <w:pPr>
              <w:pStyle w:val="Standard"/>
              <w:rPr>
                <w:szCs w:val="20"/>
              </w:rPr>
            </w:pPr>
            <w:r>
              <w:rPr>
                <w:rFonts w:eastAsia="Times New Roman" w:cs="Times New Roman"/>
                <w:b/>
                <w:spacing w:val="1"/>
                <w:w w:val="99"/>
                <w:szCs w:val="20"/>
              </w:rPr>
              <w:t>K</w:t>
            </w:r>
            <w:r>
              <w:rPr>
                <w:rFonts w:eastAsia="Times New Roman" w:cs="Times New Roman"/>
                <w:b/>
                <w:w w:val="99"/>
                <w:szCs w:val="20"/>
              </w:rPr>
              <w:t>R</w:t>
            </w:r>
            <w:r>
              <w:rPr>
                <w:rFonts w:eastAsia="Times New Roman" w:cs="Times New Roman"/>
                <w:b/>
                <w:spacing w:val="2"/>
                <w:w w:val="99"/>
                <w:szCs w:val="20"/>
              </w:rPr>
              <w:t>1</w:t>
            </w:r>
            <w:r>
              <w:rPr>
                <w:rFonts w:eastAsia="Times New Roman" w:cs="Times New Roman"/>
                <w:b/>
                <w:spacing w:val="1"/>
                <w:w w:val="99"/>
                <w:szCs w:val="20"/>
              </w:rPr>
              <w:t>-K</w:t>
            </w:r>
            <w:r>
              <w:rPr>
                <w:rFonts w:eastAsia="Times New Roman" w:cs="Times New Roman"/>
                <w:b/>
                <w:w w:val="99"/>
                <w:szCs w:val="20"/>
              </w:rPr>
              <w:t>R6</w:t>
            </w:r>
          </w:p>
        </w:tc>
      </w:tr>
      <w:tr w:rsidR="00B77F00">
        <w:tblPrEx>
          <w:tblCellMar>
            <w:top w:w="0" w:type="dxa"/>
            <w:bottom w:w="0" w:type="dxa"/>
          </w:tblCellMar>
        </w:tblPrEx>
        <w:trPr>
          <w:trHeight w:hRule="exact" w:val="241"/>
        </w:trPr>
        <w:tc>
          <w:tcPr>
            <w:tcW w:w="198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1"/>
                <w:szCs w:val="20"/>
              </w:rPr>
              <w:t>W</w:t>
            </w:r>
            <w:r>
              <w:rPr>
                <w:rFonts w:eastAsia="Times New Roman" w:cs="Times New Roman"/>
                <w:spacing w:val="-1"/>
                <w:szCs w:val="20"/>
              </w:rPr>
              <w:t>ym</w:t>
            </w:r>
            <w:r>
              <w:rPr>
                <w:rFonts w:eastAsia="Times New Roman" w:cs="Times New Roman"/>
                <w:szCs w:val="20"/>
              </w:rPr>
              <w:t>iar</w:t>
            </w:r>
            <w:r>
              <w:rPr>
                <w:rFonts w:eastAsia="Times New Roman" w:cs="Times New Roman"/>
                <w:spacing w:val="-6"/>
                <w:szCs w:val="20"/>
              </w:rPr>
              <w:t xml:space="preserve"> </w:t>
            </w:r>
            <w:r>
              <w:rPr>
                <w:rFonts w:eastAsia="Times New Roman" w:cs="Times New Roman"/>
                <w:spacing w:val="-1"/>
                <w:szCs w:val="20"/>
              </w:rPr>
              <w:t>s</w:t>
            </w:r>
            <w:r>
              <w:rPr>
                <w:rFonts w:eastAsia="Times New Roman" w:cs="Times New Roman"/>
                <w:spacing w:val="2"/>
                <w:szCs w:val="20"/>
              </w:rPr>
              <w:t>i</w:t>
            </w:r>
            <w:r>
              <w:rPr>
                <w:rFonts w:eastAsia="Times New Roman" w:cs="Times New Roman"/>
                <w:szCs w:val="20"/>
              </w:rPr>
              <w:t>ta</w:t>
            </w:r>
            <w:r>
              <w:rPr>
                <w:rFonts w:eastAsia="Times New Roman" w:cs="Times New Roman"/>
                <w:spacing w:val="-3"/>
                <w:szCs w:val="20"/>
              </w:rPr>
              <w:t xml:space="preserve"> </w:t>
            </w:r>
            <w:r>
              <w:rPr>
                <w:rFonts w:eastAsia="Times New Roman" w:cs="Times New Roman"/>
                <w:spacing w:val="1"/>
                <w:szCs w:val="20"/>
              </w:rPr>
              <w:t>#</w:t>
            </w:r>
            <w:r>
              <w:rPr>
                <w:rFonts w:eastAsia="Times New Roman" w:cs="Times New Roman"/>
                <w:szCs w:val="20"/>
              </w:rPr>
              <w:t xml:space="preserve">, </w:t>
            </w:r>
            <w:r>
              <w:rPr>
                <w:rFonts w:eastAsia="Times New Roman" w:cs="Times New Roman"/>
                <w:spacing w:val="1"/>
                <w:szCs w:val="20"/>
              </w:rPr>
              <w:t>[</w:t>
            </w:r>
            <w:r>
              <w:rPr>
                <w:rFonts w:eastAsia="Times New Roman" w:cs="Times New Roman"/>
                <w:spacing w:val="-1"/>
                <w:szCs w:val="20"/>
              </w:rPr>
              <w:t>mm</w:t>
            </w:r>
            <w:r>
              <w:rPr>
                <w:rFonts w:eastAsia="Times New Roman" w:cs="Times New Roman"/>
                <w:szCs w:val="20"/>
              </w:rPr>
              <w:t>]</w:t>
            </w:r>
          </w:p>
        </w:tc>
        <w:tc>
          <w:tcPr>
            <w:tcW w:w="198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b/>
                <w:spacing w:val="1"/>
                <w:w w:val="99"/>
                <w:szCs w:val="20"/>
              </w:rPr>
            </w:pPr>
            <w:r>
              <w:rPr>
                <w:rFonts w:eastAsia="Times New Roman" w:cs="Times New Roman"/>
                <w:b/>
                <w:spacing w:val="1"/>
                <w:w w:val="99"/>
                <w:szCs w:val="20"/>
              </w:rPr>
              <w:t>od</w:t>
            </w:r>
          </w:p>
        </w:tc>
        <w:tc>
          <w:tcPr>
            <w:tcW w:w="198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b/>
                <w:w w:val="99"/>
                <w:szCs w:val="20"/>
              </w:rPr>
            </w:pPr>
            <w:r>
              <w:rPr>
                <w:rFonts w:eastAsia="Times New Roman" w:cs="Times New Roman"/>
                <w:b/>
                <w:w w:val="99"/>
                <w:szCs w:val="20"/>
              </w:rPr>
              <w:t>do</w:t>
            </w:r>
          </w:p>
        </w:tc>
      </w:tr>
      <w:tr w:rsidR="00B77F00">
        <w:tblPrEx>
          <w:tblCellMar>
            <w:top w:w="0" w:type="dxa"/>
            <w:bottom w:w="0" w:type="dxa"/>
          </w:tblCellMar>
        </w:tblPrEx>
        <w:trPr>
          <w:trHeight w:hRule="exact" w:val="240"/>
        </w:trPr>
        <w:tc>
          <w:tcPr>
            <w:tcW w:w="198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1"/>
                <w:w w:val="99"/>
                <w:szCs w:val="20"/>
              </w:rPr>
              <w:t>16</w:t>
            </w:r>
            <w:r>
              <w:rPr>
                <w:rFonts w:eastAsia="Times New Roman" w:cs="Times New Roman"/>
                <w:w w:val="99"/>
                <w:szCs w:val="20"/>
              </w:rPr>
              <w:t>,0</w:t>
            </w:r>
          </w:p>
        </w:tc>
        <w:tc>
          <w:tcPr>
            <w:tcW w:w="198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b/>
                <w:spacing w:val="1"/>
                <w:w w:val="99"/>
                <w:szCs w:val="20"/>
              </w:rPr>
            </w:pPr>
            <w:r>
              <w:rPr>
                <w:rFonts w:eastAsia="Times New Roman" w:cs="Times New Roman"/>
                <w:b/>
                <w:spacing w:val="1"/>
                <w:w w:val="99"/>
                <w:szCs w:val="20"/>
              </w:rPr>
              <w:t>100</w:t>
            </w:r>
          </w:p>
        </w:tc>
        <w:tc>
          <w:tcPr>
            <w:tcW w:w="198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b/>
                <w:w w:val="99"/>
                <w:szCs w:val="20"/>
              </w:rPr>
            </w:pPr>
            <w:r>
              <w:rPr>
                <w:rFonts w:eastAsia="Times New Roman" w:cs="Times New Roman"/>
                <w:b/>
                <w:w w:val="99"/>
                <w:szCs w:val="20"/>
              </w:rPr>
              <w:t>-</w:t>
            </w:r>
          </w:p>
        </w:tc>
      </w:tr>
      <w:tr w:rsidR="00B77F00">
        <w:tblPrEx>
          <w:tblCellMar>
            <w:top w:w="0" w:type="dxa"/>
            <w:bottom w:w="0" w:type="dxa"/>
          </w:tblCellMar>
        </w:tblPrEx>
        <w:trPr>
          <w:trHeight w:hRule="exact" w:val="240"/>
        </w:trPr>
        <w:tc>
          <w:tcPr>
            <w:tcW w:w="198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1"/>
                <w:w w:val="99"/>
                <w:szCs w:val="20"/>
              </w:rPr>
              <w:t>11</w:t>
            </w:r>
            <w:r>
              <w:rPr>
                <w:rFonts w:eastAsia="Times New Roman" w:cs="Times New Roman"/>
                <w:w w:val="99"/>
                <w:szCs w:val="20"/>
              </w:rPr>
              <w:t>,2</w:t>
            </w:r>
          </w:p>
        </w:tc>
        <w:tc>
          <w:tcPr>
            <w:tcW w:w="198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b/>
                <w:spacing w:val="1"/>
                <w:w w:val="99"/>
                <w:szCs w:val="20"/>
              </w:rPr>
            </w:pPr>
            <w:r>
              <w:rPr>
                <w:rFonts w:eastAsia="Times New Roman" w:cs="Times New Roman"/>
                <w:b/>
                <w:spacing w:val="1"/>
                <w:w w:val="99"/>
                <w:szCs w:val="20"/>
              </w:rPr>
              <w:t>90</w:t>
            </w:r>
          </w:p>
        </w:tc>
        <w:tc>
          <w:tcPr>
            <w:tcW w:w="198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b/>
                <w:spacing w:val="1"/>
                <w:w w:val="99"/>
                <w:szCs w:val="20"/>
              </w:rPr>
            </w:pPr>
            <w:r>
              <w:rPr>
                <w:rFonts w:eastAsia="Times New Roman" w:cs="Times New Roman"/>
                <w:b/>
                <w:spacing w:val="1"/>
                <w:w w:val="99"/>
                <w:szCs w:val="20"/>
              </w:rPr>
              <w:t>100</w:t>
            </w:r>
          </w:p>
        </w:tc>
      </w:tr>
      <w:tr w:rsidR="00B77F00">
        <w:tblPrEx>
          <w:tblCellMar>
            <w:top w:w="0" w:type="dxa"/>
            <w:bottom w:w="0" w:type="dxa"/>
          </w:tblCellMar>
        </w:tblPrEx>
        <w:trPr>
          <w:trHeight w:hRule="exact" w:val="240"/>
        </w:trPr>
        <w:tc>
          <w:tcPr>
            <w:tcW w:w="198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1"/>
                <w:w w:val="99"/>
                <w:szCs w:val="20"/>
              </w:rPr>
              <w:t>8</w:t>
            </w:r>
            <w:r>
              <w:rPr>
                <w:rFonts w:eastAsia="Times New Roman" w:cs="Times New Roman"/>
                <w:w w:val="99"/>
                <w:szCs w:val="20"/>
              </w:rPr>
              <w:t>,0</w:t>
            </w:r>
          </w:p>
        </w:tc>
        <w:tc>
          <w:tcPr>
            <w:tcW w:w="198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b/>
                <w:spacing w:val="1"/>
                <w:w w:val="99"/>
                <w:szCs w:val="20"/>
              </w:rPr>
            </w:pPr>
            <w:r>
              <w:rPr>
                <w:rFonts w:eastAsia="Times New Roman" w:cs="Times New Roman"/>
                <w:b/>
                <w:spacing w:val="1"/>
                <w:w w:val="99"/>
                <w:szCs w:val="20"/>
              </w:rPr>
              <w:t>70</w:t>
            </w:r>
          </w:p>
        </w:tc>
        <w:tc>
          <w:tcPr>
            <w:tcW w:w="198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b/>
                <w:spacing w:val="1"/>
                <w:w w:val="99"/>
                <w:szCs w:val="20"/>
              </w:rPr>
            </w:pPr>
            <w:r>
              <w:rPr>
                <w:rFonts w:eastAsia="Times New Roman" w:cs="Times New Roman"/>
                <w:b/>
                <w:spacing w:val="1"/>
                <w:w w:val="99"/>
                <w:szCs w:val="20"/>
              </w:rPr>
              <w:t>85</w:t>
            </w:r>
          </w:p>
        </w:tc>
      </w:tr>
      <w:tr w:rsidR="00B77F00">
        <w:tblPrEx>
          <w:tblCellMar>
            <w:top w:w="0" w:type="dxa"/>
            <w:bottom w:w="0" w:type="dxa"/>
          </w:tblCellMar>
        </w:tblPrEx>
        <w:trPr>
          <w:trHeight w:hRule="exact" w:val="240"/>
        </w:trPr>
        <w:tc>
          <w:tcPr>
            <w:tcW w:w="198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1"/>
                <w:w w:val="99"/>
                <w:szCs w:val="20"/>
              </w:rPr>
              <w:t>5</w:t>
            </w:r>
            <w:r>
              <w:rPr>
                <w:rFonts w:eastAsia="Times New Roman" w:cs="Times New Roman"/>
                <w:w w:val="99"/>
                <w:szCs w:val="20"/>
              </w:rPr>
              <w:t>,6</w:t>
            </w:r>
          </w:p>
        </w:tc>
        <w:tc>
          <w:tcPr>
            <w:tcW w:w="198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b/>
                <w:w w:val="99"/>
                <w:szCs w:val="20"/>
              </w:rPr>
            </w:pPr>
            <w:r>
              <w:rPr>
                <w:rFonts w:eastAsia="Times New Roman" w:cs="Times New Roman"/>
                <w:b/>
                <w:w w:val="99"/>
                <w:szCs w:val="20"/>
              </w:rPr>
              <w:t>-</w:t>
            </w:r>
          </w:p>
        </w:tc>
        <w:tc>
          <w:tcPr>
            <w:tcW w:w="198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b/>
                <w:w w:val="99"/>
                <w:szCs w:val="20"/>
              </w:rPr>
            </w:pPr>
            <w:r>
              <w:rPr>
                <w:rFonts w:eastAsia="Times New Roman" w:cs="Times New Roman"/>
                <w:b/>
                <w:w w:val="99"/>
                <w:szCs w:val="20"/>
              </w:rPr>
              <w:t>-</w:t>
            </w:r>
          </w:p>
        </w:tc>
      </w:tr>
      <w:tr w:rsidR="00B77F00">
        <w:tblPrEx>
          <w:tblCellMar>
            <w:top w:w="0" w:type="dxa"/>
            <w:bottom w:w="0" w:type="dxa"/>
          </w:tblCellMar>
        </w:tblPrEx>
        <w:trPr>
          <w:trHeight w:hRule="exact" w:val="240"/>
        </w:trPr>
        <w:tc>
          <w:tcPr>
            <w:tcW w:w="198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w w:val="99"/>
                <w:szCs w:val="20"/>
              </w:rPr>
            </w:pPr>
            <w:r>
              <w:rPr>
                <w:rFonts w:eastAsia="Times New Roman" w:cs="Times New Roman"/>
                <w:w w:val="99"/>
                <w:szCs w:val="20"/>
              </w:rPr>
              <w:t>2</w:t>
            </w:r>
          </w:p>
        </w:tc>
        <w:tc>
          <w:tcPr>
            <w:tcW w:w="198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b/>
                <w:spacing w:val="1"/>
                <w:w w:val="99"/>
                <w:szCs w:val="20"/>
              </w:rPr>
            </w:pPr>
            <w:r>
              <w:rPr>
                <w:rFonts w:eastAsia="Times New Roman" w:cs="Times New Roman"/>
                <w:b/>
                <w:spacing w:val="1"/>
                <w:w w:val="99"/>
                <w:szCs w:val="20"/>
              </w:rPr>
              <w:t>45</w:t>
            </w:r>
          </w:p>
        </w:tc>
        <w:tc>
          <w:tcPr>
            <w:tcW w:w="198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b/>
                <w:spacing w:val="1"/>
                <w:w w:val="99"/>
                <w:szCs w:val="20"/>
              </w:rPr>
            </w:pPr>
            <w:r>
              <w:rPr>
                <w:rFonts w:eastAsia="Times New Roman" w:cs="Times New Roman"/>
                <w:b/>
                <w:spacing w:val="1"/>
                <w:w w:val="99"/>
                <w:szCs w:val="20"/>
              </w:rPr>
              <w:t>55</w:t>
            </w:r>
          </w:p>
        </w:tc>
      </w:tr>
      <w:tr w:rsidR="00B77F00">
        <w:tblPrEx>
          <w:tblCellMar>
            <w:top w:w="0" w:type="dxa"/>
            <w:bottom w:w="0" w:type="dxa"/>
          </w:tblCellMar>
        </w:tblPrEx>
        <w:trPr>
          <w:trHeight w:hRule="exact" w:val="240"/>
        </w:trPr>
        <w:tc>
          <w:tcPr>
            <w:tcW w:w="198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1"/>
                <w:w w:val="99"/>
                <w:szCs w:val="20"/>
              </w:rPr>
              <w:t>0</w:t>
            </w:r>
            <w:r>
              <w:rPr>
                <w:rFonts w:eastAsia="Times New Roman" w:cs="Times New Roman"/>
                <w:w w:val="99"/>
                <w:szCs w:val="20"/>
              </w:rPr>
              <w:t>,</w:t>
            </w:r>
            <w:r>
              <w:rPr>
                <w:rFonts w:eastAsia="Times New Roman" w:cs="Times New Roman"/>
                <w:spacing w:val="1"/>
                <w:w w:val="99"/>
                <w:szCs w:val="20"/>
              </w:rPr>
              <w:t>12</w:t>
            </w:r>
            <w:r>
              <w:rPr>
                <w:rFonts w:eastAsia="Times New Roman" w:cs="Times New Roman"/>
                <w:w w:val="99"/>
                <w:szCs w:val="20"/>
              </w:rPr>
              <w:t>5</w:t>
            </w:r>
          </w:p>
        </w:tc>
        <w:tc>
          <w:tcPr>
            <w:tcW w:w="198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b/>
                <w:spacing w:val="1"/>
                <w:w w:val="99"/>
                <w:szCs w:val="20"/>
              </w:rPr>
            </w:pPr>
            <w:r>
              <w:rPr>
                <w:rFonts w:eastAsia="Times New Roman" w:cs="Times New Roman"/>
                <w:b/>
                <w:spacing w:val="1"/>
                <w:w w:val="99"/>
                <w:szCs w:val="20"/>
              </w:rPr>
              <w:t>22</w:t>
            </w:r>
          </w:p>
        </w:tc>
        <w:tc>
          <w:tcPr>
            <w:tcW w:w="198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rFonts w:eastAsia="Times New Roman" w:cs="Times New Roman"/>
                <w:b/>
                <w:spacing w:val="1"/>
                <w:w w:val="99"/>
                <w:szCs w:val="20"/>
              </w:rPr>
            </w:pPr>
            <w:r>
              <w:rPr>
                <w:rFonts w:eastAsia="Times New Roman" w:cs="Times New Roman"/>
                <w:b/>
                <w:spacing w:val="1"/>
                <w:w w:val="99"/>
                <w:szCs w:val="20"/>
              </w:rPr>
              <w:t>35</w:t>
            </w:r>
          </w:p>
        </w:tc>
      </w:tr>
      <w:tr w:rsidR="00B77F00">
        <w:tblPrEx>
          <w:tblCellMar>
            <w:top w:w="0" w:type="dxa"/>
            <w:bottom w:w="0" w:type="dxa"/>
          </w:tblCellMar>
        </w:tblPrEx>
        <w:trPr>
          <w:trHeight w:hRule="exact" w:val="240"/>
        </w:trPr>
        <w:tc>
          <w:tcPr>
            <w:tcW w:w="198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1"/>
                <w:w w:val="99"/>
                <w:szCs w:val="20"/>
              </w:rPr>
              <w:t>0</w:t>
            </w:r>
            <w:r>
              <w:rPr>
                <w:rFonts w:eastAsia="Times New Roman" w:cs="Times New Roman"/>
                <w:w w:val="99"/>
                <w:szCs w:val="20"/>
              </w:rPr>
              <w:t>,</w:t>
            </w:r>
            <w:r>
              <w:rPr>
                <w:rFonts w:eastAsia="Times New Roman" w:cs="Times New Roman"/>
                <w:spacing w:val="1"/>
                <w:w w:val="99"/>
                <w:szCs w:val="20"/>
              </w:rPr>
              <w:t>06</w:t>
            </w:r>
            <w:r>
              <w:rPr>
                <w:rFonts w:eastAsia="Times New Roman" w:cs="Times New Roman"/>
                <w:w w:val="99"/>
                <w:szCs w:val="20"/>
              </w:rPr>
              <w:t>3</w:t>
            </w:r>
          </w:p>
        </w:tc>
        <w:tc>
          <w:tcPr>
            <w:tcW w:w="198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b/>
                <w:spacing w:val="1"/>
                <w:w w:val="99"/>
                <w:szCs w:val="20"/>
              </w:rPr>
              <w:t>20</w:t>
            </w:r>
            <w:r>
              <w:rPr>
                <w:rFonts w:eastAsia="Times New Roman" w:cs="Times New Roman"/>
                <w:b/>
                <w:w w:val="99"/>
                <w:szCs w:val="20"/>
              </w:rPr>
              <w:t>,0</w:t>
            </w:r>
          </w:p>
        </w:tc>
        <w:tc>
          <w:tcPr>
            <w:tcW w:w="198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b/>
                <w:spacing w:val="1"/>
                <w:w w:val="99"/>
                <w:szCs w:val="20"/>
              </w:rPr>
              <w:t>28</w:t>
            </w:r>
            <w:r>
              <w:rPr>
                <w:rFonts w:eastAsia="Times New Roman" w:cs="Times New Roman"/>
                <w:b/>
                <w:w w:val="99"/>
                <w:szCs w:val="20"/>
              </w:rPr>
              <w:t>,0</w:t>
            </w:r>
          </w:p>
        </w:tc>
      </w:tr>
      <w:tr w:rsidR="00B77F00">
        <w:tblPrEx>
          <w:tblCellMar>
            <w:top w:w="0" w:type="dxa"/>
            <w:bottom w:w="0" w:type="dxa"/>
          </w:tblCellMar>
        </w:tblPrEx>
        <w:trPr>
          <w:trHeight w:hRule="exact" w:val="240"/>
        </w:trPr>
        <w:tc>
          <w:tcPr>
            <w:tcW w:w="1985"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z</w:t>
            </w:r>
            <w:r>
              <w:rPr>
                <w:rFonts w:eastAsia="Times New Roman" w:cs="Times New Roman"/>
                <w:spacing w:val="3"/>
                <w:szCs w:val="20"/>
              </w:rPr>
              <w:t>a</w:t>
            </w:r>
            <w:r>
              <w:rPr>
                <w:rFonts w:eastAsia="Times New Roman" w:cs="Times New Roman"/>
                <w:spacing w:val="-5"/>
                <w:szCs w:val="20"/>
              </w:rPr>
              <w:t>w</w:t>
            </w:r>
            <w:r>
              <w:rPr>
                <w:rFonts w:eastAsia="Times New Roman" w:cs="Times New Roman"/>
                <w:szCs w:val="20"/>
              </w:rPr>
              <w:t>a</w:t>
            </w:r>
            <w:r>
              <w:rPr>
                <w:rFonts w:eastAsia="Times New Roman" w:cs="Times New Roman"/>
                <w:spacing w:val="1"/>
                <w:szCs w:val="20"/>
              </w:rPr>
              <w:t>r</w:t>
            </w:r>
            <w:r>
              <w:rPr>
                <w:rFonts w:eastAsia="Times New Roman" w:cs="Times New Roman"/>
                <w:szCs w:val="20"/>
              </w:rPr>
              <w:t>t</w:t>
            </w:r>
            <w:r>
              <w:rPr>
                <w:rFonts w:eastAsia="Times New Roman" w:cs="Times New Roman"/>
                <w:spacing w:val="1"/>
                <w:szCs w:val="20"/>
              </w:rPr>
              <w:t>o</w:t>
            </w:r>
            <w:r>
              <w:rPr>
                <w:rFonts w:eastAsia="Times New Roman" w:cs="Times New Roman"/>
                <w:spacing w:val="-1"/>
                <w:szCs w:val="20"/>
              </w:rPr>
              <w:t>ś</w:t>
            </w:r>
            <w:r>
              <w:rPr>
                <w:rFonts w:eastAsia="Times New Roman" w:cs="Times New Roman"/>
                <w:szCs w:val="20"/>
              </w:rPr>
              <w:t>ć</w:t>
            </w:r>
            <w:r>
              <w:rPr>
                <w:rFonts w:eastAsia="Times New Roman" w:cs="Times New Roman"/>
                <w:spacing w:val="-7"/>
                <w:szCs w:val="20"/>
              </w:rPr>
              <w:t xml:space="preserve"> </w:t>
            </w:r>
            <w:r>
              <w:rPr>
                <w:rFonts w:eastAsia="Times New Roman" w:cs="Times New Roman"/>
                <w:szCs w:val="20"/>
              </w:rPr>
              <w:t>le</w:t>
            </w:r>
            <w:r>
              <w:rPr>
                <w:rFonts w:eastAsia="Times New Roman" w:cs="Times New Roman"/>
                <w:spacing w:val="1"/>
                <w:szCs w:val="20"/>
              </w:rPr>
              <w:t>p</w:t>
            </w:r>
            <w:r>
              <w:rPr>
                <w:rFonts w:eastAsia="Times New Roman" w:cs="Times New Roman"/>
                <w:szCs w:val="20"/>
              </w:rPr>
              <w:t>i</w:t>
            </w:r>
            <w:r>
              <w:rPr>
                <w:rFonts w:eastAsia="Times New Roman" w:cs="Times New Roman"/>
                <w:spacing w:val="-1"/>
                <w:szCs w:val="20"/>
              </w:rPr>
              <w:t>s</w:t>
            </w:r>
            <w:r>
              <w:rPr>
                <w:rFonts w:eastAsia="Times New Roman" w:cs="Times New Roman"/>
                <w:szCs w:val="20"/>
              </w:rPr>
              <w:t>z</w:t>
            </w:r>
            <w:r>
              <w:rPr>
                <w:rFonts w:eastAsia="Times New Roman" w:cs="Times New Roman"/>
                <w:spacing w:val="1"/>
                <w:szCs w:val="20"/>
              </w:rPr>
              <w:t>c</w:t>
            </w:r>
            <w:r>
              <w:rPr>
                <w:rFonts w:eastAsia="Times New Roman" w:cs="Times New Roman"/>
                <w:szCs w:val="20"/>
              </w:rPr>
              <w:t>za</w:t>
            </w:r>
          </w:p>
        </w:tc>
        <w:tc>
          <w:tcPr>
            <w:tcW w:w="3970" w:type="dxa"/>
            <w:gridSpan w:val="2"/>
            <w:tcBorders>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b/>
                <w:spacing w:val="4"/>
                <w:w w:val="99"/>
                <w:szCs w:val="20"/>
              </w:rPr>
              <w:t>B</w:t>
            </w:r>
            <w:r>
              <w:rPr>
                <w:rFonts w:eastAsia="Times New Roman" w:cs="Times New Roman"/>
                <w:b/>
                <w:spacing w:val="-5"/>
                <w:w w:val="99"/>
                <w:position w:val="-5"/>
                <w:szCs w:val="20"/>
              </w:rPr>
              <w:t>m</w:t>
            </w:r>
            <w:r>
              <w:rPr>
                <w:rFonts w:eastAsia="Times New Roman" w:cs="Times New Roman"/>
                <w:b/>
                <w:spacing w:val="2"/>
                <w:position w:val="-5"/>
                <w:szCs w:val="20"/>
              </w:rPr>
              <w:t>i</w:t>
            </w:r>
            <w:r>
              <w:rPr>
                <w:rFonts w:eastAsia="Times New Roman" w:cs="Times New Roman"/>
                <w:b/>
                <w:spacing w:val="-2"/>
                <w:w w:val="99"/>
                <w:position w:val="-5"/>
                <w:szCs w:val="20"/>
              </w:rPr>
              <w:t>n</w:t>
            </w:r>
            <w:r>
              <w:rPr>
                <w:rFonts w:eastAsia="Times New Roman" w:cs="Times New Roman"/>
                <w:b/>
                <w:w w:val="99"/>
                <w:position w:val="-5"/>
                <w:szCs w:val="20"/>
              </w:rPr>
              <w:t>6</w:t>
            </w:r>
            <w:r>
              <w:rPr>
                <w:rFonts w:eastAsia="Times New Roman" w:cs="Times New Roman"/>
                <w:b/>
                <w:spacing w:val="1"/>
                <w:w w:val="99"/>
                <w:position w:val="-5"/>
                <w:szCs w:val="20"/>
              </w:rPr>
              <w:t>.</w:t>
            </w:r>
            <w:r>
              <w:rPr>
                <w:rFonts w:eastAsia="Times New Roman" w:cs="Times New Roman"/>
                <w:b/>
                <w:w w:val="99"/>
                <w:position w:val="-5"/>
                <w:szCs w:val="20"/>
              </w:rPr>
              <w:t>5</w:t>
            </w:r>
          </w:p>
        </w:tc>
      </w:tr>
    </w:tbl>
    <w:p w:rsidR="00B77F00" w:rsidRDefault="00B77F00">
      <w:pPr>
        <w:pStyle w:val="Standard"/>
        <w:rPr>
          <w:szCs w:val="20"/>
        </w:rPr>
      </w:pPr>
    </w:p>
    <w:p w:rsidR="00B77F00" w:rsidRDefault="00865FA3">
      <w:pPr>
        <w:pStyle w:val="Standard"/>
        <w:jc w:val="both"/>
        <w:rPr>
          <w:szCs w:val="20"/>
        </w:rPr>
      </w:pPr>
      <w:r>
        <w:rPr>
          <w:szCs w:val="20"/>
        </w:rPr>
        <w:t xml:space="preserve">Minimalna zawartość lepiszcza (kategoria Bmin) jest to najmniejsza ilość lepiszcza rozpuszczalnego i nierozpuszczalnego, określona dla danego typu mieszanki mineralno-asfaltowej (np. Bmin6.5=6,5%) przy założonej gęstości mieszanki </w:t>
      </w:r>
      <w:r>
        <w:rPr>
          <w:szCs w:val="20"/>
        </w:rPr>
        <w:t>mineralnej 2,650 Mg/m3. Jeżeli stosowana mieszanka mineralna ma inną gęstość (ρα), to do wyznaczenia minimalnej zawartości lepiszcza podana wartość należy pomnożyć przez współczynnik α według równania:</w:t>
      </w:r>
    </w:p>
    <w:p w:rsidR="00B77F00" w:rsidRDefault="00865FA3">
      <w:pPr>
        <w:pStyle w:val="Standard"/>
        <w:jc w:val="both"/>
        <w:rPr>
          <w:szCs w:val="20"/>
        </w:rPr>
      </w:pPr>
      <w:r>
        <w:rPr>
          <w:szCs w:val="20"/>
        </w:rPr>
        <w:t>Α=2,650/ ρ</w:t>
      </w:r>
      <w:r>
        <w:rPr>
          <w:szCs w:val="20"/>
          <w:vertAlign w:val="subscript"/>
        </w:rPr>
        <w:t>α</w:t>
      </w:r>
    </w:p>
    <w:p w:rsidR="00B77F00" w:rsidRDefault="00865FA3">
      <w:pPr>
        <w:pStyle w:val="Standard"/>
        <w:jc w:val="both"/>
        <w:rPr>
          <w:szCs w:val="20"/>
        </w:rPr>
      </w:pPr>
      <w:r>
        <w:rPr>
          <w:szCs w:val="20"/>
        </w:rPr>
        <w:t>Gęstość mieszanki kruszyw wyznaczamy ze wz</w:t>
      </w:r>
      <w:r>
        <w:rPr>
          <w:szCs w:val="20"/>
        </w:rPr>
        <w:t>oru:</w:t>
      </w:r>
    </w:p>
    <w:p w:rsidR="00B77F00" w:rsidRDefault="00B77F00">
      <w:pPr>
        <w:pStyle w:val="Standard"/>
        <w:jc w:val="both"/>
        <w:rPr>
          <w:szCs w:val="20"/>
        </w:rPr>
      </w:pPr>
    </w:p>
    <w:p w:rsidR="00B77F00" w:rsidRDefault="00865FA3">
      <w:pPr>
        <w:pStyle w:val="Standard"/>
        <w:rPr>
          <w:szCs w:val="20"/>
        </w:rPr>
      </w:pPr>
      <w:r>
        <w:rPr>
          <w:noProof/>
          <w:szCs w:val="20"/>
        </w:rPr>
        <w:drawing>
          <wp:anchor distT="0" distB="0" distL="114300" distR="114300" simplePos="0" relativeHeight="7" behindDoc="0" locked="0" layoutInCell="1" allowOverlap="1">
            <wp:simplePos x="0" y="0"/>
            <wp:positionH relativeFrom="column">
              <wp:align>center</wp:align>
            </wp:positionH>
            <wp:positionV relativeFrom="paragraph">
              <wp:align>top</wp:align>
            </wp:positionV>
            <wp:extent cx="1501200" cy="756360"/>
            <wp:effectExtent l="0" t="0" r="3750" b="5640"/>
            <wp:wrapTopAndBottom/>
            <wp:docPr id="9" name="Obraz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lum/>
                      <a:alphaModFix/>
                    </a:blip>
                    <a:srcRect/>
                    <a:stretch>
                      <a:fillRect/>
                    </a:stretch>
                  </pic:blipFill>
                  <pic:spPr>
                    <a:xfrm>
                      <a:off x="0" y="0"/>
                      <a:ext cx="1501200" cy="756360"/>
                    </a:xfrm>
                    <a:prstGeom prst="rect">
                      <a:avLst/>
                    </a:prstGeom>
                  </pic:spPr>
                </pic:pic>
              </a:graphicData>
            </a:graphic>
          </wp:anchor>
        </w:drawing>
      </w:r>
    </w:p>
    <w:p w:rsidR="00B77F00" w:rsidRDefault="00865FA3">
      <w:pPr>
        <w:pStyle w:val="Standard"/>
        <w:jc w:val="both"/>
        <w:rPr>
          <w:szCs w:val="20"/>
        </w:rPr>
      </w:pPr>
      <w:r>
        <w:rPr>
          <w:szCs w:val="20"/>
        </w:rPr>
        <w:t>Gdzie:</w:t>
      </w:r>
    </w:p>
    <w:p w:rsidR="00B77F00" w:rsidRDefault="00865FA3">
      <w:pPr>
        <w:pStyle w:val="Standard"/>
        <w:jc w:val="both"/>
        <w:rPr>
          <w:szCs w:val="20"/>
        </w:rPr>
      </w:pPr>
      <w:r>
        <w:rPr>
          <w:szCs w:val="20"/>
        </w:rPr>
        <w:t xml:space="preserve"> </w:t>
      </w:r>
      <w:r>
        <w:rPr>
          <w:szCs w:val="20"/>
        </w:rPr>
        <w:t xml:space="preserve"> P1 </w:t>
      </w:r>
      <w:r>
        <w:rPr>
          <w:szCs w:val="20"/>
        </w:rPr>
        <w:t xml:space="preserve"> P2 </w:t>
      </w:r>
      <w:r>
        <w:rPr>
          <w:szCs w:val="20"/>
        </w:rPr>
        <w:t></w:t>
      </w:r>
      <w:r>
        <w:rPr>
          <w:szCs w:val="20"/>
        </w:rPr>
        <w:t xml:space="preserve">... </w:t>
      </w:r>
      <w:r>
        <w:rPr>
          <w:szCs w:val="20"/>
        </w:rPr>
        <w:t></w:t>
      </w:r>
      <w:r>
        <w:rPr>
          <w:szCs w:val="20"/>
        </w:rPr>
        <w:t>Pn</w:t>
      </w:r>
    </w:p>
    <w:p w:rsidR="00B77F00" w:rsidRDefault="00865FA3">
      <w:pPr>
        <w:pStyle w:val="Standard"/>
        <w:jc w:val="both"/>
        <w:rPr>
          <w:szCs w:val="20"/>
        </w:rPr>
      </w:pPr>
      <w:r>
        <w:rPr>
          <w:szCs w:val="20"/>
        </w:rPr>
        <w:t xml:space="preserve">P1 </w:t>
      </w:r>
      <w:r>
        <w:rPr>
          <w:szCs w:val="20"/>
        </w:rPr>
        <w:t xml:space="preserve"> P2 </w:t>
      </w:r>
      <w:r>
        <w:rPr>
          <w:szCs w:val="20"/>
        </w:rPr>
        <w:t xml:space="preserve"> ... </w:t>
      </w:r>
      <w:r>
        <w:rPr>
          <w:szCs w:val="20"/>
        </w:rPr>
        <w:t> Pn</w:t>
      </w:r>
    </w:p>
    <w:p w:rsidR="00B77F00" w:rsidRDefault="00865FA3">
      <w:pPr>
        <w:pStyle w:val="Standard"/>
        <w:jc w:val="both"/>
        <w:rPr>
          <w:szCs w:val="20"/>
        </w:rPr>
      </w:pPr>
      <w:r>
        <w:rPr>
          <w:szCs w:val="20"/>
        </w:rPr>
        <w:t> 1</w:t>
      </w:r>
      <w:r>
        <w:rPr>
          <w:szCs w:val="20"/>
        </w:rPr>
        <w:t xml:space="preserve"> </w:t>
      </w:r>
      <w:r>
        <w:rPr>
          <w:szCs w:val="20"/>
        </w:rPr>
        <w:t xml:space="preserve"> 2 </w:t>
      </w:r>
      <w:r>
        <w:rPr>
          <w:szCs w:val="20"/>
        </w:rPr>
        <w:t xml:space="preserve"> ... </w:t>
      </w:r>
      <w:r>
        <w:rPr>
          <w:szCs w:val="20"/>
        </w:rPr>
        <w:t xml:space="preserve"> </w:t>
      </w:r>
      <w:r>
        <w:rPr>
          <w:szCs w:val="20"/>
        </w:rPr>
        <w:t> n</w:t>
      </w:r>
    </w:p>
    <w:p w:rsidR="00B77F00" w:rsidRDefault="00865FA3">
      <w:pPr>
        <w:pStyle w:val="Standard"/>
        <w:jc w:val="both"/>
        <w:rPr>
          <w:szCs w:val="20"/>
        </w:rPr>
      </w:pPr>
      <w:r>
        <w:rPr>
          <w:szCs w:val="20"/>
        </w:rPr>
        <w:t>P1+P2+…Pn - procentowa zawartość poszczególnych frakcji kruszyw (składników mieszanki mineralnej)</w:t>
      </w:r>
    </w:p>
    <w:p w:rsidR="00B77F00" w:rsidRDefault="00865FA3">
      <w:pPr>
        <w:pStyle w:val="Standard"/>
        <w:jc w:val="both"/>
        <w:rPr>
          <w:szCs w:val="20"/>
        </w:rPr>
      </w:pPr>
      <w:r>
        <w:rPr>
          <w:szCs w:val="20"/>
        </w:rPr>
        <w:t xml:space="preserve">ρ1 + ρ2 +…. ρn - gęstość poszczególnych frakcji kruszyw (składników mieszanki </w:t>
      </w:r>
      <w:r>
        <w:rPr>
          <w:szCs w:val="20"/>
        </w:rPr>
        <w:t>mineralnej)</w:t>
      </w:r>
    </w:p>
    <w:p w:rsidR="00B77F00" w:rsidRDefault="00865FA3">
      <w:pPr>
        <w:pStyle w:val="Standard"/>
        <w:jc w:val="both"/>
        <w:rPr>
          <w:szCs w:val="20"/>
        </w:rPr>
      </w:pPr>
      <w:r>
        <w:rPr>
          <w:szCs w:val="20"/>
        </w:rPr>
        <w:t>Minimalna zawartość lepiszcza w zaprojektowanej mieszance (recepcie) powinna być wyższa od podanego Bmin o wielkość dopuszczal</w:t>
      </w:r>
      <w:r>
        <w:rPr>
          <w:szCs w:val="20"/>
        </w:rPr>
        <w:t>nej odchyłki 0,3 zawierającej błąd dozowania składników.</w:t>
      </w:r>
    </w:p>
    <w:p w:rsidR="00B77F00" w:rsidRDefault="00865FA3">
      <w:pPr>
        <w:pStyle w:val="Standard"/>
        <w:jc w:val="both"/>
        <w:rPr>
          <w:szCs w:val="20"/>
        </w:rPr>
      </w:pPr>
      <w:r>
        <w:rPr>
          <w:szCs w:val="20"/>
        </w:rPr>
        <w:t>Minimalna zawartość lepiszcza asfaltowego odzyskanego w ekstr</w:t>
      </w:r>
      <w:r>
        <w:rPr>
          <w:szCs w:val="20"/>
        </w:rPr>
        <w:t>akcji – jest to lepiszcze rozpuszczalne w projektowanej mieszance mineralno-asfaltowej (recepcie), nie uwzględniająca lepiszcza zaabsorbowanego przez kruszywo.</w:t>
      </w:r>
    </w:p>
    <w:p w:rsidR="00B77F00" w:rsidRDefault="00865FA3">
      <w:pPr>
        <w:pStyle w:val="Standard"/>
        <w:jc w:val="both"/>
        <w:rPr>
          <w:szCs w:val="20"/>
        </w:rPr>
      </w:pPr>
      <w:r>
        <w:rPr>
          <w:szCs w:val="20"/>
        </w:rPr>
        <w:t>Lepiszcze rozpuszczalne to lepiszcze tworzące błonkę lepiszcza na ziarnach kruszywa.</w:t>
      </w:r>
    </w:p>
    <w:p w:rsidR="00B77F00" w:rsidRDefault="00865FA3">
      <w:pPr>
        <w:pStyle w:val="Standard"/>
        <w:jc w:val="both"/>
        <w:rPr>
          <w:szCs w:val="20"/>
        </w:rPr>
      </w:pPr>
      <w:r>
        <w:rPr>
          <w:szCs w:val="20"/>
        </w:rPr>
        <w:t>Lepiszcze n</w:t>
      </w:r>
      <w:r>
        <w:rPr>
          <w:szCs w:val="20"/>
        </w:rPr>
        <w:t>ierozpuszczalne – lepiszcze absorbowane przez pory kruszywa mieszanki mineralnej.</w:t>
      </w:r>
    </w:p>
    <w:p w:rsidR="00B77F00" w:rsidRDefault="00865FA3">
      <w:pPr>
        <w:pStyle w:val="Standard"/>
        <w:jc w:val="both"/>
        <w:rPr>
          <w:szCs w:val="20"/>
        </w:rPr>
      </w:pPr>
      <w:r>
        <w:rPr>
          <w:szCs w:val="20"/>
        </w:rPr>
        <w:t>5.4.3. Wymagania dla mieszanki mineralno-asfaltowej</w:t>
      </w:r>
    </w:p>
    <w:p w:rsidR="00B77F00" w:rsidRDefault="00865FA3">
      <w:pPr>
        <w:pStyle w:val="Standard"/>
        <w:jc w:val="both"/>
        <w:rPr>
          <w:szCs w:val="20"/>
        </w:rPr>
      </w:pPr>
      <w:r>
        <w:rPr>
          <w:szCs w:val="20"/>
        </w:rPr>
        <w:t>Asfalt lany do do wykonania przeciwspadku powinien spełniać wymagania zależnie od obciążenia ruchem</w:t>
      </w:r>
    </w:p>
    <w:p w:rsidR="00B77F00" w:rsidRDefault="00865FA3">
      <w:pPr>
        <w:pStyle w:val="Standard"/>
        <w:jc w:val="both"/>
        <w:rPr>
          <w:szCs w:val="20"/>
        </w:rPr>
      </w:pPr>
      <w:r>
        <w:rPr>
          <w:szCs w:val="20"/>
        </w:rPr>
        <w:t>podane w tablicy 7.</w:t>
      </w:r>
    </w:p>
    <w:p w:rsidR="00B77F00" w:rsidRDefault="00B77F00">
      <w:pPr>
        <w:pStyle w:val="Standard"/>
        <w:jc w:val="both"/>
        <w:rPr>
          <w:szCs w:val="20"/>
        </w:rPr>
      </w:pPr>
    </w:p>
    <w:p w:rsidR="00B77F00" w:rsidRDefault="00865FA3">
      <w:pPr>
        <w:pStyle w:val="Standard"/>
        <w:rPr>
          <w:szCs w:val="20"/>
        </w:rPr>
      </w:pPr>
      <w:r>
        <w:rPr>
          <w:szCs w:val="20"/>
        </w:rPr>
        <w:t>Tablica 7. Wymagane właściwości asfaltu lanego do przeciwspadku</w:t>
      </w:r>
    </w:p>
    <w:tbl>
      <w:tblPr>
        <w:tblW w:w="7481" w:type="dxa"/>
        <w:tblLayout w:type="fixed"/>
        <w:tblCellMar>
          <w:left w:w="10" w:type="dxa"/>
          <w:right w:w="10" w:type="dxa"/>
        </w:tblCellMar>
        <w:tblLook w:val="0000" w:firstRow="0" w:lastRow="0" w:firstColumn="0" w:lastColumn="0" w:noHBand="0" w:noVBand="0"/>
      </w:tblPr>
      <w:tblGrid>
        <w:gridCol w:w="1987"/>
        <w:gridCol w:w="1894"/>
        <w:gridCol w:w="1846"/>
        <w:gridCol w:w="1754"/>
      </w:tblGrid>
      <w:tr w:rsidR="00B77F00">
        <w:tblPrEx>
          <w:tblCellMar>
            <w:top w:w="0" w:type="dxa"/>
            <w:bottom w:w="0" w:type="dxa"/>
          </w:tblCellMar>
        </w:tblPrEx>
        <w:tc>
          <w:tcPr>
            <w:tcW w:w="1987"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1"/>
                <w:szCs w:val="20"/>
              </w:rPr>
              <w:t>W</w:t>
            </w:r>
            <w:r>
              <w:rPr>
                <w:rFonts w:eastAsia="Times New Roman" w:cs="Times New Roman"/>
                <w:szCs w:val="20"/>
              </w:rPr>
              <w:t>łaśc</w:t>
            </w:r>
            <w:r>
              <w:rPr>
                <w:rFonts w:eastAsia="Times New Roman" w:cs="Times New Roman"/>
                <w:spacing w:val="2"/>
                <w:szCs w:val="20"/>
              </w:rPr>
              <w:t>i</w:t>
            </w:r>
            <w:r>
              <w:rPr>
                <w:rFonts w:eastAsia="Times New Roman" w:cs="Times New Roman"/>
                <w:spacing w:val="-5"/>
                <w:szCs w:val="20"/>
              </w:rPr>
              <w:t>w</w:t>
            </w:r>
            <w:r>
              <w:rPr>
                <w:rFonts w:eastAsia="Times New Roman" w:cs="Times New Roman"/>
                <w:spacing w:val="3"/>
                <w:szCs w:val="20"/>
              </w:rPr>
              <w:t>o</w:t>
            </w:r>
            <w:r>
              <w:rPr>
                <w:rFonts w:eastAsia="Times New Roman" w:cs="Times New Roman"/>
                <w:spacing w:val="-1"/>
                <w:szCs w:val="20"/>
              </w:rPr>
              <w:t>ś</w:t>
            </w:r>
            <w:r>
              <w:rPr>
                <w:rFonts w:eastAsia="Times New Roman" w:cs="Times New Roman"/>
                <w:szCs w:val="20"/>
              </w:rPr>
              <w:t>ć</w:t>
            </w:r>
          </w:p>
        </w:tc>
        <w:tc>
          <w:tcPr>
            <w:tcW w:w="1894"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1"/>
                <w:szCs w:val="20"/>
              </w:rPr>
              <w:t>Me</w:t>
            </w:r>
            <w:r>
              <w:rPr>
                <w:rFonts w:eastAsia="Times New Roman" w:cs="Times New Roman"/>
                <w:szCs w:val="20"/>
              </w:rPr>
              <w:t>t</w:t>
            </w:r>
            <w:r>
              <w:rPr>
                <w:rFonts w:eastAsia="Times New Roman" w:cs="Times New Roman"/>
                <w:spacing w:val="1"/>
                <w:szCs w:val="20"/>
              </w:rPr>
              <w:t>od</w:t>
            </w:r>
            <w:r>
              <w:rPr>
                <w:rFonts w:eastAsia="Times New Roman" w:cs="Times New Roman"/>
                <w:szCs w:val="20"/>
              </w:rPr>
              <w:t>a</w:t>
            </w:r>
            <w:r>
              <w:rPr>
                <w:rFonts w:eastAsia="Times New Roman" w:cs="Times New Roman"/>
                <w:spacing w:val="-5"/>
                <w:szCs w:val="20"/>
              </w:rPr>
              <w:t xml:space="preserve"> </w:t>
            </w:r>
            <w:r>
              <w:rPr>
                <w:rFonts w:eastAsia="Times New Roman" w:cs="Times New Roman"/>
                <w:spacing w:val="1"/>
                <w:szCs w:val="20"/>
              </w:rPr>
              <w:t>b</w:t>
            </w:r>
            <w:r>
              <w:rPr>
                <w:rFonts w:eastAsia="Times New Roman" w:cs="Times New Roman"/>
                <w:szCs w:val="20"/>
              </w:rPr>
              <w:t>a</w:t>
            </w:r>
            <w:r>
              <w:rPr>
                <w:rFonts w:eastAsia="Times New Roman" w:cs="Times New Roman"/>
                <w:spacing w:val="1"/>
                <w:szCs w:val="20"/>
              </w:rPr>
              <w:t>d</w:t>
            </w:r>
            <w:r>
              <w:rPr>
                <w:rFonts w:eastAsia="Times New Roman" w:cs="Times New Roman"/>
                <w:szCs w:val="20"/>
              </w:rPr>
              <w:t>a</w:t>
            </w:r>
            <w:r>
              <w:rPr>
                <w:rFonts w:eastAsia="Times New Roman" w:cs="Times New Roman"/>
                <w:spacing w:val="-1"/>
                <w:szCs w:val="20"/>
              </w:rPr>
              <w:t>n</w:t>
            </w:r>
            <w:r>
              <w:rPr>
                <w:rFonts w:eastAsia="Times New Roman" w:cs="Times New Roman"/>
                <w:szCs w:val="20"/>
              </w:rPr>
              <w:t>ia</w:t>
            </w:r>
          </w:p>
        </w:tc>
        <w:tc>
          <w:tcPr>
            <w:tcW w:w="1846"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w w:val="99"/>
                <w:szCs w:val="20"/>
              </w:rPr>
              <w:t>K</w:t>
            </w:r>
            <w:r>
              <w:rPr>
                <w:rFonts w:eastAsia="Times New Roman" w:cs="Times New Roman"/>
                <w:spacing w:val="-1"/>
                <w:w w:val="99"/>
                <w:szCs w:val="20"/>
              </w:rPr>
              <w:t>R</w:t>
            </w:r>
            <w:r>
              <w:rPr>
                <w:rFonts w:eastAsia="Times New Roman" w:cs="Times New Roman"/>
                <w:spacing w:val="1"/>
                <w:w w:val="99"/>
                <w:szCs w:val="20"/>
              </w:rPr>
              <w:t>1</w:t>
            </w:r>
            <w:r>
              <w:rPr>
                <w:rFonts w:eastAsia="Times New Roman" w:cs="Times New Roman"/>
                <w:spacing w:val="-2"/>
                <w:w w:val="99"/>
                <w:szCs w:val="20"/>
              </w:rPr>
              <w:t>-</w:t>
            </w:r>
            <w:r>
              <w:rPr>
                <w:rFonts w:eastAsia="Times New Roman" w:cs="Times New Roman"/>
                <w:w w:val="99"/>
                <w:szCs w:val="20"/>
              </w:rPr>
              <w:t>2</w:t>
            </w:r>
          </w:p>
        </w:tc>
        <w:tc>
          <w:tcPr>
            <w:tcW w:w="1754"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w w:val="99"/>
                <w:szCs w:val="20"/>
              </w:rPr>
              <w:t>K</w:t>
            </w:r>
            <w:r>
              <w:rPr>
                <w:rFonts w:eastAsia="Times New Roman" w:cs="Times New Roman"/>
                <w:spacing w:val="-1"/>
                <w:w w:val="99"/>
                <w:szCs w:val="20"/>
              </w:rPr>
              <w:t>R</w:t>
            </w:r>
            <w:r>
              <w:rPr>
                <w:rFonts w:eastAsia="Times New Roman" w:cs="Times New Roman"/>
                <w:spacing w:val="1"/>
                <w:w w:val="99"/>
                <w:szCs w:val="20"/>
              </w:rPr>
              <w:t>3</w:t>
            </w:r>
            <w:r>
              <w:rPr>
                <w:rFonts w:eastAsia="Times New Roman" w:cs="Times New Roman"/>
                <w:spacing w:val="-2"/>
                <w:w w:val="99"/>
                <w:szCs w:val="20"/>
              </w:rPr>
              <w:t>-</w:t>
            </w:r>
            <w:r>
              <w:rPr>
                <w:rFonts w:eastAsia="Times New Roman" w:cs="Times New Roman"/>
                <w:w w:val="99"/>
                <w:szCs w:val="20"/>
              </w:rPr>
              <w:t>6</w:t>
            </w:r>
          </w:p>
        </w:tc>
      </w:tr>
      <w:tr w:rsidR="00B77F00">
        <w:tblPrEx>
          <w:tblCellMar>
            <w:top w:w="0" w:type="dxa"/>
            <w:bottom w:w="0" w:type="dxa"/>
          </w:tblCellMar>
        </w:tblPrEx>
        <w:tc>
          <w:tcPr>
            <w:tcW w:w="1987"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zCs w:val="20"/>
              </w:rPr>
              <w:t>O</w:t>
            </w:r>
            <w:r>
              <w:rPr>
                <w:rFonts w:eastAsia="Times New Roman" w:cs="Times New Roman"/>
                <w:spacing w:val="1"/>
                <w:szCs w:val="20"/>
              </w:rPr>
              <w:t>dpor</w:t>
            </w:r>
            <w:r>
              <w:rPr>
                <w:rFonts w:eastAsia="Times New Roman" w:cs="Times New Roman"/>
                <w:spacing w:val="-1"/>
                <w:szCs w:val="20"/>
              </w:rPr>
              <w:t>n</w:t>
            </w:r>
            <w:r>
              <w:rPr>
                <w:rFonts w:eastAsia="Times New Roman" w:cs="Times New Roman"/>
                <w:spacing w:val="1"/>
                <w:szCs w:val="20"/>
              </w:rPr>
              <w:t>o</w:t>
            </w:r>
            <w:r>
              <w:rPr>
                <w:rFonts w:eastAsia="Times New Roman" w:cs="Times New Roman"/>
                <w:spacing w:val="-1"/>
                <w:szCs w:val="20"/>
              </w:rPr>
              <w:t>ś</w:t>
            </w:r>
            <w:r>
              <w:rPr>
                <w:rFonts w:eastAsia="Times New Roman" w:cs="Times New Roman"/>
                <w:szCs w:val="20"/>
              </w:rPr>
              <w:t>ć</w:t>
            </w:r>
            <w:r>
              <w:rPr>
                <w:rFonts w:eastAsia="Times New Roman" w:cs="Times New Roman"/>
                <w:spacing w:val="-8"/>
                <w:szCs w:val="20"/>
              </w:rPr>
              <w:t xml:space="preserve"> </w:t>
            </w:r>
            <w:r>
              <w:rPr>
                <w:rFonts w:eastAsia="Times New Roman" w:cs="Times New Roman"/>
                <w:spacing w:val="-1"/>
                <w:szCs w:val="20"/>
              </w:rPr>
              <w:t>n</w:t>
            </w:r>
            <w:r>
              <w:rPr>
                <w:rFonts w:eastAsia="Times New Roman" w:cs="Times New Roman"/>
                <w:szCs w:val="20"/>
              </w:rPr>
              <w:t>a</w:t>
            </w:r>
          </w:p>
          <w:p w:rsidR="00B77F00" w:rsidRDefault="00865FA3">
            <w:pPr>
              <w:pStyle w:val="Standard"/>
              <w:rPr>
                <w:szCs w:val="20"/>
              </w:rPr>
            </w:pPr>
            <w:r>
              <w:rPr>
                <w:rFonts w:eastAsia="Times New Roman" w:cs="Times New Roman"/>
                <w:spacing w:val="1"/>
                <w:szCs w:val="20"/>
              </w:rPr>
              <w:t>d</w:t>
            </w:r>
            <w:r>
              <w:rPr>
                <w:rFonts w:eastAsia="Times New Roman" w:cs="Times New Roman"/>
                <w:szCs w:val="20"/>
              </w:rPr>
              <w:t>e</w:t>
            </w:r>
            <w:r>
              <w:rPr>
                <w:rFonts w:eastAsia="Times New Roman" w:cs="Times New Roman"/>
                <w:spacing w:val="-1"/>
                <w:szCs w:val="20"/>
              </w:rPr>
              <w:t>f</w:t>
            </w:r>
            <w:r>
              <w:rPr>
                <w:rFonts w:eastAsia="Times New Roman" w:cs="Times New Roman"/>
                <w:spacing w:val="1"/>
                <w:szCs w:val="20"/>
              </w:rPr>
              <w:t>o</w:t>
            </w:r>
            <w:r>
              <w:rPr>
                <w:rFonts w:eastAsia="Times New Roman" w:cs="Times New Roman"/>
                <w:spacing w:val="3"/>
                <w:szCs w:val="20"/>
              </w:rPr>
              <w:t>r</w:t>
            </w:r>
            <w:r>
              <w:rPr>
                <w:rFonts w:eastAsia="Times New Roman" w:cs="Times New Roman"/>
                <w:spacing w:val="-4"/>
                <w:szCs w:val="20"/>
              </w:rPr>
              <w:t>m</w:t>
            </w:r>
            <w:r>
              <w:rPr>
                <w:rFonts w:eastAsia="Times New Roman" w:cs="Times New Roman"/>
                <w:szCs w:val="20"/>
              </w:rPr>
              <w:t>a</w:t>
            </w:r>
            <w:r>
              <w:rPr>
                <w:rFonts w:eastAsia="Times New Roman" w:cs="Times New Roman"/>
                <w:spacing w:val="1"/>
                <w:szCs w:val="20"/>
              </w:rPr>
              <w:t>c</w:t>
            </w:r>
            <w:r>
              <w:rPr>
                <w:rFonts w:eastAsia="Times New Roman" w:cs="Times New Roman"/>
                <w:spacing w:val="2"/>
                <w:szCs w:val="20"/>
              </w:rPr>
              <w:t>j</w:t>
            </w:r>
            <w:r>
              <w:rPr>
                <w:rFonts w:eastAsia="Times New Roman" w:cs="Times New Roman"/>
                <w:szCs w:val="20"/>
              </w:rPr>
              <w:t>e</w:t>
            </w:r>
            <w:r>
              <w:rPr>
                <w:rFonts w:eastAsia="Times New Roman" w:cs="Times New Roman"/>
                <w:spacing w:val="-8"/>
                <w:szCs w:val="20"/>
              </w:rPr>
              <w:t xml:space="preserve"> </w:t>
            </w:r>
            <w:r>
              <w:rPr>
                <w:rFonts w:eastAsia="Times New Roman" w:cs="Times New Roman"/>
                <w:szCs w:val="20"/>
              </w:rPr>
              <w:t>t</w:t>
            </w:r>
            <w:r>
              <w:rPr>
                <w:rFonts w:eastAsia="Times New Roman" w:cs="Times New Roman"/>
                <w:spacing w:val="3"/>
                <w:szCs w:val="20"/>
              </w:rPr>
              <w:t>r</w:t>
            </w:r>
            <w:r>
              <w:rPr>
                <w:rFonts w:eastAsia="Times New Roman" w:cs="Times New Roman"/>
                <w:spacing w:val="-5"/>
                <w:szCs w:val="20"/>
              </w:rPr>
              <w:t>w</w:t>
            </w:r>
            <w:r>
              <w:rPr>
                <w:rFonts w:eastAsia="Times New Roman" w:cs="Times New Roman"/>
                <w:szCs w:val="20"/>
              </w:rPr>
              <w:t>ałe</w:t>
            </w:r>
          </w:p>
        </w:tc>
        <w:tc>
          <w:tcPr>
            <w:tcW w:w="1894"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2"/>
                <w:szCs w:val="20"/>
              </w:rPr>
              <w:t>P</w:t>
            </w:r>
            <w:r>
              <w:rPr>
                <w:rFonts w:eastAsia="Times New Roman" w:cs="Times New Roman"/>
                <w:szCs w:val="20"/>
              </w:rPr>
              <w:t>N</w:t>
            </w:r>
            <w:r>
              <w:rPr>
                <w:rFonts w:eastAsia="Times New Roman" w:cs="Times New Roman"/>
                <w:spacing w:val="-2"/>
                <w:szCs w:val="20"/>
              </w:rPr>
              <w:t>-</w:t>
            </w:r>
            <w:r>
              <w:rPr>
                <w:rFonts w:eastAsia="Times New Roman" w:cs="Times New Roman"/>
                <w:szCs w:val="20"/>
              </w:rPr>
              <w:t>EN</w:t>
            </w:r>
            <w:r>
              <w:rPr>
                <w:rFonts w:eastAsia="Times New Roman" w:cs="Times New Roman"/>
                <w:spacing w:val="-6"/>
                <w:szCs w:val="20"/>
              </w:rPr>
              <w:t xml:space="preserve"> </w:t>
            </w:r>
            <w:r>
              <w:rPr>
                <w:rFonts w:eastAsia="Times New Roman" w:cs="Times New Roman"/>
                <w:spacing w:val="1"/>
                <w:szCs w:val="20"/>
              </w:rPr>
              <w:t>1310</w:t>
            </w:r>
            <w:r>
              <w:rPr>
                <w:rFonts w:eastAsia="Times New Roman" w:cs="Times New Roman"/>
                <w:spacing w:val="2"/>
                <w:szCs w:val="20"/>
              </w:rPr>
              <w:t>8</w:t>
            </w:r>
            <w:r>
              <w:rPr>
                <w:rFonts w:eastAsia="Times New Roman" w:cs="Times New Roman"/>
                <w:spacing w:val="-2"/>
                <w:szCs w:val="20"/>
              </w:rPr>
              <w:t>-</w:t>
            </w:r>
            <w:r>
              <w:rPr>
                <w:rFonts w:eastAsia="Times New Roman" w:cs="Times New Roman"/>
                <w:spacing w:val="1"/>
                <w:szCs w:val="20"/>
              </w:rPr>
              <w:t>20</w:t>
            </w:r>
          </w:p>
        </w:tc>
        <w:tc>
          <w:tcPr>
            <w:tcW w:w="1846"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1"/>
                <w:w w:val="99"/>
                <w:position w:val="1"/>
                <w:szCs w:val="20"/>
              </w:rPr>
              <w:t>I</w:t>
            </w:r>
            <w:r>
              <w:rPr>
                <w:rFonts w:eastAsia="Times New Roman" w:cs="Times New Roman"/>
                <w:spacing w:val="-2"/>
                <w:w w:val="99"/>
                <w:position w:val="-3"/>
                <w:szCs w:val="20"/>
              </w:rPr>
              <w:t>m</w:t>
            </w:r>
            <w:r>
              <w:rPr>
                <w:rFonts w:eastAsia="Times New Roman" w:cs="Times New Roman"/>
                <w:w w:val="99"/>
                <w:position w:val="-3"/>
                <w:szCs w:val="20"/>
              </w:rPr>
              <w:t>in1</w:t>
            </w:r>
            <w:r>
              <w:rPr>
                <w:rFonts w:eastAsia="Times New Roman" w:cs="Times New Roman"/>
                <w:spacing w:val="1"/>
                <w:w w:val="99"/>
                <w:position w:val="-3"/>
                <w:szCs w:val="20"/>
              </w:rPr>
              <w:t>,</w:t>
            </w:r>
            <w:r>
              <w:rPr>
                <w:rFonts w:eastAsia="Times New Roman" w:cs="Times New Roman"/>
                <w:w w:val="99"/>
                <w:position w:val="-3"/>
                <w:szCs w:val="20"/>
              </w:rPr>
              <w:t>0</w:t>
            </w:r>
          </w:p>
          <w:p w:rsidR="00B77F00" w:rsidRDefault="00865FA3">
            <w:pPr>
              <w:pStyle w:val="Standard"/>
              <w:rPr>
                <w:szCs w:val="20"/>
              </w:rPr>
            </w:pPr>
            <w:r>
              <w:rPr>
                <w:rFonts w:eastAsia="Times New Roman" w:cs="Times New Roman"/>
                <w:spacing w:val="1"/>
                <w:w w:val="99"/>
                <w:position w:val="1"/>
                <w:szCs w:val="20"/>
              </w:rPr>
              <w:t>I</w:t>
            </w:r>
            <w:r>
              <w:rPr>
                <w:rFonts w:eastAsia="Times New Roman" w:cs="Times New Roman"/>
                <w:spacing w:val="-2"/>
                <w:w w:val="99"/>
                <w:position w:val="-3"/>
                <w:szCs w:val="20"/>
              </w:rPr>
              <w:t>m</w:t>
            </w:r>
            <w:r>
              <w:rPr>
                <w:rFonts w:eastAsia="Times New Roman" w:cs="Times New Roman"/>
                <w:w w:val="99"/>
                <w:position w:val="-3"/>
                <w:szCs w:val="20"/>
              </w:rPr>
              <w:t>ax4</w:t>
            </w:r>
            <w:r>
              <w:rPr>
                <w:rFonts w:eastAsia="Times New Roman" w:cs="Times New Roman"/>
                <w:spacing w:val="1"/>
                <w:w w:val="99"/>
                <w:position w:val="-3"/>
                <w:szCs w:val="20"/>
              </w:rPr>
              <w:t>,</w:t>
            </w:r>
            <w:r>
              <w:rPr>
                <w:rFonts w:eastAsia="Times New Roman" w:cs="Times New Roman"/>
                <w:w w:val="99"/>
                <w:position w:val="-3"/>
                <w:szCs w:val="20"/>
              </w:rPr>
              <w:t>0</w:t>
            </w:r>
          </w:p>
          <w:p w:rsidR="00B77F00" w:rsidRDefault="00865FA3">
            <w:pPr>
              <w:pStyle w:val="Standard"/>
              <w:rPr>
                <w:szCs w:val="20"/>
              </w:rPr>
            </w:pPr>
            <w:r>
              <w:rPr>
                <w:rFonts w:eastAsia="Times New Roman" w:cs="Times New Roman"/>
                <w:spacing w:val="1"/>
                <w:w w:val="99"/>
                <w:position w:val="1"/>
                <w:szCs w:val="20"/>
              </w:rPr>
              <w:t>I</w:t>
            </w:r>
            <w:r>
              <w:rPr>
                <w:rFonts w:eastAsia="Times New Roman" w:cs="Times New Roman"/>
                <w:w w:val="99"/>
                <w:position w:val="-3"/>
                <w:szCs w:val="20"/>
              </w:rPr>
              <w:t>NC0</w:t>
            </w:r>
            <w:r>
              <w:rPr>
                <w:rFonts w:eastAsia="Times New Roman" w:cs="Times New Roman"/>
                <w:spacing w:val="1"/>
                <w:w w:val="99"/>
                <w:position w:val="-3"/>
                <w:szCs w:val="20"/>
              </w:rPr>
              <w:t>,</w:t>
            </w:r>
            <w:r>
              <w:rPr>
                <w:rFonts w:eastAsia="Times New Roman" w:cs="Times New Roman"/>
                <w:w w:val="99"/>
                <w:position w:val="-3"/>
                <w:szCs w:val="20"/>
              </w:rPr>
              <w:t>6</w:t>
            </w:r>
          </w:p>
        </w:tc>
        <w:tc>
          <w:tcPr>
            <w:tcW w:w="1754"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vAlign w:val="center"/>
          </w:tcPr>
          <w:p w:rsidR="00B77F00" w:rsidRDefault="00865FA3">
            <w:pPr>
              <w:pStyle w:val="Standard"/>
              <w:rPr>
                <w:szCs w:val="20"/>
              </w:rPr>
            </w:pPr>
            <w:r>
              <w:rPr>
                <w:rFonts w:eastAsia="Times New Roman" w:cs="Times New Roman"/>
                <w:spacing w:val="1"/>
                <w:w w:val="99"/>
                <w:position w:val="1"/>
                <w:szCs w:val="20"/>
              </w:rPr>
              <w:t>I</w:t>
            </w:r>
            <w:r>
              <w:rPr>
                <w:rFonts w:eastAsia="Times New Roman" w:cs="Times New Roman"/>
                <w:spacing w:val="-2"/>
                <w:w w:val="99"/>
                <w:position w:val="-3"/>
                <w:szCs w:val="20"/>
              </w:rPr>
              <w:t>m</w:t>
            </w:r>
            <w:r>
              <w:rPr>
                <w:rFonts w:eastAsia="Times New Roman" w:cs="Times New Roman"/>
                <w:w w:val="99"/>
                <w:position w:val="-3"/>
                <w:szCs w:val="20"/>
              </w:rPr>
              <w:t>in1</w:t>
            </w:r>
            <w:r>
              <w:rPr>
                <w:rFonts w:eastAsia="Times New Roman" w:cs="Times New Roman"/>
                <w:spacing w:val="1"/>
                <w:w w:val="99"/>
                <w:position w:val="-3"/>
                <w:szCs w:val="20"/>
              </w:rPr>
              <w:t>,</w:t>
            </w:r>
            <w:r>
              <w:rPr>
                <w:rFonts w:eastAsia="Times New Roman" w:cs="Times New Roman"/>
                <w:w w:val="99"/>
                <w:position w:val="-3"/>
                <w:szCs w:val="20"/>
              </w:rPr>
              <w:t>0</w:t>
            </w:r>
          </w:p>
          <w:p w:rsidR="00B77F00" w:rsidRDefault="00865FA3">
            <w:pPr>
              <w:pStyle w:val="Standard"/>
              <w:rPr>
                <w:szCs w:val="20"/>
              </w:rPr>
            </w:pPr>
            <w:r>
              <w:rPr>
                <w:rFonts w:eastAsia="Times New Roman" w:cs="Times New Roman"/>
                <w:spacing w:val="1"/>
                <w:w w:val="99"/>
                <w:position w:val="1"/>
                <w:szCs w:val="20"/>
              </w:rPr>
              <w:t>I</w:t>
            </w:r>
            <w:r>
              <w:rPr>
                <w:rFonts w:eastAsia="Times New Roman" w:cs="Times New Roman"/>
                <w:spacing w:val="-2"/>
                <w:w w:val="99"/>
                <w:position w:val="-3"/>
                <w:szCs w:val="20"/>
              </w:rPr>
              <w:t>m</w:t>
            </w:r>
            <w:r>
              <w:rPr>
                <w:rFonts w:eastAsia="Times New Roman" w:cs="Times New Roman"/>
                <w:w w:val="99"/>
                <w:position w:val="-3"/>
                <w:szCs w:val="20"/>
              </w:rPr>
              <w:t>ax3</w:t>
            </w:r>
            <w:r>
              <w:rPr>
                <w:rFonts w:eastAsia="Times New Roman" w:cs="Times New Roman"/>
                <w:spacing w:val="1"/>
                <w:w w:val="99"/>
                <w:position w:val="-3"/>
                <w:szCs w:val="20"/>
              </w:rPr>
              <w:t>,</w:t>
            </w:r>
            <w:r>
              <w:rPr>
                <w:rFonts w:eastAsia="Times New Roman" w:cs="Times New Roman"/>
                <w:w w:val="99"/>
                <w:position w:val="-3"/>
                <w:szCs w:val="20"/>
              </w:rPr>
              <w:t>0</w:t>
            </w:r>
          </w:p>
          <w:p w:rsidR="00B77F00" w:rsidRDefault="00865FA3">
            <w:pPr>
              <w:pStyle w:val="Standard"/>
              <w:rPr>
                <w:szCs w:val="20"/>
              </w:rPr>
            </w:pPr>
            <w:r>
              <w:rPr>
                <w:rFonts w:eastAsia="Times New Roman" w:cs="Times New Roman"/>
                <w:spacing w:val="1"/>
                <w:w w:val="99"/>
                <w:szCs w:val="20"/>
              </w:rPr>
              <w:t>I</w:t>
            </w:r>
            <w:r>
              <w:rPr>
                <w:rFonts w:eastAsia="Times New Roman" w:cs="Times New Roman"/>
                <w:w w:val="99"/>
                <w:position w:val="-5"/>
                <w:szCs w:val="20"/>
              </w:rPr>
              <w:t>NC0</w:t>
            </w:r>
            <w:r>
              <w:rPr>
                <w:rFonts w:eastAsia="Times New Roman" w:cs="Times New Roman"/>
                <w:spacing w:val="1"/>
                <w:w w:val="99"/>
                <w:position w:val="-5"/>
                <w:szCs w:val="20"/>
              </w:rPr>
              <w:t>,</w:t>
            </w:r>
            <w:r>
              <w:rPr>
                <w:rFonts w:eastAsia="Times New Roman" w:cs="Times New Roman"/>
                <w:w w:val="99"/>
                <w:position w:val="-5"/>
                <w:szCs w:val="20"/>
              </w:rPr>
              <w:t>4</w:t>
            </w:r>
          </w:p>
          <w:p w:rsidR="00B77F00" w:rsidRDefault="00865FA3">
            <w:pPr>
              <w:pStyle w:val="Standard"/>
              <w:rPr>
                <w:szCs w:val="20"/>
              </w:rPr>
            </w:pPr>
            <w:r>
              <w:rPr>
                <w:rFonts w:eastAsia="Times New Roman" w:cs="Times New Roman"/>
                <w:spacing w:val="1"/>
                <w:w w:val="99"/>
                <w:szCs w:val="20"/>
              </w:rPr>
              <w:t>I</w:t>
            </w:r>
            <w:r>
              <w:rPr>
                <w:rFonts w:eastAsia="Times New Roman" w:cs="Times New Roman"/>
                <w:w w:val="99"/>
                <w:position w:val="-5"/>
                <w:szCs w:val="20"/>
              </w:rPr>
              <w:t>NC0</w:t>
            </w:r>
            <w:r>
              <w:rPr>
                <w:rFonts w:eastAsia="Times New Roman" w:cs="Times New Roman"/>
                <w:spacing w:val="1"/>
                <w:w w:val="99"/>
                <w:position w:val="-5"/>
                <w:szCs w:val="20"/>
              </w:rPr>
              <w:t>,</w:t>
            </w:r>
            <w:r>
              <w:rPr>
                <w:rFonts w:eastAsia="Times New Roman" w:cs="Times New Roman"/>
                <w:w w:val="99"/>
                <w:position w:val="-5"/>
                <w:szCs w:val="20"/>
              </w:rPr>
              <w:t>6</w:t>
            </w:r>
            <w:r>
              <w:rPr>
                <w:rFonts w:eastAsia="Times New Roman" w:cs="Times New Roman"/>
                <w:w w:val="99"/>
                <w:position w:val="14"/>
                <w:szCs w:val="20"/>
              </w:rPr>
              <w:t>a)</w:t>
            </w:r>
          </w:p>
        </w:tc>
      </w:tr>
    </w:tbl>
    <w:p w:rsidR="00B77F00" w:rsidRDefault="00865FA3">
      <w:pPr>
        <w:pStyle w:val="Standard"/>
        <w:rPr>
          <w:szCs w:val="20"/>
        </w:rPr>
      </w:pPr>
      <w:r>
        <w:rPr>
          <w:szCs w:val="20"/>
        </w:rPr>
        <w:t>a) dotyczy asfaltu lanego z lepiszczem elastomerowym</w:t>
      </w:r>
    </w:p>
    <w:p w:rsidR="00B77F00" w:rsidRDefault="00B77F00">
      <w:pPr>
        <w:pStyle w:val="Standard"/>
        <w:jc w:val="both"/>
        <w:rPr>
          <w:szCs w:val="20"/>
        </w:rPr>
      </w:pPr>
    </w:p>
    <w:p w:rsidR="00B77F00" w:rsidRDefault="00865FA3">
      <w:pPr>
        <w:pStyle w:val="Standard"/>
        <w:jc w:val="both"/>
        <w:rPr>
          <w:szCs w:val="20"/>
        </w:rPr>
      </w:pPr>
      <w:r>
        <w:rPr>
          <w:szCs w:val="20"/>
        </w:rPr>
        <w:t>5.5. Produkcja i przechowywanie mieszanki mineralno-asfaltowej i jej składników</w:t>
      </w:r>
    </w:p>
    <w:p w:rsidR="00B77F00" w:rsidRDefault="00865FA3">
      <w:pPr>
        <w:pStyle w:val="Standard"/>
        <w:jc w:val="both"/>
        <w:rPr>
          <w:szCs w:val="20"/>
        </w:rPr>
      </w:pPr>
      <w:r>
        <w:rPr>
          <w:szCs w:val="20"/>
        </w:rPr>
        <w:t>Miesza</w:t>
      </w:r>
      <w:r>
        <w:rPr>
          <w:szCs w:val="20"/>
        </w:rPr>
        <w:t xml:space="preserve">nkę mineralno-asfaltową należy </w:t>
      </w:r>
      <w:r>
        <w:rPr>
          <w:szCs w:val="20"/>
        </w:rPr>
        <w:t>wytwarzać na gorąco w otaczarce (zespole maszyn i urządzeń dozowania, podgrzewania i mieszania składników oraz przechowywania gotowej mieszanki).</w:t>
      </w:r>
    </w:p>
    <w:p w:rsidR="00B77F00" w:rsidRDefault="00865FA3">
      <w:pPr>
        <w:pStyle w:val="Standard"/>
        <w:jc w:val="both"/>
        <w:rPr>
          <w:szCs w:val="20"/>
        </w:rPr>
      </w:pPr>
      <w:r>
        <w:rPr>
          <w:szCs w:val="20"/>
        </w:rPr>
        <w:t>Dozowanie składników mieszanki mineralno-asfaltowej w otaczarkach, w tym także wstępne, powinno być zautomatyz</w:t>
      </w:r>
      <w:r>
        <w:rPr>
          <w:szCs w:val="20"/>
        </w:rPr>
        <w:t>owane i zgodne z receptą roboczą, a urządzenia do dozowania składników oraz pomiaru temperatury powinny być okresowo sprawdzane. Kruszywo o różnym uziarnieniu lub pochodzeniu należy dodawać odmierzone oddzielnie.</w:t>
      </w:r>
    </w:p>
    <w:p w:rsidR="00B77F00" w:rsidRDefault="00865FA3">
      <w:pPr>
        <w:pStyle w:val="Standard"/>
        <w:jc w:val="both"/>
        <w:rPr>
          <w:szCs w:val="20"/>
        </w:rPr>
      </w:pPr>
      <w:r>
        <w:rPr>
          <w:szCs w:val="20"/>
        </w:rPr>
        <w:t>Lepiszcze asfaltowe należy przechowywać w z</w:t>
      </w:r>
      <w:r>
        <w:rPr>
          <w:szCs w:val="20"/>
        </w:rPr>
        <w:t>biorniku z pośrednim systemem ogrzewania, z układem termostatowania zapewniającym utrzymanie żądanej temperatury z dokładnością ±5°C. Temperatura polimeroasfaltu PMB 25/30-60 w zbiorniku magazynowym (roboczym) nie powinna przekraczać temperatury 180°C, w o</w:t>
      </w:r>
      <w:r>
        <w:rPr>
          <w:szCs w:val="20"/>
        </w:rPr>
        <w:t>kresie krótkotrwałym nie dłuższym niż 5 dni.</w:t>
      </w:r>
    </w:p>
    <w:p w:rsidR="00B77F00" w:rsidRDefault="00865FA3">
      <w:pPr>
        <w:pStyle w:val="Standard"/>
        <w:jc w:val="both"/>
        <w:rPr>
          <w:szCs w:val="20"/>
        </w:rPr>
      </w:pPr>
      <w:r>
        <w:rPr>
          <w:szCs w:val="20"/>
        </w:rPr>
        <w:t>Kruszywo (ewentualnie z wypełniaczem) powinno być wysuszone i podgrzane tak, aby mieszanka uzyskała temperaturę właściwą do otoczenia lepiszczem asfaltowym. Temperatura mieszanki mineralnej powinna wynosić od 20</w:t>
      </w:r>
      <w:r>
        <w:rPr>
          <w:szCs w:val="20"/>
        </w:rPr>
        <w:t>0°C (mieszanka dostarczona na miejsce wbudowania) do 230°C(mieszanka bezpośrednio po wytworzeniu).</w:t>
      </w:r>
    </w:p>
    <w:p w:rsidR="00B77F00" w:rsidRDefault="00865FA3">
      <w:pPr>
        <w:pStyle w:val="Standard"/>
        <w:jc w:val="both"/>
        <w:rPr>
          <w:szCs w:val="20"/>
        </w:rPr>
      </w:pPr>
      <w:r>
        <w:rPr>
          <w:szCs w:val="20"/>
        </w:rPr>
        <w:t>Podczas produkcji asfaltu lanego można oddzielnie podgrzewać wypełniacz w dodatkowej suszarce. W celu zapewnienia odpowiedniej urabialności asfaltu lanego mo</w:t>
      </w:r>
      <w:r>
        <w:rPr>
          <w:szCs w:val="20"/>
        </w:rPr>
        <w:t>że być wymagane zastosowanie dodatków zmniejszających lepkość lepiszcza asfaltowego.</w:t>
      </w:r>
    </w:p>
    <w:p w:rsidR="00B77F00" w:rsidRDefault="00865FA3">
      <w:pPr>
        <w:pStyle w:val="Standard"/>
        <w:jc w:val="both"/>
        <w:rPr>
          <w:szCs w:val="20"/>
        </w:rPr>
      </w:pPr>
      <w:r>
        <w:rPr>
          <w:szCs w:val="20"/>
        </w:rPr>
        <w:t>Sposób i czas mieszania składników mieszanki mineralno-asfaltowej powinny zapewniać równomierne otoczenie kruszywa lepiszczem asfaltowym.</w:t>
      </w:r>
    </w:p>
    <w:p w:rsidR="00B77F00" w:rsidRDefault="00865FA3">
      <w:pPr>
        <w:pStyle w:val="Standard"/>
        <w:jc w:val="both"/>
        <w:rPr>
          <w:szCs w:val="20"/>
        </w:rPr>
      </w:pPr>
      <w:r>
        <w:rPr>
          <w:szCs w:val="20"/>
        </w:rPr>
        <w:t>Dodatki modyfikujące lub stabiliz</w:t>
      </w:r>
      <w:r>
        <w:rPr>
          <w:szCs w:val="20"/>
        </w:rPr>
        <w:t>ujące do mieszanki mineralno-asfaltowej mogą być dodawane w postaci stałej lub ciekłej. System dozowania powinien zapewnić jednorodność dozowania dodatków do wytwarzanej mieszanki. Warunki wytwarzania i przechowywania mieszanki mineralno-asfaltowej na gorą</w:t>
      </w:r>
      <w:r>
        <w:rPr>
          <w:szCs w:val="20"/>
        </w:rPr>
        <w:t>co nie powinny istotnie wpływać na skuteczność działania tych dodatków.</w:t>
      </w:r>
    </w:p>
    <w:p w:rsidR="00B77F00" w:rsidRDefault="00865FA3">
      <w:pPr>
        <w:pStyle w:val="Standard"/>
        <w:jc w:val="both"/>
        <w:rPr>
          <w:szCs w:val="20"/>
        </w:rPr>
      </w:pPr>
      <w:r>
        <w:rPr>
          <w:szCs w:val="20"/>
        </w:rPr>
        <w:t>Mieszankę mineralno-asfaltową należy stosować na podstawie deklarowania jej przydatności do przewidywanego celu. Dopuszcza się dostawy mieszanek mineralno-asfaltowych z kilku wytwórni,</w:t>
      </w:r>
      <w:r>
        <w:rPr>
          <w:szCs w:val="20"/>
        </w:rPr>
        <w:t xml:space="preserve"> pod warunkiem skoordynowania między sobą deklarowanych przydatności mieszanek (m.in. typ, rodzaj składników, właściwości objętościowe) z zachowaniem braku różnic w ich właściwościach. Wykonawca powinien deklarować przydatność wszystkich materiałów stosowa</w:t>
      </w:r>
      <w:r>
        <w:rPr>
          <w:szCs w:val="20"/>
        </w:rPr>
        <w:t>nych do wykonania nawierzchni asfaltowej. Odbywa się to przez:</w:t>
      </w:r>
    </w:p>
    <w:p w:rsidR="00B77F00" w:rsidRDefault="00865FA3">
      <w:pPr>
        <w:pStyle w:val="Standard"/>
        <w:jc w:val="both"/>
        <w:rPr>
          <w:szCs w:val="20"/>
        </w:rPr>
      </w:pPr>
      <w:r>
        <w:rPr>
          <w:szCs w:val="20"/>
        </w:rPr>
        <w:t>- podanie informacji zawartych w badaniu typu wymaganych w odpowiednim dokumencie wyrobu (normie lub aprobacie technicznej),</w:t>
      </w:r>
    </w:p>
    <w:p w:rsidR="00B77F00" w:rsidRDefault="00865FA3">
      <w:pPr>
        <w:pStyle w:val="Standard"/>
        <w:jc w:val="both"/>
        <w:rPr>
          <w:szCs w:val="20"/>
        </w:rPr>
      </w:pPr>
      <w:r>
        <w:rPr>
          <w:szCs w:val="20"/>
        </w:rPr>
        <w:t>- deklarowanie przydatności materiału do przewidywanego celu.</w:t>
      </w:r>
    </w:p>
    <w:p w:rsidR="00B77F00" w:rsidRDefault="00865FA3">
      <w:pPr>
        <w:pStyle w:val="Standard"/>
        <w:jc w:val="both"/>
        <w:rPr>
          <w:szCs w:val="20"/>
        </w:rPr>
      </w:pPr>
      <w:r>
        <w:rPr>
          <w:szCs w:val="20"/>
        </w:rPr>
        <w:t xml:space="preserve">W </w:t>
      </w:r>
      <w:r>
        <w:rPr>
          <w:szCs w:val="20"/>
        </w:rPr>
        <w:t>przypadku zmiany rodzaju i właściwości materiałów budowlanych należy ponownie wykazać ich przydatność</w:t>
      </w:r>
    </w:p>
    <w:p w:rsidR="00B77F00" w:rsidRDefault="00865FA3">
      <w:pPr>
        <w:pStyle w:val="Standard"/>
        <w:jc w:val="both"/>
        <w:rPr>
          <w:szCs w:val="20"/>
        </w:rPr>
      </w:pPr>
      <w:r>
        <w:rPr>
          <w:szCs w:val="20"/>
        </w:rPr>
        <w:t>do przewidywanego celu.</w:t>
      </w:r>
    </w:p>
    <w:p w:rsidR="00B77F00" w:rsidRDefault="00865FA3">
      <w:pPr>
        <w:pStyle w:val="Standard"/>
        <w:jc w:val="both"/>
        <w:rPr>
          <w:szCs w:val="20"/>
        </w:rPr>
      </w:pPr>
      <w:r>
        <w:rPr>
          <w:b/>
          <w:bCs/>
          <w:szCs w:val="20"/>
        </w:rPr>
        <w:t>5.6.</w:t>
      </w:r>
      <w:r>
        <w:rPr>
          <w:szCs w:val="20"/>
        </w:rPr>
        <w:t xml:space="preserve"> Przygotowanie podłoża</w:t>
      </w:r>
    </w:p>
    <w:p w:rsidR="00B77F00" w:rsidRDefault="00865FA3">
      <w:pPr>
        <w:pStyle w:val="Standard"/>
        <w:jc w:val="both"/>
        <w:rPr>
          <w:szCs w:val="20"/>
        </w:rPr>
      </w:pPr>
      <w:r>
        <w:rPr>
          <w:szCs w:val="20"/>
        </w:rPr>
        <w:t>Podłoże (warstwa ochronna) pod warstwę przeciwspadku z asfaltu lanego powinno być na całej powierzchni:</w:t>
      </w:r>
    </w:p>
    <w:p w:rsidR="00B77F00" w:rsidRDefault="00865FA3">
      <w:pPr>
        <w:pStyle w:val="Standard"/>
        <w:jc w:val="both"/>
        <w:rPr>
          <w:szCs w:val="20"/>
        </w:rPr>
      </w:pPr>
      <w:r>
        <w:rPr>
          <w:szCs w:val="20"/>
        </w:rPr>
        <w:t>– czyste, bez zanieczyszczenia lub pozostałości luźnego kruszywa,</w:t>
      </w:r>
    </w:p>
    <w:p w:rsidR="00B77F00" w:rsidRDefault="00865FA3">
      <w:pPr>
        <w:pStyle w:val="Standard"/>
        <w:jc w:val="both"/>
        <w:rPr>
          <w:szCs w:val="20"/>
        </w:rPr>
      </w:pPr>
      <w:r>
        <w:rPr>
          <w:szCs w:val="20"/>
        </w:rPr>
        <w:t>– wyprofilowane, równe i bez kolein.</w:t>
      </w:r>
    </w:p>
    <w:p w:rsidR="00B77F00" w:rsidRDefault="00865FA3">
      <w:pPr>
        <w:pStyle w:val="Standard"/>
        <w:jc w:val="both"/>
        <w:rPr>
          <w:szCs w:val="20"/>
        </w:rPr>
      </w:pPr>
      <w:r>
        <w:rPr>
          <w:szCs w:val="20"/>
        </w:rPr>
        <w:t xml:space="preserve">– podłoże powinno posiadać projektowany profil, a powierzchnia jego musi być sucha i dokładnie oczyszczona z wszelkiego rodzaju zanieczyszczeń (piasek, </w:t>
      </w:r>
      <w:r>
        <w:rPr>
          <w:szCs w:val="20"/>
        </w:rPr>
        <w:t>błoto, kurz, rozlane paliwo, itp.). Do usuwania zanieczyszczeń należy stosować szczotki i ręczne oraz sprzęt pneumatyczny (dmuchawy, odkurzacze itp.).</w:t>
      </w:r>
    </w:p>
    <w:p w:rsidR="00B77F00" w:rsidRDefault="00865FA3">
      <w:pPr>
        <w:pStyle w:val="Standard"/>
        <w:jc w:val="both"/>
        <w:rPr>
          <w:szCs w:val="20"/>
        </w:rPr>
      </w:pPr>
      <w:r>
        <w:rPr>
          <w:szCs w:val="20"/>
        </w:rPr>
        <w:t>– rzędne wysokościowe podłoża oraz urządzeń usytuowanych w nawierzchni lub ją ograniczających powinny być</w:t>
      </w:r>
      <w:r>
        <w:rPr>
          <w:szCs w:val="20"/>
        </w:rPr>
        <w:t xml:space="preserve"> zgodne z dokumentacją projektową.</w:t>
      </w:r>
    </w:p>
    <w:p w:rsidR="00B77F00" w:rsidRDefault="00865FA3">
      <w:pPr>
        <w:pStyle w:val="Standard"/>
        <w:jc w:val="both"/>
        <w:rPr>
          <w:szCs w:val="20"/>
        </w:rPr>
      </w:pPr>
      <w:r>
        <w:rPr>
          <w:szCs w:val="20"/>
        </w:rPr>
        <w:t>– brzegi krawężników oraz innych urządzeń instalacyjnych jak wpusty powinny być przed położeniem asfaltu la</w:t>
      </w:r>
      <w:r>
        <w:rPr>
          <w:szCs w:val="20"/>
        </w:rPr>
        <w:t xml:space="preserve">nego uszczelnione materiałami termoplastycznymi (taśmy, zalewy na gorąco itp.) wg norm lub aprobat </w:t>
      </w:r>
      <w:r>
        <w:rPr>
          <w:szCs w:val="20"/>
        </w:rPr>
        <w:lastRenderedPageBreak/>
        <w:t>technicznych.</w:t>
      </w:r>
    </w:p>
    <w:p w:rsidR="00B77F00" w:rsidRDefault="00865FA3">
      <w:pPr>
        <w:pStyle w:val="Standard"/>
        <w:jc w:val="both"/>
        <w:rPr>
          <w:szCs w:val="20"/>
        </w:rPr>
      </w:pPr>
      <w:r>
        <w:rPr>
          <w:szCs w:val="20"/>
        </w:rPr>
        <w:t>5</w:t>
      </w:r>
      <w:r>
        <w:rPr>
          <w:szCs w:val="20"/>
        </w:rPr>
        <w:t>.7. Połączenie międzywarstwowe</w:t>
      </w:r>
    </w:p>
    <w:p w:rsidR="00B77F00" w:rsidRDefault="00865FA3">
      <w:pPr>
        <w:pStyle w:val="Standard"/>
        <w:jc w:val="both"/>
        <w:rPr>
          <w:szCs w:val="20"/>
        </w:rPr>
      </w:pPr>
      <w:r>
        <w:rPr>
          <w:szCs w:val="20"/>
        </w:rPr>
        <w:t>Uzyskanie wymaganej trwałości nawierzchni jest uzależnione od zapewnienia połączenia między warstwami i ich współp</w:t>
      </w:r>
      <w:r>
        <w:rPr>
          <w:szCs w:val="20"/>
        </w:rPr>
        <w:t>racy w przenoszeniu obciążenia nawierzchni ruchem.</w:t>
      </w:r>
    </w:p>
    <w:p w:rsidR="00B77F00" w:rsidRDefault="00865FA3">
      <w:pPr>
        <w:pStyle w:val="Standard"/>
        <w:jc w:val="both"/>
        <w:rPr>
          <w:szCs w:val="20"/>
        </w:rPr>
      </w:pPr>
      <w:r>
        <w:rPr>
          <w:szCs w:val="20"/>
        </w:rPr>
        <w:t>W przypadku układania warstwy ścieralnej z asfaltu lanego ni</w:t>
      </w:r>
      <w:r>
        <w:rPr>
          <w:szCs w:val="20"/>
        </w:rPr>
        <w:t>e należy stosować skropienia lepiszczem podłoża. Asfalt lany zawiera w składzie dużą ilość asfaltu co pozwala na uzyskanie dobrego połączenia międzywarstwowego.</w:t>
      </w:r>
    </w:p>
    <w:p w:rsidR="00B77F00" w:rsidRDefault="00865FA3">
      <w:pPr>
        <w:pStyle w:val="Standard"/>
        <w:jc w:val="both"/>
        <w:rPr>
          <w:szCs w:val="20"/>
        </w:rPr>
      </w:pPr>
      <w:r>
        <w:rPr>
          <w:szCs w:val="20"/>
        </w:rPr>
        <w:t>5.8. Wbudowanie mieszanki mineralno-asfaltowej</w:t>
      </w:r>
    </w:p>
    <w:p w:rsidR="00B77F00" w:rsidRDefault="00865FA3">
      <w:pPr>
        <w:pStyle w:val="Standard"/>
        <w:jc w:val="both"/>
        <w:rPr>
          <w:szCs w:val="20"/>
        </w:rPr>
      </w:pPr>
      <w:r>
        <w:rPr>
          <w:szCs w:val="20"/>
        </w:rPr>
        <w:t>Mieszankę mineralno-asfaltową można wbudowywać n</w:t>
      </w:r>
      <w:r>
        <w:rPr>
          <w:szCs w:val="20"/>
        </w:rPr>
        <w:t>a podłożu przygotowanym jak wyżej. Podłoże musi być czyste, nie może być na nim śniegu lub lodu. Nie wolno wbudowywać mieszanki, gdy na podłożu tworzy się zamknięty film wodny.</w:t>
      </w:r>
    </w:p>
    <w:p w:rsidR="00B77F00" w:rsidRDefault="00865FA3">
      <w:pPr>
        <w:pStyle w:val="Standard"/>
        <w:jc w:val="both"/>
        <w:rPr>
          <w:szCs w:val="20"/>
        </w:rPr>
      </w:pPr>
      <w:r>
        <w:rPr>
          <w:szCs w:val="20"/>
        </w:rPr>
        <w:t xml:space="preserve">Podczas budowy nawierzchni należy dążyć do jej ułożenia przed sezonem zimowym, </w:t>
      </w:r>
      <w:r>
        <w:rPr>
          <w:szCs w:val="20"/>
        </w:rPr>
        <w:t>aby zapewnić szczeln</w:t>
      </w:r>
      <w:r>
        <w:rPr>
          <w:szCs w:val="20"/>
        </w:rPr>
        <w:t>ość nawierzchni i jej odporność na działanie wody i mrozu. Mieszankę mineralno-asfaltową należy wbudowywać w sprzyjających warunkach atmosferycznych. Asfalt lany nie może być układany podczas deszczu oraz na wilgotnym podłożu. Temperatu</w:t>
      </w:r>
      <w:r>
        <w:rPr>
          <w:szCs w:val="20"/>
        </w:rPr>
        <w:t>ra otoczenia w ciągu doby nie powinna być niższa od -2°C przed przystąpieniem do robót i 0°C w czasie robót. Temperatura powietrza powinna być mierzona co najmniej 3 razy dziennie; przed przystąpieniem do robót oraz podczas ich wykonywania w okresach równo</w:t>
      </w:r>
      <w:r>
        <w:rPr>
          <w:szCs w:val="20"/>
        </w:rPr>
        <w:t>miernie rozłożonych w planowanym czasie realizacji dziennej działki roboczej. W przypadku stosowania mieszanek mineralno-asfaltowych z dodatkiem obniżającym temperaturę mieszania i wbudowania należy indywidualnie określić wymagane</w:t>
      </w:r>
    </w:p>
    <w:p w:rsidR="00B77F00" w:rsidRDefault="00B77F00">
      <w:pPr>
        <w:pStyle w:val="Standard"/>
        <w:jc w:val="both"/>
        <w:rPr>
          <w:szCs w:val="20"/>
        </w:rPr>
      </w:pPr>
    </w:p>
    <w:p w:rsidR="00B77F00" w:rsidRDefault="00B77F00">
      <w:pPr>
        <w:pStyle w:val="Standard"/>
        <w:jc w:val="both"/>
        <w:rPr>
          <w:szCs w:val="20"/>
        </w:rPr>
      </w:pPr>
    </w:p>
    <w:p w:rsidR="00B77F00" w:rsidRDefault="00865FA3">
      <w:pPr>
        <w:pStyle w:val="Standard"/>
        <w:rPr>
          <w:b/>
          <w:bCs/>
          <w:szCs w:val="20"/>
        </w:rPr>
      </w:pPr>
      <w:r>
        <w:rPr>
          <w:b/>
          <w:bCs/>
          <w:szCs w:val="20"/>
        </w:rPr>
        <w:t xml:space="preserve">6. KONTROLA JAKOŚCI </w:t>
      </w:r>
      <w:r>
        <w:rPr>
          <w:b/>
          <w:bCs/>
          <w:szCs w:val="20"/>
        </w:rPr>
        <w:t>ROBÓT</w:t>
      </w:r>
    </w:p>
    <w:p w:rsidR="00B77F00" w:rsidRDefault="00865FA3">
      <w:pPr>
        <w:pStyle w:val="Standard"/>
        <w:jc w:val="both"/>
        <w:rPr>
          <w:szCs w:val="20"/>
        </w:rPr>
      </w:pPr>
      <w:r>
        <w:rPr>
          <w:szCs w:val="20"/>
        </w:rPr>
        <w:t>6.1. Ogólne zasady kontroli jakości robót</w:t>
      </w:r>
    </w:p>
    <w:p w:rsidR="00B77F00" w:rsidRDefault="00865FA3">
      <w:pPr>
        <w:pStyle w:val="Standard"/>
        <w:jc w:val="both"/>
        <w:rPr>
          <w:szCs w:val="20"/>
        </w:rPr>
      </w:pPr>
      <w:r>
        <w:rPr>
          <w:szCs w:val="20"/>
        </w:rPr>
        <w:t>Ogólne zasady kontroli jakości robót podano w ST DM.00.00.00 „Wymagania ogólne”.</w:t>
      </w:r>
    </w:p>
    <w:p w:rsidR="00B77F00" w:rsidRDefault="00865FA3">
      <w:pPr>
        <w:pStyle w:val="Standard"/>
        <w:jc w:val="both"/>
        <w:rPr>
          <w:szCs w:val="20"/>
        </w:rPr>
      </w:pPr>
      <w:r>
        <w:rPr>
          <w:szCs w:val="20"/>
        </w:rPr>
        <w:t>6.2. Badania Producenta i deklaracja zgodności</w:t>
      </w:r>
    </w:p>
    <w:p w:rsidR="00B77F00" w:rsidRDefault="00865FA3">
      <w:pPr>
        <w:pStyle w:val="Standard"/>
        <w:jc w:val="both"/>
        <w:rPr>
          <w:szCs w:val="20"/>
        </w:rPr>
      </w:pPr>
      <w:r>
        <w:rPr>
          <w:szCs w:val="20"/>
        </w:rPr>
        <w:t>Producent mieszanki mineralno-asfaltowej musi prowadzić Zakładową kontrolę produ</w:t>
      </w:r>
      <w:r>
        <w:rPr>
          <w:szCs w:val="20"/>
        </w:rPr>
        <w:t>kcji zgodnie z PN-EN 13108-21.</w:t>
      </w:r>
    </w:p>
    <w:p w:rsidR="00B77F00" w:rsidRDefault="00865FA3">
      <w:pPr>
        <w:pStyle w:val="Standard"/>
        <w:jc w:val="both"/>
        <w:rPr>
          <w:szCs w:val="20"/>
        </w:rPr>
      </w:pPr>
      <w:r>
        <w:rPr>
          <w:szCs w:val="20"/>
        </w:rPr>
        <w:t>Przed przystąpieniem do robót Wykonawca powinien uzyskać wymagane dokumenty, dopuszczające wyroby budowlane do obrotu i powszechnego stosowania (oznaczenie CE lub znakiem budowlanym, certyfikaty zgodności, deklaracje zgodnośc</w:t>
      </w:r>
      <w:r>
        <w:rPr>
          <w:szCs w:val="20"/>
        </w:rPr>
        <w:t>i, aprobaty techniczne, ew. badania materiałów wykonane przez dostawców itp.) i na ich podstawie sprawdzić właściwości zastosowanych materiałów na zgodność z wymaganiami podanymi w ST,</w:t>
      </w:r>
    </w:p>
    <w:p w:rsidR="00B77F00" w:rsidRDefault="00865FA3">
      <w:pPr>
        <w:pStyle w:val="Standard"/>
        <w:jc w:val="both"/>
        <w:rPr>
          <w:szCs w:val="20"/>
        </w:rPr>
      </w:pPr>
      <w:r>
        <w:rPr>
          <w:szCs w:val="20"/>
        </w:rPr>
        <w:t>Do oznakowania CE producent lub jego przedstawiciel jest zobowiązany do</w:t>
      </w:r>
      <w:r>
        <w:rPr>
          <w:szCs w:val="20"/>
        </w:rPr>
        <w:t>łączyć informacje zawierające:</w:t>
      </w:r>
    </w:p>
    <w:p w:rsidR="00B77F00" w:rsidRDefault="00865FA3">
      <w:pPr>
        <w:pStyle w:val="Standard"/>
        <w:jc w:val="both"/>
        <w:rPr>
          <w:szCs w:val="20"/>
        </w:rPr>
      </w:pPr>
      <w:r>
        <w:rPr>
          <w:szCs w:val="20"/>
        </w:rPr>
        <w:t>– określenie, siedzibę i adres producenta oraz adres zakładu produkującego wyrób budowlany,</w:t>
      </w:r>
    </w:p>
    <w:p w:rsidR="00B77F00" w:rsidRDefault="00865FA3">
      <w:pPr>
        <w:pStyle w:val="Standard"/>
        <w:jc w:val="both"/>
        <w:rPr>
          <w:szCs w:val="20"/>
        </w:rPr>
      </w:pPr>
      <w:r>
        <w:rPr>
          <w:szCs w:val="20"/>
        </w:rPr>
        <w:t>– określenie, siedzibę i adres upoważnionego przedstawiciela,</w:t>
      </w:r>
    </w:p>
    <w:p w:rsidR="00B77F00" w:rsidRDefault="00865FA3">
      <w:pPr>
        <w:pStyle w:val="Standard"/>
        <w:jc w:val="both"/>
        <w:rPr>
          <w:szCs w:val="20"/>
        </w:rPr>
      </w:pPr>
      <w:r>
        <w:rPr>
          <w:szCs w:val="20"/>
        </w:rPr>
        <w:t>– ostatnie dwie cyfry roku w którym umieszczono znakowanie CE na wyrobi</w:t>
      </w:r>
      <w:r>
        <w:rPr>
          <w:szCs w:val="20"/>
        </w:rPr>
        <w:t>e budowlanym,</w:t>
      </w:r>
    </w:p>
    <w:p w:rsidR="00B77F00" w:rsidRDefault="00865FA3">
      <w:pPr>
        <w:pStyle w:val="Standard"/>
        <w:jc w:val="both"/>
        <w:rPr>
          <w:szCs w:val="20"/>
        </w:rPr>
      </w:pPr>
      <w:r>
        <w:rPr>
          <w:szCs w:val="20"/>
        </w:rPr>
        <w:t>– numer certyfikatu zgodności, jeśli taki certyfikat był wymagany,</w:t>
      </w:r>
    </w:p>
    <w:p w:rsidR="00B77F00" w:rsidRDefault="00865FA3">
      <w:pPr>
        <w:pStyle w:val="Standard"/>
        <w:jc w:val="both"/>
        <w:rPr>
          <w:szCs w:val="20"/>
        </w:rPr>
      </w:pPr>
      <w:r>
        <w:rPr>
          <w:szCs w:val="20"/>
        </w:rPr>
        <w:t>– dane umożliwiające identyfikację cech i deklarowanych właściwości użytkowych wyrobu budowlanego, jeżeli wynika to ze zharmonizowanej specyfikacji technicznej wyrobu.</w:t>
      </w:r>
    </w:p>
    <w:p w:rsidR="00B77F00" w:rsidRDefault="00865FA3">
      <w:pPr>
        <w:pStyle w:val="Standard"/>
        <w:jc w:val="both"/>
        <w:rPr>
          <w:szCs w:val="20"/>
        </w:rPr>
      </w:pPr>
      <w:r>
        <w:rPr>
          <w:szCs w:val="20"/>
        </w:rPr>
        <w:t xml:space="preserve">Do </w:t>
      </w:r>
      <w:r>
        <w:rPr>
          <w:szCs w:val="20"/>
        </w:rPr>
        <w:t>wyrobu budowlanego oznakowanego znakiem budowlanym producent zobowiązany jest dołączyć:</w:t>
      </w:r>
    </w:p>
    <w:p w:rsidR="00B77F00" w:rsidRDefault="00865FA3">
      <w:pPr>
        <w:pStyle w:val="Standard"/>
        <w:jc w:val="both"/>
        <w:rPr>
          <w:szCs w:val="20"/>
        </w:rPr>
      </w:pPr>
      <w:r>
        <w:rPr>
          <w:szCs w:val="20"/>
        </w:rPr>
        <w:t>– określenie, siedzibę i adres producenta oraz adres zakładu produkującego wyrób budowlany,</w:t>
      </w:r>
    </w:p>
    <w:p w:rsidR="00B77F00" w:rsidRDefault="00865FA3">
      <w:pPr>
        <w:pStyle w:val="Standard"/>
        <w:jc w:val="both"/>
        <w:rPr>
          <w:szCs w:val="20"/>
        </w:rPr>
      </w:pPr>
      <w:r>
        <w:rPr>
          <w:szCs w:val="20"/>
        </w:rPr>
        <w:t xml:space="preserve">– identyfikacje wyrobu budowlanego zawierającą: nazwę, nazwę handlową, typ, </w:t>
      </w:r>
      <w:r>
        <w:rPr>
          <w:szCs w:val="20"/>
        </w:rPr>
        <w:t>odmianę, gatunek i klasę według specyfikacji technicznej,</w:t>
      </w:r>
    </w:p>
    <w:p w:rsidR="00B77F00" w:rsidRDefault="00865FA3">
      <w:pPr>
        <w:pStyle w:val="Standard"/>
        <w:jc w:val="both"/>
        <w:rPr>
          <w:szCs w:val="20"/>
        </w:rPr>
      </w:pPr>
      <w:r>
        <w:rPr>
          <w:szCs w:val="20"/>
        </w:rPr>
        <w:t>– numer i rok publikacji Polskiej Normy wyrobu lub aprobaty technicznej, z którą potwierdzono zgodność wyrobu budowlanego,</w:t>
      </w:r>
    </w:p>
    <w:p w:rsidR="00B77F00" w:rsidRDefault="00865FA3">
      <w:pPr>
        <w:pStyle w:val="Standard"/>
        <w:jc w:val="both"/>
        <w:rPr>
          <w:szCs w:val="20"/>
        </w:rPr>
      </w:pPr>
      <w:r>
        <w:rPr>
          <w:szCs w:val="20"/>
        </w:rPr>
        <w:t>– numer i datę wystawienia krajowej deklaracji zgodności,</w:t>
      </w:r>
    </w:p>
    <w:p w:rsidR="00B77F00" w:rsidRDefault="00865FA3">
      <w:pPr>
        <w:pStyle w:val="Standard"/>
        <w:jc w:val="both"/>
        <w:rPr>
          <w:szCs w:val="20"/>
        </w:rPr>
      </w:pPr>
      <w:r>
        <w:rPr>
          <w:szCs w:val="20"/>
        </w:rPr>
        <w:t>– inne dane, jeże</w:t>
      </w:r>
      <w:r>
        <w:rPr>
          <w:szCs w:val="20"/>
        </w:rPr>
        <w:t>li wynika to ze specyfikacji technicznej,</w:t>
      </w:r>
    </w:p>
    <w:p w:rsidR="00B77F00" w:rsidRDefault="00865FA3">
      <w:pPr>
        <w:pStyle w:val="Standard"/>
        <w:jc w:val="both"/>
        <w:rPr>
          <w:szCs w:val="20"/>
        </w:rPr>
      </w:pPr>
      <w:r>
        <w:rPr>
          <w:szCs w:val="20"/>
        </w:rPr>
        <w:t>– nazwę jednostki certyfikującej, jeżeli taka jednostka brała udział w zastosowanym systemie oceny zgodności wyrobu budowlanego.</w:t>
      </w:r>
    </w:p>
    <w:p w:rsidR="00B77F00" w:rsidRDefault="00865FA3">
      <w:pPr>
        <w:pStyle w:val="Standard"/>
        <w:jc w:val="both"/>
        <w:rPr>
          <w:szCs w:val="20"/>
        </w:rPr>
      </w:pPr>
      <w:r>
        <w:rPr>
          <w:szCs w:val="20"/>
        </w:rPr>
        <w:t>Deklaracja zgodności producenta powinna zawierać sprawozdanie z badania typu. Badanie</w:t>
      </w:r>
      <w:r>
        <w:rPr>
          <w:szCs w:val="20"/>
        </w:rPr>
        <w:t xml:space="preserve"> typu powinno być przeprowadzone przy pierwszym wprowadzeniu mieszanek mineralno-asfaltowych do obrotu i powinno być powtórzone w wypadku:</w:t>
      </w:r>
    </w:p>
    <w:p w:rsidR="00B77F00" w:rsidRDefault="00865FA3">
      <w:pPr>
        <w:pStyle w:val="Standard"/>
        <w:jc w:val="both"/>
        <w:rPr>
          <w:szCs w:val="20"/>
        </w:rPr>
      </w:pPr>
      <w:r>
        <w:rPr>
          <w:szCs w:val="20"/>
        </w:rPr>
        <w:t>- upływu trzech lat,</w:t>
      </w:r>
    </w:p>
    <w:p w:rsidR="00B77F00" w:rsidRDefault="00865FA3">
      <w:pPr>
        <w:pStyle w:val="Standard"/>
        <w:jc w:val="both"/>
        <w:rPr>
          <w:szCs w:val="20"/>
        </w:rPr>
      </w:pPr>
      <w:r>
        <w:rPr>
          <w:szCs w:val="20"/>
        </w:rPr>
        <w:t>- zmiany złoża kruszywa,</w:t>
      </w:r>
    </w:p>
    <w:p w:rsidR="00B77F00" w:rsidRDefault="00865FA3">
      <w:pPr>
        <w:pStyle w:val="Standard"/>
        <w:jc w:val="both"/>
        <w:rPr>
          <w:szCs w:val="20"/>
        </w:rPr>
      </w:pPr>
      <w:r>
        <w:rPr>
          <w:szCs w:val="20"/>
        </w:rPr>
        <w:t>- zmiany rodzaju kruszywa (typu petrograficznego),</w:t>
      </w:r>
    </w:p>
    <w:p w:rsidR="00B77F00" w:rsidRDefault="00865FA3">
      <w:pPr>
        <w:pStyle w:val="Standard"/>
        <w:jc w:val="both"/>
        <w:rPr>
          <w:szCs w:val="20"/>
        </w:rPr>
      </w:pPr>
      <w:r>
        <w:rPr>
          <w:szCs w:val="20"/>
        </w:rPr>
        <w:t>- zmiany kategorii k</w:t>
      </w:r>
      <w:r>
        <w:rPr>
          <w:szCs w:val="20"/>
        </w:rPr>
        <w:t xml:space="preserve">ruszywa grubego, jak definiowano w PN-EN 13043, jednej z następujących właściwości: kształtu, udziału ziaren częściowo przekruszonych, odporności na rozdrabnianie, odporności na ścieranie lub </w:t>
      </w:r>
      <w:r>
        <w:rPr>
          <w:szCs w:val="20"/>
        </w:rPr>
        <w:lastRenderedPageBreak/>
        <w:t>kanciastości kruszywa drobnego,</w:t>
      </w:r>
    </w:p>
    <w:p w:rsidR="00B77F00" w:rsidRDefault="00865FA3">
      <w:pPr>
        <w:pStyle w:val="Standard"/>
        <w:jc w:val="both"/>
        <w:rPr>
          <w:szCs w:val="20"/>
        </w:rPr>
      </w:pPr>
      <w:r>
        <w:rPr>
          <w:szCs w:val="20"/>
        </w:rPr>
        <w:t>- zmiany gęstości ziaren (średni</w:t>
      </w:r>
      <w:r>
        <w:rPr>
          <w:szCs w:val="20"/>
        </w:rPr>
        <w:t>a ważona) o więcej niż 0,05 Mg/m3,</w:t>
      </w:r>
    </w:p>
    <w:p w:rsidR="00B77F00" w:rsidRDefault="00865FA3">
      <w:pPr>
        <w:pStyle w:val="Standard"/>
        <w:jc w:val="both"/>
        <w:rPr>
          <w:szCs w:val="20"/>
        </w:rPr>
      </w:pPr>
      <w:r>
        <w:rPr>
          <w:szCs w:val="20"/>
        </w:rPr>
        <w:t>- zmiany rodzaju lepiszcza,</w:t>
      </w:r>
    </w:p>
    <w:p w:rsidR="00B77F00" w:rsidRDefault="00865FA3">
      <w:pPr>
        <w:pStyle w:val="Standard"/>
        <w:jc w:val="both"/>
        <w:rPr>
          <w:szCs w:val="20"/>
        </w:rPr>
      </w:pPr>
      <w:r>
        <w:rPr>
          <w:szCs w:val="20"/>
        </w:rPr>
        <w:t>- zmiany typu mineralogicznego wypełniacza,</w:t>
      </w:r>
    </w:p>
    <w:p w:rsidR="00B77F00" w:rsidRDefault="00865FA3">
      <w:pPr>
        <w:pStyle w:val="Standard"/>
        <w:jc w:val="both"/>
        <w:rPr>
          <w:szCs w:val="20"/>
        </w:rPr>
      </w:pPr>
      <w:r>
        <w:rPr>
          <w:szCs w:val="20"/>
        </w:rPr>
        <w:t>- przekroczenia granicy zakresu zawartości granulatu asfaltowego.</w:t>
      </w:r>
    </w:p>
    <w:p w:rsidR="00B77F00" w:rsidRDefault="00865FA3">
      <w:pPr>
        <w:pStyle w:val="Standard"/>
        <w:jc w:val="both"/>
        <w:rPr>
          <w:szCs w:val="20"/>
        </w:rPr>
      </w:pPr>
      <w:r>
        <w:rPr>
          <w:szCs w:val="20"/>
        </w:rPr>
        <w:t>6.3. Badania Wykonawcy</w:t>
      </w:r>
    </w:p>
    <w:p w:rsidR="00B77F00" w:rsidRDefault="00865FA3">
      <w:pPr>
        <w:pStyle w:val="Standard"/>
        <w:jc w:val="both"/>
        <w:rPr>
          <w:szCs w:val="20"/>
        </w:rPr>
      </w:pPr>
      <w:r>
        <w:rPr>
          <w:szCs w:val="20"/>
        </w:rPr>
        <w:t xml:space="preserve">Wykonawca jest zobowiązany do wykonania pełnego zakresu </w:t>
      </w:r>
      <w:r>
        <w:rPr>
          <w:szCs w:val="20"/>
        </w:rPr>
        <w:t>badań. Laboratorium Wykonawcy powinno być wyposażone w niezbędną aparaturę umożliwiającą przeprowadzenie badań kontrolnych przewidzianych w specyfikacji. Badania kontrolne obejmują cały proces budowy (produkcji i wbudowania mieszanek), aż do badań końcowyc</w:t>
      </w:r>
      <w:r>
        <w:rPr>
          <w:szCs w:val="20"/>
        </w:rPr>
        <w:t>h (jakości wykonanej nawierzchni).</w:t>
      </w:r>
    </w:p>
    <w:p w:rsidR="00B77F00" w:rsidRDefault="00865FA3">
      <w:pPr>
        <w:pStyle w:val="Standard"/>
        <w:jc w:val="both"/>
        <w:rPr>
          <w:szCs w:val="20"/>
        </w:rPr>
      </w:pPr>
      <w:r>
        <w:rPr>
          <w:szCs w:val="20"/>
        </w:rPr>
        <w:t>Badania Wykonawcy są wykonywane przez Wykonawcę celem sprawdzenia, czy jakość mieszanki mineralno asfaltowej i jej składników oraz gotowej warstwy spełniają wymagania określone w dokumentacji projektowej.</w:t>
      </w:r>
    </w:p>
    <w:p w:rsidR="00B77F00" w:rsidRDefault="00865FA3">
      <w:pPr>
        <w:pStyle w:val="Standard"/>
        <w:jc w:val="both"/>
        <w:rPr>
          <w:szCs w:val="20"/>
        </w:rPr>
      </w:pPr>
      <w:r>
        <w:rPr>
          <w:szCs w:val="20"/>
        </w:rPr>
        <w:t>Wykonawca powini</w:t>
      </w:r>
      <w:r>
        <w:rPr>
          <w:szCs w:val="20"/>
        </w:rPr>
        <w:t>en zapisywać wyniki badań w protokołach. W razie stwierdzenia uchybień w stosunku do wymagań dokumentacji projektowej, ich przyczyny należy niezwłocznie usunąć.</w:t>
      </w:r>
    </w:p>
    <w:p w:rsidR="00B77F00" w:rsidRDefault="00865FA3">
      <w:pPr>
        <w:pStyle w:val="Standard"/>
        <w:jc w:val="both"/>
        <w:rPr>
          <w:szCs w:val="20"/>
        </w:rPr>
      </w:pPr>
      <w:r>
        <w:rPr>
          <w:szCs w:val="20"/>
        </w:rPr>
        <w:t>Wyniki badań Wykonawcy należy przekazywać Inżynierowi na jego żądanie. Inżynier może zdecydować</w:t>
      </w:r>
      <w:r>
        <w:rPr>
          <w:szCs w:val="20"/>
        </w:rPr>
        <w:t xml:space="preserve"> o dokonaniu odbioru na podstawie badań Wykonawcy. W razie zastrzeżeń Inżynier może przeprowadzić badania kontrolne według pktu 6.4.</w:t>
      </w:r>
    </w:p>
    <w:p w:rsidR="00B77F00" w:rsidRDefault="00865FA3">
      <w:pPr>
        <w:pStyle w:val="Standard"/>
        <w:jc w:val="both"/>
        <w:rPr>
          <w:szCs w:val="20"/>
        </w:rPr>
      </w:pPr>
      <w:r>
        <w:rPr>
          <w:szCs w:val="20"/>
        </w:rPr>
        <w:t>Zakres badań Wykonawcy związany z wykonywaniem nawierzchni obejmuje:</w:t>
      </w:r>
    </w:p>
    <w:p w:rsidR="00B77F00" w:rsidRDefault="00865FA3">
      <w:pPr>
        <w:pStyle w:val="Standard"/>
        <w:jc w:val="both"/>
        <w:rPr>
          <w:szCs w:val="20"/>
        </w:rPr>
      </w:pPr>
      <w:r>
        <w:rPr>
          <w:szCs w:val="20"/>
        </w:rPr>
        <w:t>- pomiar temperatury powietrza,</w:t>
      </w:r>
    </w:p>
    <w:p w:rsidR="00B77F00" w:rsidRDefault="00865FA3">
      <w:pPr>
        <w:pStyle w:val="Standard"/>
        <w:jc w:val="both"/>
        <w:rPr>
          <w:szCs w:val="20"/>
        </w:rPr>
      </w:pPr>
      <w:r>
        <w:rPr>
          <w:szCs w:val="20"/>
        </w:rPr>
        <w:t>- pomiar temperatury m</w:t>
      </w:r>
      <w:r>
        <w:rPr>
          <w:szCs w:val="20"/>
        </w:rPr>
        <w:t>ieszanki mineralno-asfaltowej podczas wykonywania nawierzchni,</w:t>
      </w:r>
    </w:p>
    <w:p w:rsidR="00B77F00" w:rsidRDefault="00865FA3">
      <w:pPr>
        <w:pStyle w:val="Standard"/>
        <w:jc w:val="both"/>
        <w:rPr>
          <w:szCs w:val="20"/>
        </w:rPr>
      </w:pPr>
      <w:r>
        <w:rPr>
          <w:szCs w:val="20"/>
        </w:rPr>
        <w:t>- ocenę wizualną mieszanki mineralno-asfaltowej,</w:t>
      </w:r>
    </w:p>
    <w:p w:rsidR="00B77F00" w:rsidRDefault="00865FA3">
      <w:pPr>
        <w:pStyle w:val="Standard"/>
        <w:jc w:val="both"/>
        <w:rPr>
          <w:szCs w:val="20"/>
        </w:rPr>
      </w:pPr>
      <w:r>
        <w:rPr>
          <w:szCs w:val="20"/>
        </w:rPr>
        <w:t>- wykaz ilości materiałów lub grubości wykonanej warstwy,</w:t>
      </w:r>
    </w:p>
    <w:p w:rsidR="00B77F00" w:rsidRDefault="00865FA3">
      <w:pPr>
        <w:pStyle w:val="Standard"/>
        <w:jc w:val="both"/>
        <w:rPr>
          <w:szCs w:val="20"/>
        </w:rPr>
      </w:pPr>
      <w:r>
        <w:rPr>
          <w:szCs w:val="20"/>
        </w:rPr>
        <w:t>- pomiar spadku poprzecznego warstwy,</w:t>
      </w:r>
    </w:p>
    <w:p w:rsidR="00B77F00" w:rsidRDefault="00865FA3">
      <w:pPr>
        <w:pStyle w:val="Standard"/>
        <w:jc w:val="both"/>
        <w:rPr>
          <w:szCs w:val="20"/>
        </w:rPr>
      </w:pPr>
      <w:r>
        <w:rPr>
          <w:szCs w:val="20"/>
        </w:rPr>
        <w:t>- pomiar równości warstwy,</w:t>
      </w:r>
    </w:p>
    <w:p w:rsidR="00B77F00" w:rsidRDefault="00865FA3">
      <w:pPr>
        <w:pStyle w:val="Standard"/>
        <w:jc w:val="both"/>
        <w:rPr>
          <w:szCs w:val="20"/>
        </w:rPr>
      </w:pPr>
      <w:r>
        <w:rPr>
          <w:szCs w:val="20"/>
        </w:rPr>
        <w:t>- ocenę wizualną jedn</w:t>
      </w:r>
      <w:r>
        <w:rPr>
          <w:szCs w:val="20"/>
        </w:rPr>
        <w:t>orodności powierzchni warstwy,</w:t>
      </w:r>
    </w:p>
    <w:p w:rsidR="00B77F00" w:rsidRDefault="00865FA3">
      <w:pPr>
        <w:pStyle w:val="Standard"/>
        <w:jc w:val="both"/>
        <w:rPr>
          <w:szCs w:val="20"/>
        </w:rPr>
      </w:pPr>
      <w:r>
        <w:rPr>
          <w:szCs w:val="20"/>
        </w:rPr>
        <w:t>- ocenę wizualną jakości wykonania połączeń technologicznych.</w:t>
      </w:r>
    </w:p>
    <w:p w:rsidR="00B77F00" w:rsidRDefault="00865FA3">
      <w:pPr>
        <w:pStyle w:val="Standard"/>
        <w:jc w:val="both"/>
        <w:rPr>
          <w:szCs w:val="20"/>
        </w:rPr>
      </w:pPr>
      <w:r>
        <w:rPr>
          <w:szCs w:val="20"/>
        </w:rPr>
        <w:t>Temperaturę oraz czas transportu (przechowywania w kotłach) i ułożenia asfaltu lanego należy udokumentować protokołem dotyczącym każdego kotła. Protokół należy prz</w:t>
      </w:r>
      <w:r>
        <w:rPr>
          <w:szCs w:val="20"/>
        </w:rPr>
        <w:t>ekazywać Inżynierowi w każdym dniu roboczym.</w:t>
      </w:r>
    </w:p>
    <w:p w:rsidR="00B77F00" w:rsidRDefault="00865FA3">
      <w:pPr>
        <w:pStyle w:val="Standard"/>
        <w:jc w:val="both"/>
        <w:rPr>
          <w:szCs w:val="20"/>
        </w:rPr>
      </w:pPr>
      <w:r>
        <w:rPr>
          <w:szCs w:val="20"/>
        </w:rPr>
        <w:t>6.4. Badania kontrolne Inżyniera</w:t>
      </w:r>
    </w:p>
    <w:p w:rsidR="00B77F00" w:rsidRDefault="00865FA3">
      <w:pPr>
        <w:pStyle w:val="Standard"/>
        <w:jc w:val="both"/>
        <w:rPr>
          <w:szCs w:val="20"/>
        </w:rPr>
      </w:pPr>
      <w:r>
        <w:rPr>
          <w:szCs w:val="20"/>
        </w:rPr>
        <w:t>Badania kontrolne są badaniami Inżyniera, których celem jest sprawdzenie, czy jakość materiałów budowlanych (mieszanek mineralno-asfaltowych i ich składników, lepiszczy i materia</w:t>
      </w:r>
      <w:r>
        <w:rPr>
          <w:szCs w:val="20"/>
        </w:rPr>
        <w:t>łów do uszczelnień itp.) oraz gotowej warstwy (wbudowane warstwy asfaltowe, połączenia itp.) spełniają wymagania określone w kontrakcie. Wyniki tych badań są podstawą odbioru. Pobieraniem próbek i wykonaniem badań na miejscu budowy zajmuje się Inżynier w o</w:t>
      </w:r>
      <w:r>
        <w:rPr>
          <w:szCs w:val="20"/>
        </w:rPr>
        <w:t>becności Wykonawcy. Badania odbywają się również wtedy, gdy Wykonawca zostanie w porę powiadomiony o ich terminie, jednak nie będzie przy nich obecny.</w:t>
      </w:r>
    </w:p>
    <w:p w:rsidR="00B77F00" w:rsidRDefault="00865FA3">
      <w:pPr>
        <w:pStyle w:val="Standard"/>
        <w:jc w:val="both"/>
        <w:rPr>
          <w:szCs w:val="20"/>
        </w:rPr>
      </w:pPr>
      <w:r>
        <w:rPr>
          <w:szCs w:val="20"/>
        </w:rPr>
        <w:t>6.4.1. Kruszywa</w:t>
      </w:r>
    </w:p>
    <w:p w:rsidR="00B77F00" w:rsidRDefault="00865FA3">
      <w:pPr>
        <w:pStyle w:val="Standard"/>
        <w:jc w:val="both"/>
        <w:rPr>
          <w:szCs w:val="20"/>
        </w:rPr>
      </w:pPr>
      <w:r>
        <w:rPr>
          <w:szCs w:val="20"/>
        </w:rPr>
        <w:t>Z kruszywa należy pobrać i zbadać średnie próbki. Wielkość pobranej średniej próbki nie m</w:t>
      </w:r>
      <w:r>
        <w:rPr>
          <w:szCs w:val="20"/>
        </w:rPr>
        <w:t>oże być mniejsza</w:t>
      </w:r>
    </w:p>
    <w:p w:rsidR="00B77F00" w:rsidRDefault="00865FA3">
      <w:pPr>
        <w:pStyle w:val="Standard"/>
        <w:jc w:val="both"/>
        <w:rPr>
          <w:szCs w:val="20"/>
        </w:rPr>
      </w:pPr>
      <w:r>
        <w:rPr>
          <w:szCs w:val="20"/>
        </w:rPr>
        <w:t>niż:</w:t>
      </w:r>
    </w:p>
    <w:p w:rsidR="00B77F00" w:rsidRDefault="00865FA3">
      <w:pPr>
        <w:pStyle w:val="Standard"/>
        <w:jc w:val="both"/>
        <w:rPr>
          <w:szCs w:val="20"/>
        </w:rPr>
      </w:pPr>
      <w:r>
        <w:rPr>
          <w:szCs w:val="20"/>
        </w:rPr>
        <w:t>- wypełniacz - 2 kg,</w:t>
      </w:r>
    </w:p>
    <w:p w:rsidR="00B77F00" w:rsidRDefault="00865FA3">
      <w:pPr>
        <w:pStyle w:val="Standard"/>
        <w:jc w:val="both"/>
        <w:rPr>
          <w:szCs w:val="20"/>
        </w:rPr>
      </w:pPr>
      <w:r>
        <w:rPr>
          <w:szCs w:val="20"/>
        </w:rPr>
        <w:t>- kruszywa o uziarnieniu do 8 mm - 5 kg,</w:t>
      </w:r>
    </w:p>
    <w:p w:rsidR="00B77F00" w:rsidRDefault="00865FA3">
      <w:pPr>
        <w:pStyle w:val="Standard"/>
        <w:jc w:val="both"/>
        <w:rPr>
          <w:szCs w:val="20"/>
        </w:rPr>
      </w:pPr>
      <w:r>
        <w:rPr>
          <w:szCs w:val="20"/>
        </w:rPr>
        <w:t>- kruszywa o uziarnieniu powyżej 8 mm - 15 kg.</w:t>
      </w:r>
    </w:p>
    <w:p w:rsidR="00B77F00" w:rsidRDefault="00865FA3">
      <w:pPr>
        <w:pStyle w:val="Standard"/>
        <w:jc w:val="both"/>
        <w:rPr>
          <w:szCs w:val="20"/>
        </w:rPr>
      </w:pPr>
      <w:r>
        <w:rPr>
          <w:szCs w:val="20"/>
        </w:rPr>
        <w:t>6.4.2. Lepiszcze</w:t>
      </w:r>
    </w:p>
    <w:p w:rsidR="00B77F00" w:rsidRDefault="00865FA3">
      <w:pPr>
        <w:pStyle w:val="Standard"/>
        <w:jc w:val="both"/>
        <w:rPr>
          <w:szCs w:val="20"/>
        </w:rPr>
      </w:pPr>
      <w:r>
        <w:rPr>
          <w:szCs w:val="20"/>
        </w:rPr>
        <w:t xml:space="preserve">Z lepiszcza należy pobrać próbkę średnią składająca się z 3 próbek częściowych po 2 kg. Z tego jedną próbkę </w:t>
      </w:r>
      <w:r>
        <w:rPr>
          <w:szCs w:val="20"/>
        </w:rPr>
        <w:t>częściową należy poddać badaniom. Ponadto należy i zbadać kolejną próbkę, jeżeli wygląd zewnętrzny (jednolitość, kolor, zapach, zanieczyszczenia) może budzić obawy.</w:t>
      </w:r>
    </w:p>
    <w:p w:rsidR="00B77F00" w:rsidRDefault="00865FA3">
      <w:pPr>
        <w:pStyle w:val="Standard"/>
        <w:jc w:val="both"/>
        <w:rPr>
          <w:szCs w:val="20"/>
        </w:rPr>
      </w:pPr>
      <w:r>
        <w:rPr>
          <w:szCs w:val="20"/>
        </w:rPr>
        <w:t>6.4.3. Materiały do uszczelniania połączeń</w:t>
      </w:r>
    </w:p>
    <w:p w:rsidR="00B77F00" w:rsidRDefault="00865FA3">
      <w:pPr>
        <w:pStyle w:val="Standard"/>
        <w:jc w:val="both"/>
        <w:rPr>
          <w:szCs w:val="20"/>
        </w:rPr>
      </w:pPr>
      <w:r>
        <w:rPr>
          <w:szCs w:val="20"/>
        </w:rPr>
        <w:t>Z lepiszcza lub materiałów termoplastycznych nal</w:t>
      </w:r>
      <w:r>
        <w:rPr>
          <w:szCs w:val="20"/>
        </w:rPr>
        <w:t>eży pobrać próbki średnie składające się z 3 próbek częściowych po 6 kg. Z tego jedną próbkę częściową należy poddać badaniom. Ponadto należy pobrać i zbadać kolejną próbkę, jeżeli zewnętrzny wygląd (jednolitość, kolor, połysk, zapach, zanieczyszczenia) mo</w:t>
      </w:r>
      <w:r>
        <w:rPr>
          <w:szCs w:val="20"/>
        </w:rPr>
        <w:t>że budzić obawy.</w:t>
      </w:r>
    </w:p>
    <w:p w:rsidR="00B77F00" w:rsidRDefault="00865FA3">
      <w:pPr>
        <w:pStyle w:val="Standard"/>
        <w:jc w:val="both"/>
        <w:rPr>
          <w:szCs w:val="20"/>
        </w:rPr>
      </w:pPr>
      <w:r>
        <w:rPr>
          <w:szCs w:val="20"/>
        </w:rPr>
        <w:t>6.4.4. Badania mieszanki mineralno-asfaltowej</w:t>
      </w:r>
    </w:p>
    <w:p w:rsidR="00B77F00" w:rsidRDefault="00865FA3">
      <w:pPr>
        <w:pStyle w:val="Standard"/>
        <w:jc w:val="both"/>
        <w:rPr>
          <w:szCs w:val="20"/>
        </w:rPr>
      </w:pPr>
      <w:r>
        <w:rPr>
          <w:szCs w:val="20"/>
        </w:rPr>
        <w:t>Rodzaj badań kontrolnych mieszanki mineralno-asfaltowej i wykonanej z niej warstwy podano w tablicy 9</w:t>
      </w:r>
    </w:p>
    <w:p w:rsidR="00B77F00" w:rsidRDefault="00B77F00">
      <w:pPr>
        <w:pStyle w:val="Standard"/>
        <w:jc w:val="both"/>
        <w:rPr>
          <w:szCs w:val="20"/>
        </w:rPr>
      </w:pPr>
    </w:p>
    <w:p w:rsidR="00B77F00" w:rsidRDefault="00865FA3">
      <w:pPr>
        <w:pStyle w:val="Standard"/>
        <w:jc w:val="both"/>
        <w:rPr>
          <w:szCs w:val="20"/>
        </w:rPr>
      </w:pPr>
      <w:r>
        <w:rPr>
          <w:szCs w:val="20"/>
        </w:rPr>
        <w:t>Tablica 9. Rodzaj badań kontrolnych</w:t>
      </w:r>
    </w:p>
    <w:p w:rsidR="00B77F00" w:rsidRDefault="00B77F00">
      <w:pPr>
        <w:pStyle w:val="Standard"/>
        <w:jc w:val="both"/>
        <w:rPr>
          <w:szCs w:val="20"/>
        </w:rPr>
      </w:pPr>
    </w:p>
    <w:tbl>
      <w:tblPr>
        <w:tblW w:w="7226" w:type="dxa"/>
        <w:tblInd w:w="1034" w:type="dxa"/>
        <w:tblLayout w:type="fixed"/>
        <w:tblCellMar>
          <w:left w:w="10" w:type="dxa"/>
          <w:right w:w="10" w:type="dxa"/>
        </w:tblCellMar>
        <w:tblLook w:val="0000" w:firstRow="0" w:lastRow="0" w:firstColumn="0" w:lastColumn="0" w:noHBand="0" w:noVBand="0"/>
      </w:tblPr>
      <w:tblGrid>
        <w:gridCol w:w="1132"/>
        <w:gridCol w:w="6094"/>
      </w:tblGrid>
      <w:tr w:rsidR="00B77F00">
        <w:tblPrEx>
          <w:tblCellMar>
            <w:top w:w="0" w:type="dxa"/>
            <w:bottom w:w="0" w:type="dxa"/>
          </w:tblCellMar>
        </w:tblPrEx>
        <w:tc>
          <w:tcPr>
            <w:tcW w:w="1132"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tcPr>
          <w:p w:rsidR="00B77F00" w:rsidRDefault="00865FA3">
            <w:pPr>
              <w:pStyle w:val="Standard"/>
              <w:jc w:val="both"/>
              <w:rPr>
                <w:szCs w:val="20"/>
              </w:rPr>
            </w:pPr>
            <w:r>
              <w:rPr>
                <w:rFonts w:eastAsia="Times New Roman" w:cs="Times New Roman"/>
                <w:spacing w:val="-2"/>
                <w:w w:val="99"/>
                <w:szCs w:val="20"/>
              </w:rPr>
              <w:t>L</w:t>
            </w:r>
            <w:r>
              <w:rPr>
                <w:rFonts w:eastAsia="Times New Roman" w:cs="Times New Roman"/>
                <w:spacing w:val="1"/>
                <w:w w:val="99"/>
                <w:szCs w:val="20"/>
              </w:rPr>
              <w:t>p</w:t>
            </w:r>
            <w:r>
              <w:rPr>
                <w:rFonts w:eastAsia="Times New Roman" w:cs="Times New Roman"/>
                <w:w w:val="99"/>
                <w:szCs w:val="20"/>
              </w:rPr>
              <w:t>.</w:t>
            </w:r>
          </w:p>
        </w:tc>
        <w:tc>
          <w:tcPr>
            <w:tcW w:w="6094"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tcPr>
          <w:p w:rsidR="00B77F00" w:rsidRDefault="00865FA3">
            <w:pPr>
              <w:pStyle w:val="Standard"/>
              <w:jc w:val="both"/>
              <w:rPr>
                <w:szCs w:val="20"/>
              </w:rPr>
            </w:pPr>
            <w:r>
              <w:rPr>
                <w:rFonts w:eastAsia="Times New Roman" w:cs="Times New Roman"/>
                <w:spacing w:val="-1"/>
                <w:szCs w:val="20"/>
              </w:rPr>
              <w:t>R</w:t>
            </w:r>
            <w:r>
              <w:rPr>
                <w:rFonts w:eastAsia="Times New Roman" w:cs="Times New Roman"/>
                <w:spacing w:val="1"/>
                <w:szCs w:val="20"/>
              </w:rPr>
              <w:t>od</w:t>
            </w:r>
            <w:r>
              <w:rPr>
                <w:rFonts w:eastAsia="Times New Roman" w:cs="Times New Roman"/>
                <w:szCs w:val="20"/>
              </w:rPr>
              <w:t>z</w:t>
            </w:r>
            <w:r>
              <w:rPr>
                <w:rFonts w:eastAsia="Times New Roman" w:cs="Times New Roman"/>
                <w:spacing w:val="1"/>
                <w:szCs w:val="20"/>
              </w:rPr>
              <w:t>a</w:t>
            </w:r>
            <w:r>
              <w:rPr>
                <w:rFonts w:eastAsia="Times New Roman" w:cs="Times New Roman"/>
                <w:szCs w:val="20"/>
              </w:rPr>
              <w:t>j</w:t>
            </w:r>
            <w:r>
              <w:rPr>
                <w:rFonts w:eastAsia="Times New Roman" w:cs="Times New Roman"/>
                <w:spacing w:val="-4"/>
                <w:szCs w:val="20"/>
              </w:rPr>
              <w:t xml:space="preserve"> </w:t>
            </w:r>
            <w:r>
              <w:rPr>
                <w:rFonts w:eastAsia="Times New Roman" w:cs="Times New Roman"/>
                <w:spacing w:val="1"/>
                <w:w w:val="99"/>
                <w:szCs w:val="20"/>
              </w:rPr>
              <w:t>b</w:t>
            </w:r>
            <w:r>
              <w:rPr>
                <w:rFonts w:eastAsia="Times New Roman" w:cs="Times New Roman"/>
                <w:spacing w:val="-2"/>
                <w:w w:val="99"/>
                <w:szCs w:val="20"/>
              </w:rPr>
              <w:t>a</w:t>
            </w:r>
            <w:r>
              <w:rPr>
                <w:rFonts w:eastAsia="Times New Roman" w:cs="Times New Roman"/>
                <w:spacing w:val="1"/>
                <w:w w:val="99"/>
                <w:szCs w:val="20"/>
              </w:rPr>
              <w:t>d</w:t>
            </w:r>
            <w:r>
              <w:rPr>
                <w:rFonts w:eastAsia="Times New Roman" w:cs="Times New Roman"/>
                <w:w w:val="99"/>
                <w:szCs w:val="20"/>
              </w:rPr>
              <w:t>ań</w:t>
            </w:r>
          </w:p>
        </w:tc>
      </w:tr>
      <w:tr w:rsidR="00B77F00">
        <w:tblPrEx>
          <w:tblCellMar>
            <w:top w:w="0" w:type="dxa"/>
            <w:bottom w:w="0" w:type="dxa"/>
          </w:tblCellMar>
        </w:tblPrEx>
        <w:tc>
          <w:tcPr>
            <w:tcW w:w="1132"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tcPr>
          <w:p w:rsidR="00B77F00" w:rsidRDefault="00865FA3">
            <w:pPr>
              <w:pStyle w:val="Standard"/>
              <w:jc w:val="both"/>
              <w:rPr>
                <w:rFonts w:eastAsia="Times New Roman" w:cs="Times New Roman"/>
                <w:w w:val="99"/>
                <w:szCs w:val="20"/>
              </w:rPr>
            </w:pPr>
            <w:r>
              <w:rPr>
                <w:rFonts w:eastAsia="Times New Roman" w:cs="Times New Roman"/>
                <w:w w:val="99"/>
                <w:szCs w:val="20"/>
              </w:rPr>
              <w:lastRenderedPageBreak/>
              <w:t>1</w:t>
            </w:r>
          </w:p>
          <w:p w:rsidR="00B77F00" w:rsidRDefault="00865FA3">
            <w:pPr>
              <w:pStyle w:val="Standard"/>
              <w:jc w:val="both"/>
              <w:rPr>
                <w:szCs w:val="20"/>
              </w:rPr>
            </w:pPr>
            <w:r>
              <w:rPr>
                <w:rFonts w:eastAsia="Times New Roman" w:cs="Times New Roman"/>
                <w:spacing w:val="1"/>
                <w:w w:val="99"/>
                <w:szCs w:val="20"/>
              </w:rPr>
              <w:t>1</w:t>
            </w:r>
            <w:r>
              <w:rPr>
                <w:rFonts w:eastAsia="Times New Roman" w:cs="Times New Roman"/>
                <w:w w:val="99"/>
                <w:szCs w:val="20"/>
              </w:rPr>
              <w:t>.1</w:t>
            </w:r>
          </w:p>
          <w:p w:rsidR="00B77F00" w:rsidRDefault="00865FA3">
            <w:pPr>
              <w:pStyle w:val="Standard"/>
              <w:jc w:val="both"/>
              <w:rPr>
                <w:szCs w:val="20"/>
              </w:rPr>
            </w:pPr>
            <w:r>
              <w:rPr>
                <w:rFonts w:eastAsia="Times New Roman" w:cs="Times New Roman"/>
                <w:spacing w:val="1"/>
                <w:w w:val="99"/>
                <w:szCs w:val="20"/>
              </w:rPr>
              <w:t>1</w:t>
            </w:r>
            <w:r>
              <w:rPr>
                <w:rFonts w:eastAsia="Times New Roman" w:cs="Times New Roman"/>
                <w:w w:val="99"/>
                <w:szCs w:val="20"/>
              </w:rPr>
              <w:t>.2</w:t>
            </w:r>
          </w:p>
          <w:p w:rsidR="00B77F00" w:rsidRDefault="00865FA3">
            <w:pPr>
              <w:pStyle w:val="Standard"/>
              <w:jc w:val="both"/>
              <w:rPr>
                <w:szCs w:val="20"/>
              </w:rPr>
            </w:pPr>
            <w:r>
              <w:rPr>
                <w:rFonts w:eastAsia="Times New Roman" w:cs="Times New Roman"/>
                <w:spacing w:val="1"/>
                <w:w w:val="99"/>
                <w:szCs w:val="20"/>
              </w:rPr>
              <w:t>1</w:t>
            </w:r>
            <w:r>
              <w:rPr>
                <w:rFonts w:eastAsia="Times New Roman" w:cs="Times New Roman"/>
                <w:w w:val="99"/>
                <w:szCs w:val="20"/>
              </w:rPr>
              <w:t>.4</w:t>
            </w:r>
          </w:p>
          <w:p w:rsidR="00B77F00" w:rsidRDefault="00865FA3">
            <w:pPr>
              <w:pStyle w:val="Standard"/>
              <w:jc w:val="both"/>
              <w:rPr>
                <w:szCs w:val="20"/>
              </w:rPr>
            </w:pPr>
            <w:r>
              <w:rPr>
                <w:rFonts w:eastAsia="Times New Roman" w:cs="Times New Roman"/>
                <w:spacing w:val="1"/>
                <w:w w:val="99"/>
                <w:szCs w:val="20"/>
              </w:rPr>
              <w:t>1</w:t>
            </w:r>
            <w:r>
              <w:rPr>
                <w:rFonts w:eastAsia="Times New Roman" w:cs="Times New Roman"/>
                <w:w w:val="99"/>
                <w:szCs w:val="20"/>
              </w:rPr>
              <w:t>.5</w:t>
            </w:r>
          </w:p>
          <w:p w:rsidR="00B77F00" w:rsidRDefault="00B77F00">
            <w:pPr>
              <w:pStyle w:val="Standard"/>
              <w:jc w:val="both"/>
              <w:rPr>
                <w:szCs w:val="20"/>
              </w:rPr>
            </w:pPr>
          </w:p>
          <w:p w:rsidR="00B77F00" w:rsidRDefault="00865FA3">
            <w:pPr>
              <w:pStyle w:val="Standard"/>
              <w:jc w:val="both"/>
              <w:rPr>
                <w:rFonts w:eastAsia="Times New Roman" w:cs="Times New Roman"/>
                <w:w w:val="99"/>
                <w:szCs w:val="20"/>
              </w:rPr>
            </w:pPr>
            <w:r>
              <w:rPr>
                <w:rFonts w:eastAsia="Times New Roman" w:cs="Times New Roman"/>
                <w:w w:val="99"/>
                <w:szCs w:val="20"/>
              </w:rPr>
              <w:t>2</w:t>
            </w:r>
          </w:p>
          <w:p w:rsidR="00B77F00" w:rsidRDefault="00865FA3">
            <w:pPr>
              <w:pStyle w:val="Standard"/>
              <w:jc w:val="both"/>
              <w:rPr>
                <w:szCs w:val="20"/>
              </w:rPr>
            </w:pPr>
            <w:r>
              <w:rPr>
                <w:rFonts w:eastAsia="Times New Roman" w:cs="Times New Roman"/>
                <w:spacing w:val="1"/>
                <w:w w:val="99"/>
                <w:szCs w:val="20"/>
              </w:rPr>
              <w:t>2</w:t>
            </w:r>
            <w:r>
              <w:rPr>
                <w:rFonts w:eastAsia="Times New Roman" w:cs="Times New Roman"/>
                <w:w w:val="99"/>
                <w:szCs w:val="20"/>
              </w:rPr>
              <w:t>.1</w:t>
            </w:r>
          </w:p>
          <w:p w:rsidR="00B77F00" w:rsidRDefault="00865FA3">
            <w:pPr>
              <w:pStyle w:val="Standard"/>
              <w:jc w:val="both"/>
              <w:rPr>
                <w:szCs w:val="20"/>
              </w:rPr>
            </w:pPr>
            <w:r>
              <w:rPr>
                <w:rFonts w:eastAsia="Times New Roman" w:cs="Times New Roman"/>
                <w:spacing w:val="1"/>
                <w:w w:val="99"/>
                <w:szCs w:val="20"/>
              </w:rPr>
              <w:t>2</w:t>
            </w:r>
            <w:r>
              <w:rPr>
                <w:rFonts w:eastAsia="Times New Roman" w:cs="Times New Roman"/>
                <w:w w:val="99"/>
                <w:szCs w:val="20"/>
              </w:rPr>
              <w:t>.2</w:t>
            </w:r>
          </w:p>
          <w:p w:rsidR="00B77F00" w:rsidRDefault="00865FA3">
            <w:pPr>
              <w:pStyle w:val="Standard"/>
              <w:jc w:val="both"/>
              <w:rPr>
                <w:szCs w:val="20"/>
              </w:rPr>
            </w:pPr>
            <w:r>
              <w:rPr>
                <w:rFonts w:eastAsia="Times New Roman" w:cs="Times New Roman"/>
                <w:spacing w:val="1"/>
                <w:w w:val="99"/>
                <w:szCs w:val="20"/>
              </w:rPr>
              <w:t>2</w:t>
            </w:r>
            <w:r>
              <w:rPr>
                <w:rFonts w:eastAsia="Times New Roman" w:cs="Times New Roman"/>
                <w:w w:val="99"/>
                <w:szCs w:val="20"/>
              </w:rPr>
              <w:t>.3</w:t>
            </w:r>
          </w:p>
        </w:tc>
        <w:tc>
          <w:tcPr>
            <w:tcW w:w="6094" w:type="dxa"/>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tcPr>
          <w:p w:rsidR="00B77F00" w:rsidRDefault="00865FA3">
            <w:pPr>
              <w:pStyle w:val="Standard"/>
              <w:jc w:val="both"/>
              <w:rPr>
                <w:szCs w:val="20"/>
              </w:rPr>
            </w:pPr>
            <w:r>
              <w:rPr>
                <w:rFonts w:eastAsia="Times New Roman" w:cs="Times New Roman"/>
                <w:szCs w:val="20"/>
              </w:rPr>
              <w:t>Mie</w:t>
            </w:r>
            <w:r>
              <w:rPr>
                <w:rFonts w:eastAsia="Times New Roman" w:cs="Times New Roman"/>
                <w:spacing w:val="-1"/>
                <w:szCs w:val="20"/>
              </w:rPr>
              <w:t>s</w:t>
            </w:r>
            <w:r>
              <w:rPr>
                <w:rFonts w:eastAsia="Times New Roman" w:cs="Times New Roman"/>
                <w:szCs w:val="20"/>
              </w:rPr>
              <w:t>z</w:t>
            </w:r>
            <w:r>
              <w:rPr>
                <w:rFonts w:eastAsia="Times New Roman" w:cs="Times New Roman"/>
                <w:spacing w:val="1"/>
                <w:szCs w:val="20"/>
              </w:rPr>
              <w:t>an</w:t>
            </w:r>
            <w:r>
              <w:rPr>
                <w:rFonts w:eastAsia="Times New Roman" w:cs="Times New Roman"/>
                <w:spacing w:val="-1"/>
                <w:szCs w:val="20"/>
              </w:rPr>
              <w:t>k</w:t>
            </w:r>
            <w:r>
              <w:rPr>
                <w:rFonts w:eastAsia="Times New Roman" w:cs="Times New Roman"/>
                <w:szCs w:val="20"/>
              </w:rPr>
              <w:t>a</w:t>
            </w:r>
            <w:r>
              <w:rPr>
                <w:rFonts w:eastAsia="Times New Roman" w:cs="Times New Roman"/>
                <w:spacing w:val="-6"/>
                <w:szCs w:val="20"/>
              </w:rPr>
              <w:t xml:space="preserve"> </w:t>
            </w:r>
            <w:r>
              <w:rPr>
                <w:rFonts w:eastAsia="Times New Roman" w:cs="Times New Roman"/>
                <w:spacing w:val="-1"/>
                <w:szCs w:val="20"/>
              </w:rPr>
              <w:t>m</w:t>
            </w:r>
            <w:r>
              <w:rPr>
                <w:rFonts w:eastAsia="Times New Roman" w:cs="Times New Roman"/>
                <w:szCs w:val="20"/>
              </w:rPr>
              <w:t>i</w:t>
            </w:r>
            <w:r>
              <w:rPr>
                <w:rFonts w:eastAsia="Times New Roman" w:cs="Times New Roman"/>
                <w:spacing w:val="-1"/>
                <w:szCs w:val="20"/>
              </w:rPr>
              <w:t>n</w:t>
            </w:r>
            <w:r>
              <w:rPr>
                <w:rFonts w:eastAsia="Times New Roman" w:cs="Times New Roman"/>
                <w:szCs w:val="20"/>
              </w:rPr>
              <w:t>e</w:t>
            </w:r>
            <w:r>
              <w:rPr>
                <w:rFonts w:eastAsia="Times New Roman" w:cs="Times New Roman"/>
                <w:spacing w:val="1"/>
                <w:szCs w:val="20"/>
              </w:rPr>
              <w:t>r</w:t>
            </w:r>
            <w:r>
              <w:rPr>
                <w:rFonts w:eastAsia="Times New Roman" w:cs="Times New Roman"/>
                <w:szCs w:val="20"/>
              </w:rPr>
              <w:t>a</w:t>
            </w:r>
            <w:r>
              <w:rPr>
                <w:rFonts w:eastAsia="Times New Roman" w:cs="Times New Roman"/>
                <w:spacing w:val="2"/>
                <w:szCs w:val="20"/>
              </w:rPr>
              <w:t>l</w:t>
            </w:r>
            <w:r>
              <w:rPr>
                <w:rFonts w:eastAsia="Times New Roman" w:cs="Times New Roman"/>
                <w:spacing w:val="-1"/>
                <w:szCs w:val="20"/>
              </w:rPr>
              <w:t>n</w:t>
            </w:r>
            <w:r>
              <w:rPr>
                <w:rFonts w:eastAsia="Times New Roman" w:cs="Times New Roman"/>
                <w:spacing w:val="3"/>
                <w:szCs w:val="20"/>
              </w:rPr>
              <w:t>o</w:t>
            </w:r>
            <w:r>
              <w:rPr>
                <w:rFonts w:eastAsia="Times New Roman" w:cs="Times New Roman"/>
                <w:spacing w:val="-2"/>
                <w:szCs w:val="20"/>
              </w:rPr>
              <w:t>-</w:t>
            </w:r>
            <w:r>
              <w:rPr>
                <w:rFonts w:eastAsia="Times New Roman" w:cs="Times New Roman"/>
                <w:spacing w:val="3"/>
                <w:szCs w:val="20"/>
              </w:rPr>
              <w:t>a</w:t>
            </w:r>
            <w:r>
              <w:rPr>
                <w:rFonts w:eastAsia="Times New Roman" w:cs="Times New Roman"/>
                <w:spacing w:val="2"/>
                <w:szCs w:val="20"/>
              </w:rPr>
              <w:t>s</w:t>
            </w:r>
            <w:r>
              <w:rPr>
                <w:rFonts w:eastAsia="Times New Roman" w:cs="Times New Roman"/>
                <w:spacing w:val="-2"/>
                <w:szCs w:val="20"/>
              </w:rPr>
              <w:t>f</w:t>
            </w:r>
            <w:r>
              <w:rPr>
                <w:rFonts w:eastAsia="Times New Roman" w:cs="Times New Roman"/>
                <w:szCs w:val="20"/>
              </w:rPr>
              <w:t>alt</w:t>
            </w:r>
            <w:r>
              <w:rPr>
                <w:rFonts w:eastAsia="Times New Roman" w:cs="Times New Roman"/>
                <w:spacing w:val="3"/>
                <w:szCs w:val="20"/>
              </w:rPr>
              <w:t>o</w:t>
            </w:r>
            <w:r>
              <w:rPr>
                <w:rFonts w:eastAsia="Times New Roman" w:cs="Times New Roman"/>
                <w:spacing w:val="-2"/>
                <w:szCs w:val="20"/>
              </w:rPr>
              <w:t>w</w:t>
            </w:r>
            <w:r>
              <w:rPr>
                <w:rFonts w:eastAsia="Times New Roman" w:cs="Times New Roman"/>
                <w:szCs w:val="20"/>
              </w:rPr>
              <w:t>a</w:t>
            </w:r>
            <w:r>
              <w:rPr>
                <w:rFonts w:eastAsia="Times New Roman" w:cs="Times New Roman"/>
                <w:spacing w:val="-15"/>
                <w:szCs w:val="20"/>
              </w:rPr>
              <w:t xml:space="preserve"> </w:t>
            </w:r>
            <w:r>
              <w:rPr>
                <w:rFonts w:eastAsia="Times New Roman" w:cs="Times New Roman"/>
                <w:position w:val="14"/>
                <w:szCs w:val="20"/>
              </w:rPr>
              <w:t>a),</w:t>
            </w:r>
            <w:r>
              <w:rPr>
                <w:rFonts w:eastAsia="Times New Roman" w:cs="Times New Roman"/>
                <w:spacing w:val="1"/>
                <w:position w:val="14"/>
                <w:szCs w:val="20"/>
              </w:rPr>
              <w:t xml:space="preserve"> </w:t>
            </w:r>
            <w:r>
              <w:rPr>
                <w:rFonts w:eastAsia="Times New Roman" w:cs="Times New Roman"/>
                <w:position w:val="14"/>
                <w:szCs w:val="20"/>
              </w:rPr>
              <w:t>b)</w:t>
            </w:r>
          </w:p>
          <w:p w:rsidR="00B77F00" w:rsidRDefault="00865FA3">
            <w:pPr>
              <w:pStyle w:val="Standard"/>
              <w:jc w:val="both"/>
              <w:rPr>
                <w:szCs w:val="20"/>
              </w:rPr>
            </w:pPr>
            <w:r>
              <w:rPr>
                <w:rFonts w:eastAsia="Times New Roman" w:cs="Times New Roman"/>
                <w:szCs w:val="20"/>
              </w:rPr>
              <w:t>Uzi</w:t>
            </w:r>
            <w:r>
              <w:rPr>
                <w:rFonts w:eastAsia="Times New Roman" w:cs="Times New Roman"/>
                <w:spacing w:val="1"/>
                <w:szCs w:val="20"/>
              </w:rPr>
              <w:t>ar</w:t>
            </w:r>
            <w:r>
              <w:rPr>
                <w:rFonts w:eastAsia="Times New Roman" w:cs="Times New Roman"/>
                <w:spacing w:val="-1"/>
                <w:szCs w:val="20"/>
              </w:rPr>
              <w:t>n</w:t>
            </w:r>
            <w:r>
              <w:rPr>
                <w:rFonts w:eastAsia="Times New Roman" w:cs="Times New Roman"/>
                <w:szCs w:val="20"/>
              </w:rPr>
              <w:t>i</w:t>
            </w:r>
            <w:r>
              <w:rPr>
                <w:rFonts w:eastAsia="Times New Roman" w:cs="Times New Roman"/>
                <w:spacing w:val="2"/>
                <w:szCs w:val="20"/>
              </w:rPr>
              <w:t>e</w:t>
            </w:r>
            <w:r>
              <w:rPr>
                <w:rFonts w:eastAsia="Times New Roman" w:cs="Times New Roman"/>
                <w:spacing w:val="-1"/>
                <w:szCs w:val="20"/>
              </w:rPr>
              <w:t>n</w:t>
            </w:r>
            <w:r>
              <w:rPr>
                <w:rFonts w:eastAsia="Times New Roman" w:cs="Times New Roman"/>
                <w:szCs w:val="20"/>
              </w:rPr>
              <w:t>ie</w:t>
            </w:r>
          </w:p>
          <w:p w:rsidR="00B77F00" w:rsidRDefault="00865FA3">
            <w:pPr>
              <w:pStyle w:val="Standard"/>
              <w:jc w:val="both"/>
              <w:rPr>
                <w:szCs w:val="20"/>
              </w:rPr>
            </w:pPr>
            <w:r>
              <w:rPr>
                <w:rFonts w:eastAsia="Times New Roman" w:cs="Times New Roman"/>
                <w:spacing w:val="-2"/>
                <w:szCs w:val="20"/>
              </w:rPr>
              <w:t>Z</w:t>
            </w:r>
            <w:r>
              <w:rPr>
                <w:rFonts w:eastAsia="Times New Roman" w:cs="Times New Roman"/>
                <w:spacing w:val="3"/>
                <w:szCs w:val="20"/>
              </w:rPr>
              <w:t>a</w:t>
            </w:r>
            <w:r>
              <w:rPr>
                <w:rFonts w:eastAsia="Times New Roman" w:cs="Times New Roman"/>
                <w:spacing w:val="-2"/>
                <w:szCs w:val="20"/>
              </w:rPr>
              <w:t>w</w:t>
            </w:r>
            <w:r>
              <w:rPr>
                <w:rFonts w:eastAsia="Times New Roman" w:cs="Times New Roman"/>
                <w:szCs w:val="20"/>
              </w:rPr>
              <w:t>a</w:t>
            </w:r>
            <w:r>
              <w:rPr>
                <w:rFonts w:eastAsia="Times New Roman" w:cs="Times New Roman"/>
                <w:spacing w:val="1"/>
                <w:szCs w:val="20"/>
              </w:rPr>
              <w:t>r</w:t>
            </w:r>
            <w:r>
              <w:rPr>
                <w:rFonts w:eastAsia="Times New Roman" w:cs="Times New Roman"/>
                <w:szCs w:val="20"/>
              </w:rPr>
              <w:t>t</w:t>
            </w:r>
            <w:r>
              <w:rPr>
                <w:rFonts w:eastAsia="Times New Roman" w:cs="Times New Roman"/>
                <w:spacing w:val="1"/>
                <w:szCs w:val="20"/>
              </w:rPr>
              <w:t>o</w:t>
            </w:r>
            <w:r>
              <w:rPr>
                <w:rFonts w:eastAsia="Times New Roman" w:cs="Times New Roman"/>
                <w:spacing w:val="-1"/>
                <w:szCs w:val="20"/>
              </w:rPr>
              <w:t>ś</w:t>
            </w:r>
            <w:r>
              <w:rPr>
                <w:rFonts w:eastAsia="Times New Roman" w:cs="Times New Roman"/>
                <w:szCs w:val="20"/>
              </w:rPr>
              <w:t>ć</w:t>
            </w:r>
            <w:r>
              <w:rPr>
                <w:rFonts w:eastAsia="Times New Roman" w:cs="Times New Roman"/>
                <w:spacing w:val="-7"/>
                <w:szCs w:val="20"/>
              </w:rPr>
              <w:t xml:space="preserve"> </w:t>
            </w:r>
            <w:r>
              <w:rPr>
                <w:rFonts w:eastAsia="Times New Roman" w:cs="Times New Roman"/>
                <w:szCs w:val="20"/>
              </w:rPr>
              <w:t>le</w:t>
            </w:r>
            <w:r>
              <w:rPr>
                <w:rFonts w:eastAsia="Times New Roman" w:cs="Times New Roman"/>
                <w:spacing w:val="1"/>
                <w:szCs w:val="20"/>
              </w:rPr>
              <w:t>p</w:t>
            </w:r>
            <w:r>
              <w:rPr>
                <w:rFonts w:eastAsia="Times New Roman" w:cs="Times New Roman"/>
                <w:szCs w:val="20"/>
              </w:rPr>
              <w:t>i</w:t>
            </w:r>
            <w:r>
              <w:rPr>
                <w:rFonts w:eastAsia="Times New Roman" w:cs="Times New Roman"/>
                <w:spacing w:val="-1"/>
                <w:szCs w:val="20"/>
              </w:rPr>
              <w:t>s</w:t>
            </w:r>
            <w:r>
              <w:rPr>
                <w:rFonts w:eastAsia="Times New Roman" w:cs="Times New Roman"/>
                <w:szCs w:val="20"/>
              </w:rPr>
              <w:t>z</w:t>
            </w:r>
            <w:r>
              <w:rPr>
                <w:rFonts w:eastAsia="Times New Roman" w:cs="Times New Roman"/>
                <w:spacing w:val="1"/>
                <w:szCs w:val="20"/>
              </w:rPr>
              <w:t>c</w:t>
            </w:r>
            <w:r>
              <w:rPr>
                <w:rFonts w:eastAsia="Times New Roman" w:cs="Times New Roman"/>
                <w:szCs w:val="20"/>
              </w:rPr>
              <w:t>za</w:t>
            </w:r>
          </w:p>
          <w:p w:rsidR="00B77F00" w:rsidRDefault="00865FA3">
            <w:pPr>
              <w:pStyle w:val="Standard"/>
              <w:jc w:val="both"/>
              <w:rPr>
                <w:szCs w:val="20"/>
              </w:rPr>
            </w:pPr>
            <w:r>
              <w:rPr>
                <w:rFonts w:eastAsia="Times New Roman" w:cs="Times New Roman"/>
                <w:szCs w:val="20"/>
              </w:rPr>
              <w:t>Gęst</w:t>
            </w:r>
            <w:r>
              <w:rPr>
                <w:rFonts w:eastAsia="Times New Roman" w:cs="Times New Roman"/>
                <w:spacing w:val="1"/>
                <w:szCs w:val="20"/>
              </w:rPr>
              <w:t>o</w:t>
            </w:r>
            <w:r>
              <w:rPr>
                <w:rFonts w:eastAsia="Times New Roman" w:cs="Times New Roman"/>
                <w:spacing w:val="-1"/>
                <w:szCs w:val="20"/>
              </w:rPr>
              <w:t>ś</w:t>
            </w:r>
            <w:r>
              <w:rPr>
                <w:rFonts w:eastAsia="Times New Roman" w:cs="Times New Roman"/>
                <w:szCs w:val="20"/>
              </w:rPr>
              <w:t>ć</w:t>
            </w:r>
          </w:p>
          <w:p w:rsidR="00B77F00" w:rsidRDefault="00865FA3">
            <w:pPr>
              <w:pStyle w:val="Standard"/>
              <w:jc w:val="both"/>
              <w:rPr>
                <w:szCs w:val="20"/>
              </w:rPr>
            </w:pPr>
            <w:r>
              <w:rPr>
                <w:rFonts w:eastAsia="Times New Roman" w:cs="Times New Roman"/>
                <w:spacing w:val="-2"/>
                <w:szCs w:val="20"/>
              </w:rPr>
              <w:t>Z</w:t>
            </w:r>
            <w:r>
              <w:rPr>
                <w:rFonts w:eastAsia="Times New Roman" w:cs="Times New Roman"/>
                <w:spacing w:val="3"/>
                <w:szCs w:val="20"/>
              </w:rPr>
              <w:t>a</w:t>
            </w:r>
            <w:r>
              <w:rPr>
                <w:rFonts w:eastAsia="Times New Roman" w:cs="Times New Roman"/>
                <w:spacing w:val="-1"/>
                <w:szCs w:val="20"/>
              </w:rPr>
              <w:t>g</w:t>
            </w:r>
            <w:r>
              <w:rPr>
                <w:rFonts w:eastAsia="Times New Roman" w:cs="Times New Roman"/>
                <w:szCs w:val="20"/>
              </w:rPr>
              <w:t>łę</w:t>
            </w:r>
            <w:r>
              <w:rPr>
                <w:rFonts w:eastAsia="Times New Roman" w:cs="Times New Roman"/>
                <w:spacing w:val="1"/>
                <w:szCs w:val="20"/>
              </w:rPr>
              <w:t>b</w:t>
            </w:r>
            <w:r>
              <w:rPr>
                <w:rFonts w:eastAsia="Times New Roman" w:cs="Times New Roman"/>
                <w:szCs w:val="20"/>
              </w:rPr>
              <w:t>ie</w:t>
            </w:r>
            <w:r>
              <w:rPr>
                <w:rFonts w:eastAsia="Times New Roman" w:cs="Times New Roman"/>
                <w:spacing w:val="-1"/>
                <w:szCs w:val="20"/>
              </w:rPr>
              <w:t>n</w:t>
            </w:r>
            <w:r>
              <w:rPr>
                <w:rFonts w:eastAsia="Times New Roman" w:cs="Times New Roman"/>
                <w:szCs w:val="20"/>
              </w:rPr>
              <w:t>ie</w:t>
            </w:r>
            <w:r>
              <w:rPr>
                <w:rFonts w:eastAsia="Times New Roman" w:cs="Times New Roman"/>
                <w:spacing w:val="8"/>
                <w:szCs w:val="20"/>
              </w:rPr>
              <w:t xml:space="preserve"> </w:t>
            </w:r>
            <w:r>
              <w:rPr>
                <w:rFonts w:eastAsia="Times New Roman" w:cs="Times New Roman"/>
                <w:szCs w:val="20"/>
              </w:rPr>
              <w:t>trz</w:t>
            </w:r>
            <w:r>
              <w:rPr>
                <w:rFonts w:eastAsia="Times New Roman" w:cs="Times New Roman"/>
                <w:spacing w:val="1"/>
                <w:szCs w:val="20"/>
              </w:rPr>
              <w:t>p</w:t>
            </w:r>
            <w:r>
              <w:rPr>
                <w:rFonts w:eastAsia="Times New Roman" w:cs="Times New Roman"/>
                <w:szCs w:val="20"/>
              </w:rPr>
              <w:t>ie</w:t>
            </w:r>
            <w:r>
              <w:rPr>
                <w:rFonts w:eastAsia="Times New Roman" w:cs="Times New Roman"/>
                <w:spacing w:val="1"/>
                <w:szCs w:val="20"/>
              </w:rPr>
              <w:t>n</w:t>
            </w:r>
            <w:r>
              <w:rPr>
                <w:rFonts w:eastAsia="Times New Roman" w:cs="Times New Roman"/>
                <w:szCs w:val="20"/>
              </w:rPr>
              <w:t>ia</w:t>
            </w:r>
            <w:r>
              <w:rPr>
                <w:rFonts w:eastAsia="Times New Roman" w:cs="Times New Roman"/>
                <w:spacing w:val="10"/>
                <w:szCs w:val="20"/>
              </w:rPr>
              <w:t xml:space="preserve"> </w:t>
            </w:r>
            <w:r>
              <w:rPr>
                <w:rFonts w:eastAsia="Times New Roman" w:cs="Times New Roman"/>
                <w:spacing w:val="3"/>
                <w:szCs w:val="20"/>
              </w:rPr>
              <w:t>(</w:t>
            </w:r>
            <w:r>
              <w:rPr>
                <w:rFonts w:eastAsia="Times New Roman" w:cs="Times New Roman"/>
                <w:spacing w:val="-5"/>
                <w:szCs w:val="20"/>
              </w:rPr>
              <w:t>w</w:t>
            </w:r>
            <w:r>
              <w:rPr>
                <w:rFonts w:eastAsia="Times New Roman" w:cs="Times New Roman"/>
                <w:szCs w:val="20"/>
              </w:rPr>
              <w:t>łąc</w:t>
            </w:r>
            <w:r>
              <w:rPr>
                <w:rFonts w:eastAsia="Times New Roman" w:cs="Times New Roman"/>
                <w:spacing w:val="3"/>
                <w:szCs w:val="20"/>
              </w:rPr>
              <w:t>z</w:t>
            </w:r>
            <w:r>
              <w:rPr>
                <w:rFonts w:eastAsia="Times New Roman" w:cs="Times New Roman"/>
                <w:spacing w:val="1"/>
                <w:szCs w:val="20"/>
              </w:rPr>
              <w:t>n</w:t>
            </w:r>
            <w:r>
              <w:rPr>
                <w:rFonts w:eastAsia="Times New Roman" w:cs="Times New Roman"/>
                <w:szCs w:val="20"/>
              </w:rPr>
              <w:t>ie</w:t>
            </w:r>
            <w:r>
              <w:rPr>
                <w:rFonts w:eastAsia="Times New Roman" w:cs="Times New Roman"/>
                <w:spacing w:val="9"/>
                <w:szCs w:val="20"/>
              </w:rPr>
              <w:t xml:space="preserve"> </w:t>
            </w:r>
            <w:r>
              <w:rPr>
                <w:rFonts w:eastAsia="Times New Roman" w:cs="Times New Roman"/>
                <w:szCs w:val="20"/>
              </w:rPr>
              <w:t>z</w:t>
            </w:r>
            <w:r>
              <w:rPr>
                <w:rFonts w:eastAsia="Times New Roman" w:cs="Times New Roman"/>
                <w:spacing w:val="16"/>
                <w:szCs w:val="20"/>
              </w:rPr>
              <w:t xml:space="preserve"> </w:t>
            </w:r>
            <w:r>
              <w:rPr>
                <w:rFonts w:eastAsia="Times New Roman" w:cs="Times New Roman"/>
                <w:spacing w:val="1"/>
                <w:szCs w:val="20"/>
              </w:rPr>
              <w:t>pr</w:t>
            </w:r>
            <w:r>
              <w:rPr>
                <w:rFonts w:eastAsia="Times New Roman" w:cs="Times New Roman"/>
                <w:szCs w:val="20"/>
              </w:rPr>
              <w:t>z</w:t>
            </w:r>
            <w:r>
              <w:rPr>
                <w:rFonts w:eastAsia="Times New Roman" w:cs="Times New Roman"/>
                <w:spacing w:val="-3"/>
                <w:szCs w:val="20"/>
              </w:rPr>
              <w:t>y</w:t>
            </w:r>
            <w:r>
              <w:rPr>
                <w:rFonts w:eastAsia="Times New Roman" w:cs="Times New Roman"/>
                <w:spacing w:val="1"/>
                <w:szCs w:val="20"/>
              </w:rPr>
              <w:t>ro</w:t>
            </w:r>
            <w:r>
              <w:rPr>
                <w:rFonts w:eastAsia="Times New Roman" w:cs="Times New Roman"/>
                <w:spacing w:val="-1"/>
                <w:szCs w:val="20"/>
              </w:rPr>
              <w:t>s</w:t>
            </w:r>
            <w:r>
              <w:rPr>
                <w:rFonts w:eastAsia="Times New Roman" w:cs="Times New Roman"/>
                <w:szCs w:val="20"/>
              </w:rPr>
              <w:t>t</w:t>
            </w:r>
            <w:r>
              <w:rPr>
                <w:rFonts w:eastAsia="Times New Roman" w:cs="Times New Roman"/>
                <w:spacing w:val="2"/>
                <w:szCs w:val="20"/>
              </w:rPr>
              <w:t>e</w:t>
            </w:r>
            <w:r>
              <w:rPr>
                <w:rFonts w:eastAsia="Times New Roman" w:cs="Times New Roman"/>
                <w:szCs w:val="20"/>
              </w:rPr>
              <w:t>m</w:t>
            </w:r>
            <w:r>
              <w:rPr>
                <w:rFonts w:eastAsia="Times New Roman" w:cs="Times New Roman"/>
                <w:spacing w:val="4"/>
                <w:szCs w:val="20"/>
              </w:rPr>
              <w:t xml:space="preserve"> </w:t>
            </w:r>
            <w:r>
              <w:rPr>
                <w:rFonts w:eastAsia="Times New Roman" w:cs="Times New Roman"/>
                <w:spacing w:val="1"/>
                <w:szCs w:val="20"/>
              </w:rPr>
              <w:t>p</w:t>
            </w:r>
            <w:r>
              <w:rPr>
                <w:rFonts w:eastAsia="Times New Roman" w:cs="Times New Roman"/>
                <w:szCs w:val="20"/>
              </w:rPr>
              <w:t>o</w:t>
            </w:r>
            <w:r>
              <w:rPr>
                <w:rFonts w:eastAsia="Times New Roman" w:cs="Times New Roman"/>
                <w:spacing w:val="16"/>
                <w:szCs w:val="20"/>
              </w:rPr>
              <w:t xml:space="preserve"> </w:t>
            </w:r>
            <w:r>
              <w:rPr>
                <w:rFonts w:eastAsia="Times New Roman" w:cs="Times New Roman"/>
                <w:spacing w:val="-1"/>
                <w:szCs w:val="20"/>
              </w:rPr>
              <w:t>k</w:t>
            </w:r>
            <w:r>
              <w:rPr>
                <w:rFonts w:eastAsia="Times New Roman" w:cs="Times New Roman"/>
                <w:spacing w:val="1"/>
                <w:szCs w:val="20"/>
              </w:rPr>
              <w:t>o</w:t>
            </w:r>
            <w:r>
              <w:rPr>
                <w:rFonts w:eastAsia="Times New Roman" w:cs="Times New Roman"/>
                <w:szCs w:val="20"/>
              </w:rPr>
              <w:t>le</w:t>
            </w:r>
            <w:r>
              <w:rPr>
                <w:rFonts w:eastAsia="Times New Roman" w:cs="Times New Roman"/>
                <w:spacing w:val="2"/>
                <w:szCs w:val="20"/>
              </w:rPr>
              <w:t>j</w:t>
            </w:r>
            <w:r>
              <w:rPr>
                <w:rFonts w:eastAsia="Times New Roman" w:cs="Times New Roman"/>
                <w:spacing w:val="1"/>
                <w:szCs w:val="20"/>
              </w:rPr>
              <w:t>n</w:t>
            </w:r>
            <w:r>
              <w:rPr>
                <w:rFonts w:eastAsia="Times New Roman" w:cs="Times New Roman"/>
                <w:spacing w:val="-4"/>
                <w:szCs w:val="20"/>
              </w:rPr>
              <w:t>y</w:t>
            </w:r>
            <w:r>
              <w:rPr>
                <w:rFonts w:eastAsia="Times New Roman" w:cs="Times New Roman"/>
                <w:spacing w:val="3"/>
                <w:szCs w:val="20"/>
              </w:rPr>
              <w:t>c</w:t>
            </w:r>
            <w:r>
              <w:rPr>
                <w:rFonts w:eastAsia="Times New Roman" w:cs="Times New Roman"/>
                <w:szCs w:val="20"/>
              </w:rPr>
              <w:t>h</w:t>
            </w:r>
            <w:r>
              <w:rPr>
                <w:rFonts w:eastAsia="Times New Roman" w:cs="Times New Roman"/>
                <w:spacing w:val="10"/>
                <w:szCs w:val="20"/>
              </w:rPr>
              <w:t xml:space="preserve"> </w:t>
            </w:r>
            <w:r>
              <w:rPr>
                <w:rFonts w:eastAsia="Times New Roman" w:cs="Times New Roman"/>
                <w:spacing w:val="1"/>
                <w:szCs w:val="20"/>
              </w:rPr>
              <w:t>3</w:t>
            </w:r>
            <w:r>
              <w:rPr>
                <w:rFonts w:eastAsia="Times New Roman" w:cs="Times New Roman"/>
                <w:szCs w:val="20"/>
              </w:rPr>
              <w:t>0</w:t>
            </w:r>
            <w:r>
              <w:rPr>
                <w:rFonts w:eastAsia="Times New Roman" w:cs="Times New Roman"/>
                <w:spacing w:val="16"/>
                <w:szCs w:val="20"/>
              </w:rPr>
              <w:t xml:space="preserve"> </w:t>
            </w:r>
            <w:r>
              <w:rPr>
                <w:rFonts w:eastAsia="Times New Roman" w:cs="Times New Roman"/>
                <w:spacing w:val="-4"/>
                <w:szCs w:val="20"/>
              </w:rPr>
              <w:t>m</w:t>
            </w:r>
            <w:r>
              <w:rPr>
                <w:rFonts w:eastAsia="Times New Roman" w:cs="Times New Roman"/>
                <w:spacing w:val="2"/>
                <w:szCs w:val="20"/>
              </w:rPr>
              <w:t>i</w:t>
            </w:r>
            <w:r>
              <w:rPr>
                <w:rFonts w:eastAsia="Times New Roman" w:cs="Times New Roman"/>
                <w:spacing w:val="-1"/>
                <w:szCs w:val="20"/>
              </w:rPr>
              <w:t>n</w:t>
            </w:r>
            <w:r>
              <w:rPr>
                <w:rFonts w:eastAsia="Times New Roman" w:cs="Times New Roman"/>
                <w:spacing w:val="1"/>
                <w:szCs w:val="20"/>
              </w:rPr>
              <w:t>u</w:t>
            </w:r>
            <w:r>
              <w:rPr>
                <w:rFonts w:eastAsia="Times New Roman" w:cs="Times New Roman"/>
                <w:szCs w:val="20"/>
              </w:rPr>
              <w:t xml:space="preserve">tach </w:t>
            </w:r>
            <w:r>
              <w:rPr>
                <w:rFonts w:eastAsia="Times New Roman" w:cs="Times New Roman"/>
                <w:spacing w:val="1"/>
                <w:szCs w:val="20"/>
              </w:rPr>
              <w:t>b</w:t>
            </w:r>
            <w:r>
              <w:rPr>
                <w:rFonts w:eastAsia="Times New Roman" w:cs="Times New Roman"/>
                <w:szCs w:val="20"/>
              </w:rPr>
              <w:t>a</w:t>
            </w:r>
            <w:r>
              <w:rPr>
                <w:rFonts w:eastAsia="Times New Roman" w:cs="Times New Roman"/>
                <w:spacing w:val="1"/>
                <w:szCs w:val="20"/>
              </w:rPr>
              <w:t>d</w:t>
            </w:r>
            <w:r>
              <w:rPr>
                <w:rFonts w:eastAsia="Times New Roman" w:cs="Times New Roman"/>
                <w:szCs w:val="20"/>
              </w:rPr>
              <w:t>a</w:t>
            </w:r>
            <w:r>
              <w:rPr>
                <w:rFonts w:eastAsia="Times New Roman" w:cs="Times New Roman"/>
                <w:spacing w:val="-1"/>
                <w:szCs w:val="20"/>
              </w:rPr>
              <w:t>n</w:t>
            </w:r>
            <w:r>
              <w:rPr>
                <w:rFonts w:eastAsia="Times New Roman" w:cs="Times New Roman"/>
                <w:szCs w:val="20"/>
              </w:rPr>
              <w:t>ia)</w:t>
            </w:r>
          </w:p>
          <w:p w:rsidR="00B77F00" w:rsidRDefault="00865FA3">
            <w:pPr>
              <w:pStyle w:val="Standard"/>
              <w:jc w:val="both"/>
              <w:rPr>
                <w:szCs w:val="20"/>
              </w:rPr>
            </w:pPr>
            <w:r>
              <w:rPr>
                <w:rFonts w:eastAsia="Times New Roman" w:cs="Times New Roman"/>
                <w:spacing w:val="1"/>
                <w:szCs w:val="20"/>
              </w:rPr>
              <w:t>W</w:t>
            </w:r>
            <w:r>
              <w:rPr>
                <w:rFonts w:eastAsia="Times New Roman" w:cs="Times New Roman"/>
                <w:szCs w:val="20"/>
              </w:rPr>
              <w:t>a</w:t>
            </w:r>
            <w:r>
              <w:rPr>
                <w:rFonts w:eastAsia="Times New Roman" w:cs="Times New Roman"/>
                <w:spacing w:val="1"/>
                <w:szCs w:val="20"/>
              </w:rPr>
              <w:t>r</w:t>
            </w:r>
            <w:r>
              <w:rPr>
                <w:rFonts w:eastAsia="Times New Roman" w:cs="Times New Roman"/>
                <w:spacing w:val="-1"/>
                <w:szCs w:val="20"/>
              </w:rPr>
              <w:t>s</w:t>
            </w:r>
            <w:r>
              <w:rPr>
                <w:rFonts w:eastAsia="Times New Roman" w:cs="Times New Roman"/>
                <w:spacing w:val="2"/>
                <w:szCs w:val="20"/>
              </w:rPr>
              <w:t>t</w:t>
            </w:r>
            <w:r>
              <w:rPr>
                <w:rFonts w:eastAsia="Times New Roman" w:cs="Times New Roman"/>
                <w:spacing w:val="-5"/>
                <w:szCs w:val="20"/>
              </w:rPr>
              <w:t>w</w:t>
            </w:r>
            <w:r>
              <w:rPr>
                <w:rFonts w:eastAsia="Times New Roman" w:cs="Times New Roman"/>
                <w:szCs w:val="20"/>
              </w:rPr>
              <w:t>a</w:t>
            </w:r>
            <w:r>
              <w:rPr>
                <w:rFonts w:eastAsia="Times New Roman" w:cs="Times New Roman"/>
                <w:spacing w:val="-6"/>
                <w:szCs w:val="20"/>
              </w:rPr>
              <w:t xml:space="preserve"> </w:t>
            </w:r>
            <w:r>
              <w:rPr>
                <w:rFonts w:eastAsia="Times New Roman" w:cs="Times New Roman"/>
                <w:szCs w:val="20"/>
              </w:rPr>
              <w:t>a</w:t>
            </w:r>
            <w:r>
              <w:rPr>
                <w:rFonts w:eastAsia="Times New Roman" w:cs="Times New Roman"/>
                <w:spacing w:val="2"/>
                <w:szCs w:val="20"/>
              </w:rPr>
              <w:t>s</w:t>
            </w:r>
            <w:r>
              <w:rPr>
                <w:rFonts w:eastAsia="Times New Roman" w:cs="Times New Roman"/>
                <w:spacing w:val="-2"/>
                <w:szCs w:val="20"/>
              </w:rPr>
              <w:t>f</w:t>
            </w:r>
            <w:r>
              <w:rPr>
                <w:rFonts w:eastAsia="Times New Roman" w:cs="Times New Roman"/>
                <w:szCs w:val="20"/>
              </w:rPr>
              <w:t>alt</w:t>
            </w:r>
            <w:r>
              <w:rPr>
                <w:rFonts w:eastAsia="Times New Roman" w:cs="Times New Roman"/>
                <w:spacing w:val="3"/>
                <w:szCs w:val="20"/>
              </w:rPr>
              <w:t>o</w:t>
            </w:r>
            <w:r>
              <w:rPr>
                <w:rFonts w:eastAsia="Times New Roman" w:cs="Times New Roman"/>
                <w:spacing w:val="-2"/>
                <w:szCs w:val="20"/>
              </w:rPr>
              <w:t>w</w:t>
            </w:r>
            <w:r>
              <w:rPr>
                <w:rFonts w:eastAsia="Times New Roman" w:cs="Times New Roman"/>
                <w:szCs w:val="20"/>
              </w:rPr>
              <w:t>a</w:t>
            </w:r>
          </w:p>
          <w:p w:rsidR="00B77F00" w:rsidRDefault="00865FA3">
            <w:pPr>
              <w:pStyle w:val="Standard"/>
              <w:jc w:val="both"/>
              <w:rPr>
                <w:szCs w:val="20"/>
              </w:rPr>
            </w:pPr>
            <w:r>
              <w:rPr>
                <w:rFonts w:eastAsia="Times New Roman" w:cs="Times New Roman"/>
                <w:szCs w:val="20"/>
              </w:rPr>
              <w:t>S</w:t>
            </w:r>
            <w:r>
              <w:rPr>
                <w:rFonts w:eastAsia="Times New Roman" w:cs="Times New Roman"/>
                <w:spacing w:val="1"/>
                <w:szCs w:val="20"/>
              </w:rPr>
              <w:t>p</w:t>
            </w:r>
            <w:r>
              <w:rPr>
                <w:rFonts w:eastAsia="Times New Roman" w:cs="Times New Roman"/>
                <w:szCs w:val="20"/>
              </w:rPr>
              <w:t>a</w:t>
            </w:r>
            <w:r>
              <w:rPr>
                <w:rFonts w:eastAsia="Times New Roman" w:cs="Times New Roman"/>
                <w:spacing w:val="1"/>
                <w:szCs w:val="20"/>
              </w:rPr>
              <w:t>d</w:t>
            </w:r>
            <w:r>
              <w:rPr>
                <w:rFonts w:eastAsia="Times New Roman" w:cs="Times New Roman"/>
                <w:spacing w:val="-1"/>
                <w:szCs w:val="20"/>
              </w:rPr>
              <w:t>k</w:t>
            </w:r>
            <w:r>
              <w:rPr>
                <w:rFonts w:eastAsia="Times New Roman" w:cs="Times New Roman"/>
                <w:szCs w:val="20"/>
              </w:rPr>
              <w:t>i</w:t>
            </w:r>
            <w:r>
              <w:rPr>
                <w:rFonts w:eastAsia="Times New Roman" w:cs="Times New Roman"/>
                <w:spacing w:val="-6"/>
                <w:szCs w:val="20"/>
              </w:rPr>
              <w:t xml:space="preserve"> </w:t>
            </w:r>
            <w:r>
              <w:rPr>
                <w:rFonts w:eastAsia="Times New Roman" w:cs="Times New Roman"/>
                <w:spacing w:val="1"/>
                <w:szCs w:val="20"/>
              </w:rPr>
              <w:t>popr</w:t>
            </w:r>
            <w:r>
              <w:rPr>
                <w:rFonts w:eastAsia="Times New Roman" w:cs="Times New Roman"/>
                <w:szCs w:val="20"/>
              </w:rPr>
              <w:t>z</w:t>
            </w:r>
            <w:r>
              <w:rPr>
                <w:rFonts w:eastAsia="Times New Roman" w:cs="Times New Roman"/>
                <w:spacing w:val="1"/>
                <w:szCs w:val="20"/>
              </w:rPr>
              <w:t>e</w:t>
            </w:r>
            <w:r>
              <w:rPr>
                <w:rFonts w:eastAsia="Times New Roman" w:cs="Times New Roman"/>
                <w:szCs w:val="20"/>
              </w:rPr>
              <w:t>c</w:t>
            </w:r>
            <w:r>
              <w:rPr>
                <w:rFonts w:eastAsia="Times New Roman" w:cs="Times New Roman"/>
                <w:spacing w:val="1"/>
                <w:szCs w:val="20"/>
              </w:rPr>
              <w:t>z</w:t>
            </w:r>
            <w:r>
              <w:rPr>
                <w:rFonts w:eastAsia="Times New Roman" w:cs="Times New Roman"/>
                <w:spacing w:val="-1"/>
                <w:szCs w:val="20"/>
              </w:rPr>
              <w:t>n</w:t>
            </w:r>
            <w:r>
              <w:rPr>
                <w:rFonts w:eastAsia="Times New Roman" w:cs="Times New Roman"/>
                <w:szCs w:val="20"/>
              </w:rPr>
              <w:t>e</w:t>
            </w:r>
          </w:p>
          <w:p w:rsidR="00B77F00" w:rsidRDefault="00865FA3">
            <w:pPr>
              <w:pStyle w:val="Standard"/>
              <w:jc w:val="both"/>
              <w:rPr>
                <w:szCs w:val="20"/>
              </w:rPr>
            </w:pPr>
            <w:r>
              <w:rPr>
                <w:rFonts w:eastAsia="Times New Roman" w:cs="Times New Roman"/>
                <w:spacing w:val="-1"/>
                <w:szCs w:val="20"/>
              </w:rPr>
              <w:t>R</w:t>
            </w:r>
            <w:r>
              <w:rPr>
                <w:rFonts w:eastAsia="Times New Roman" w:cs="Times New Roman"/>
                <w:spacing w:val="3"/>
                <w:szCs w:val="20"/>
              </w:rPr>
              <w:t>ó</w:t>
            </w:r>
            <w:r>
              <w:rPr>
                <w:rFonts w:eastAsia="Times New Roman" w:cs="Times New Roman"/>
                <w:spacing w:val="-2"/>
                <w:szCs w:val="20"/>
              </w:rPr>
              <w:t>w</w:t>
            </w:r>
            <w:r>
              <w:rPr>
                <w:rFonts w:eastAsia="Times New Roman" w:cs="Times New Roman"/>
                <w:spacing w:val="-1"/>
                <w:szCs w:val="20"/>
              </w:rPr>
              <w:t>n</w:t>
            </w:r>
            <w:r>
              <w:rPr>
                <w:rFonts w:eastAsia="Times New Roman" w:cs="Times New Roman"/>
                <w:spacing w:val="1"/>
                <w:szCs w:val="20"/>
              </w:rPr>
              <w:t>o</w:t>
            </w:r>
            <w:r>
              <w:rPr>
                <w:rFonts w:eastAsia="Times New Roman" w:cs="Times New Roman"/>
                <w:spacing w:val="-1"/>
                <w:szCs w:val="20"/>
              </w:rPr>
              <w:t>ś</w:t>
            </w:r>
            <w:r>
              <w:rPr>
                <w:rFonts w:eastAsia="Times New Roman" w:cs="Times New Roman"/>
                <w:szCs w:val="20"/>
              </w:rPr>
              <w:t>ć</w:t>
            </w:r>
          </w:p>
          <w:p w:rsidR="00B77F00" w:rsidRDefault="00865FA3">
            <w:pPr>
              <w:pStyle w:val="Standard"/>
              <w:jc w:val="both"/>
              <w:rPr>
                <w:szCs w:val="20"/>
              </w:rPr>
            </w:pPr>
            <w:r>
              <w:rPr>
                <w:rFonts w:eastAsia="Times New Roman" w:cs="Times New Roman"/>
                <w:szCs w:val="20"/>
              </w:rPr>
              <w:t>G</w:t>
            </w:r>
            <w:r>
              <w:rPr>
                <w:rFonts w:eastAsia="Times New Roman" w:cs="Times New Roman"/>
                <w:spacing w:val="1"/>
                <w:szCs w:val="20"/>
              </w:rPr>
              <w:t>r</w:t>
            </w:r>
            <w:r>
              <w:rPr>
                <w:rFonts w:eastAsia="Times New Roman" w:cs="Times New Roman"/>
                <w:spacing w:val="-1"/>
                <w:szCs w:val="20"/>
              </w:rPr>
              <w:t>u</w:t>
            </w:r>
            <w:r>
              <w:rPr>
                <w:rFonts w:eastAsia="Times New Roman" w:cs="Times New Roman"/>
                <w:spacing w:val="1"/>
                <w:szCs w:val="20"/>
              </w:rPr>
              <w:t>bo</w:t>
            </w:r>
            <w:r>
              <w:rPr>
                <w:rFonts w:eastAsia="Times New Roman" w:cs="Times New Roman"/>
                <w:spacing w:val="-1"/>
                <w:szCs w:val="20"/>
              </w:rPr>
              <w:t>ś</w:t>
            </w:r>
            <w:r>
              <w:rPr>
                <w:rFonts w:eastAsia="Times New Roman" w:cs="Times New Roman"/>
                <w:szCs w:val="20"/>
              </w:rPr>
              <w:t>ć</w:t>
            </w:r>
            <w:r>
              <w:rPr>
                <w:rFonts w:eastAsia="Times New Roman" w:cs="Times New Roman"/>
                <w:spacing w:val="-6"/>
                <w:szCs w:val="20"/>
              </w:rPr>
              <w:t xml:space="preserve"> </w:t>
            </w:r>
            <w:r>
              <w:rPr>
                <w:rFonts w:eastAsia="Times New Roman" w:cs="Times New Roman"/>
                <w:szCs w:val="20"/>
              </w:rPr>
              <w:t>l</w:t>
            </w:r>
            <w:r>
              <w:rPr>
                <w:rFonts w:eastAsia="Times New Roman" w:cs="Times New Roman"/>
                <w:spacing w:val="-1"/>
                <w:szCs w:val="20"/>
              </w:rPr>
              <w:t>u</w:t>
            </w:r>
            <w:r>
              <w:rPr>
                <w:rFonts w:eastAsia="Times New Roman" w:cs="Times New Roman"/>
                <w:szCs w:val="20"/>
              </w:rPr>
              <w:t>b</w:t>
            </w:r>
            <w:r>
              <w:rPr>
                <w:rFonts w:eastAsia="Times New Roman" w:cs="Times New Roman"/>
                <w:spacing w:val="-2"/>
                <w:szCs w:val="20"/>
              </w:rPr>
              <w:t xml:space="preserve"> </w:t>
            </w:r>
            <w:r>
              <w:rPr>
                <w:rFonts w:eastAsia="Times New Roman" w:cs="Times New Roman"/>
                <w:szCs w:val="20"/>
              </w:rPr>
              <w:t>il</w:t>
            </w:r>
            <w:r>
              <w:rPr>
                <w:rFonts w:eastAsia="Times New Roman" w:cs="Times New Roman"/>
                <w:spacing w:val="1"/>
                <w:szCs w:val="20"/>
              </w:rPr>
              <w:t>o</w:t>
            </w:r>
            <w:r>
              <w:rPr>
                <w:rFonts w:eastAsia="Times New Roman" w:cs="Times New Roman"/>
                <w:spacing w:val="-1"/>
                <w:szCs w:val="20"/>
              </w:rPr>
              <w:t>ś</w:t>
            </w:r>
            <w:r>
              <w:rPr>
                <w:rFonts w:eastAsia="Times New Roman" w:cs="Times New Roman"/>
                <w:szCs w:val="20"/>
              </w:rPr>
              <w:t>ć</w:t>
            </w:r>
            <w:r>
              <w:rPr>
                <w:rFonts w:eastAsia="Times New Roman" w:cs="Times New Roman"/>
                <w:spacing w:val="-1"/>
                <w:szCs w:val="20"/>
              </w:rPr>
              <w:t xml:space="preserve"> m</w:t>
            </w:r>
            <w:r>
              <w:rPr>
                <w:rFonts w:eastAsia="Times New Roman" w:cs="Times New Roman"/>
                <w:szCs w:val="20"/>
              </w:rPr>
              <w:t>ate</w:t>
            </w:r>
            <w:r>
              <w:rPr>
                <w:rFonts w:eastAsia="Times New Roman" w:cs="Times New Roman"/>
                <w:spacing w:val="1"/>
                <w:szCs w:val="20"/>
              </w:rPr>
              <w:t>r</w:t>
            </w:r>
            <w:r>
              <w:rPr>
                <w:rFonts w:eastAsia="Times New Roman" w:cs="Times New Roman"/>
                <w:szCs w:val="20"/>
              </w:rPr>
              <w:t>iału</w:t>
            </w:r>
          </w:p>
        </w:tc>
      </w:tr>
      <w:tr w:rsidR="00B77F00">
        <w:tblPrEx>
          <w:tblCellMar>
            <w:top w:w="0" w:type="dxa"/>
            <w:bottom w:w="0" w:type="dxa"/>
          </w:tblCellMar>
        </w:tblPrEx>
        <w:tc>
          <w:tcPr>
            <w:tcW w:w="7226" w:type="dxa"/>
            <w:gridSpan w:val="2"/>
            <w:tcBorders>
              <w:top w:val="single" w:sz="4" w:space="0" w:color="000001"/>
              <w:left w:val="single" w:sz="4" w:space="0" w:color="000001"/>
              <w:bottom w:val="single" w:sz="4" w:space="0" w:color="000001"/>
              <w:right w:val="single" w:sz="4" w:space="0" w:color="000001"/>
            </w:tcBorders>
            <w:tcMar>
              <w:top w:w="0" w:type="dxa"/>
              <w:left w:w="0" w:type="dxa"/>
              <w:bottom w:w="0" w:type="dxa"/>
              <w:right w:w="0" w:type="dxa"/>
            </w:tcMar>
          </w:tcPr>
          <w:p w:rsidR="00B77F00" w:rsidRDefault="00865FA3">
            <w:pPr>
              <w:pStyle w:val="Standard"/>
              <w:jc w:val="both"/>
              <w:rPr>
                <w:szCs w:val="20"/>
              </w:rPr>
            </w:pPr>
            <w:r>
              <w:rPr>
                <w:rFonts w:eastAsia="Times New Roman" w:cs="Times New Roman"/>
                <w:position w:val="14"/>
                <w:szCs w:val="20"/>
              </w:rPr>
              <w:t xml:space="preserve">a) </w:t>
            </w:r>
            <w:r>
              <w:rPr>
                <w:rFonts w:eastAsia="Times New Roman" w:cs="Times New Roman"/>
                <w:spacing w:val="1"/>
                <w:szCs w:val="20"/>
              </w:rPr>
              <w:t>d</w:t>
            </w:r>
            <w:r>
              <w:rPr>
                <w:rFonts w:eastAsia="Times New Roman" w:cs="Times New Roman"/>
                <w:szCs w:val="20"/>
              </w:rPr>
              <w:t>o</w:t>
            </w:r>
            <w:r>
              <w:rPr>
                <w:rFonts w:eastAsia="Times New Roman" w:cs="Times New Roman"/>
                <w:spacing w:val="11"/>
                <w:szCs w:val="20"/>
              </w:rPr>
              <w:t xml:space="preserve"> </w:t>
            </w:r>
            <w:r>
              <w:rPr>
                <w:rFonts w:eastAsia="Times New Roman" w:cs="Times New Roman"/>
                <w:spacing w:val="-1"/>
                <w:szCs w:val="20"/>
              </w:rPr>
              <w:t>k</w:t>
            </w:r>
            <w:r>
              <w:rPr>
                <w:rFonts w:eastAsia="Times New Roman" w:cs="Times New Roman"/>
                <w:szCs w:val="20"/>
              </w:rPr>
              <w:t>a</w:t>
            </w:r>
            <w:r>
              <w:rPr>
                <w:rFonts w:eastAsia="Times New Roman" w:cs="Times New Roman"/>
                <w:spacing w:val="1"/>
                <w:szCs w:val="20"/>
              </w:rPr>
              <w:t>żd</w:t>
            </w:r>
            <w:r>
              <w:rPr>
                <w:rFonts w:eastAsia="Times New Roman" w:cs="Times New Roman"/>
                <w:szCs w:val="20"/>
              </w:rPr>
              <w:t>ej</w:t>
            </w:r>
            <w:r>
              <w:rPr>
                <w:rFonts w:eastAsia="Times New Roman" w:cs="Times New Roman"/>
                <w:spacing w:val="12"/>
                <w:szCs w:val="20"/>
              </w:rPr>
              <w:t xml:space="preserve"> </w:t>
            </w:r>
            <w:r>
              <w:rPr>
                <w:rFonts w:eastAsia="Times New Roman" w:cs="Times New Roman"/>
                <w:spacing w:val="-5"/>
                <w:szCs w:val="20"/>
              </w:rPr>
              <w:t>w</w:t>
            </w:r>
            <w:r>
              <w:rPr>
                <w:rFonts w:eastAsia="Times New Roman" w:cs="Times New Roman"/>
                <w:szCs w:val="20"/>
              </w:rPr>
              <w:t>a</w:t>
            </w:r>
            <w:r>
              <w:rPr>
                <w:rFonts w:eastAsia="Times New Roman" w:cs="Times New Roman"/>
                <w:spacing w:val="1"/>
                <w:szCs w:val="20"/>
              </w:rPr>
              <w:t>r</w:t>
            </w:r>
            <w:r>
              <w:rPr>
                <w:rFonts w:eastAsia="Times New Roman" w:cs="Times New Roman"/>
                <w:spacing w:val="-1"/>
                <w:szCs w:val="20"/>
              </w:rPr>
              <w:t>s</w:t>
            </w:r>
            <w:r>
              <w:rPr>
                <w:rFonts w:eastAsia="Times New Roman" w:cs="Times New Roman"/>
                <w:spacing w:val="2"/>
                <w:szCs w:val="20"/>
              </w:rPr>
              <w:t>t</w:t>
            </w:r>
            <w:r>
              <w:rPr>
                <w:rFonts w:eastAsia="Times New Roman" w:cs="Times New Roman"/>
                <w:szCs w:val="20"/>
              </w:rPr>
              <w:t>wy</w:t>
            </w:r>
            <w:r>
              <w:rPr>
                <w:rFonts w:eastAsia="Times New Roman" w:cs="Times New Roman"/>
                <w:spacing w:val="4"/>
                <w:szCs w:val="20"/>
              </w:rPr>
              <w:t xml:space="preserve"> </w:t>
            </w:r>
            <w:r>
              <w:rPr>
                <w:rFonts w:eastAsia="Times New Roman" w:cs="Times New Roman"/>
                <w:spacing w:val="1"/>
                <w:szCs w:val="20"/>
              </w:rPr>
              <w:t>prób</w:t>
            </w:r>
            <w:r>
              <w:rPr>
                <w:rFonts w:eastAsia="Times New Roman" w:cs="Times New Roman"/>
                <w:spacing w:val="-1"/>
                <w:szCs w:val="20"/>
              </w:rPr>
              <w:t>k</w:t>
            </w:r>
            <w:r>
              <w:rPr>
                <w:rFonts w:eastAsia="Times New Roman" w:cs="Times New Roman"/>
                <w:szCs w:val="20"/>
              </w:rPr>
              <w:t>a;</w:t>
            </w:r>
            <w:r>
              <w:rPr>
                <w:rFonts w:eastAsia="Times New Roman" w:cs="Times New Roman"/>
                <w:spacing w:val="9"/>
                <w:szCs w:val="20"/>
              </w:rPr>
              <w:t xml:space="preserve"> </w:t>
            </w:r>
            <w:r>
              <w:rPr>
                <w:rFonts w:eastAsia="Times New Roman" w:cs="Times New Roman"/>
                <w:szCs w:val="20"/>
              </w:rPr>
              <w:t>w</w:t>
            </w:r>
            <w:r>
              <w:rPr>
                <w:rFonts w:eastAsia="Times New Roman" w:cs="Times New Roman"/>
                <w:spacing w:val="11"/>
                <w:szCs w:val="20"/>
              </w:rPr>
              <w:t xml:space="preserve"> </w:t>
            </w:r>
            <w:r>
              <w:rPr>
                <w:rFonts w:eastAsia="Times New Roman" w:cs="Times New Roman"/>
                <w:spacing w:val="1"/>
                <w:szCs w:val="20"/>
              </w:rPr>
              <w:t>r</w:t>
            </w:r>
            <w:r>
              <w:rPr>
                <w:rFonts w:eastAsia="Times New Roman" w:cs="Times New Roman"/>
                <w:szCs w:val="20"/>
              </w:rPr>
              <w:t>a</w:t>
            </w:r>
            <w:r>
              <w:rPr>
                <w:rFonts w:eastAsia="Times New Roman" w:cs="Times New Roman"/>
                <w:spacing w:val="1"/>
                <w:szCs w:val="20"/>
              </w:rPr>
              <w:t>z</w:t>
            </w:r>
            <w:r>
              <w:rPr>
                <w:rFonts w:eastAsia="Times New Roman" w:cs="Times New Roman"/>
                <w:szCs w:val="20"/>
              </w:rPr>
              <w:t>ie</w:t>
            </w:r>
            <w:r>
              <w:rPr>
                <w:rFonts w:eastAsia="Times New Roman" w:cs="Times New Roman"/>
                <w:spacing w:val="8"/>
                <w:szCs w:val="20"/>
              </w:rPr>
              <w:t xml:space="preserve"> </w:t>
            </w:r>
            <w:r>
              <w:rPr>
                <w:rFonts w:eastAsia="Times New Roman" w:cs="Times New Roman"/>
                <w:spacing w:val="1"/>
                <w:szCs w:val="20"/>
              </w:rPr>
              <w:t>po</w:t>
            </w:r>
            <w:r>
              <w:rPr>
                <w:rFonts w:eastAsia="Times New Roman" w:cs="Times New Roman"/>
                <w:szCs w:val="20"/>
              </w:rPr>
              <w:t>trz</w:t>
            </w:r>
            <w:r>
              <w:rPr>
                <w:rFonts w:eastAsia="Times New Roman" w:cs="Times New Roman"/>
                <w:spacing w:val="1"/>
                <w:szCs w:val="20"/>
              </w:rPr>
              <w:t>eb</w:t>
            </w:r>
            <w:r>
              <w:rPr>
                <w:rFonts w:eastAsia="Times New Roman" w:cs="Times New Roman"/>
                <w:szCs w:val="20"/>
              </w:rPr>
              <w:t>y</w:t>
            </w:r>
            <w:r>
              <w:rPr>
                <w:rFonts w:eastAsia="Times New Roman" w:cs="Times New Roman"/>
                <w:spacing w:val="4"/>
                <w:szCs w:val="20"/>
              </w:rPr>
              <w:t xml:space="preserve"> </w:t>
            </w:r>
            <w:r>
              <w:rPr>
                <w:rFonts w:eastAsia="Times New Roman" w:cs="Times New Roman"/>
                <w:szCs w:val="20"/>
              </w:rPr>
              <w:t>licz</w:t>
            </w:r>
            <w:r>
              <w:rPr>
                <w:rFonts w:eastAsia="Times New Roman" w:cs="Times New Roman"/>
                <w:spacing w:val="1"/>
                <w:szCs w:val="20"/>
              </w:rPr>
              <w:t>b</w:t>
            </w:r>
            <w:r>
              <w:rPr>
                <w:rFonts w:eastAsia="Times New Roman" w:cs="Times New Roman"/>
                <w:szCs w:val="20"/>
              </w:rPr>
              <w:t>a</w:t>
            </w:r>
            <w:r>
              <w:rPr>
                <w:rFonts w:eastAsia="Times New Roman" w:cs="Times New Roman"/>
                <w:spacing w:val="8"/>
                <w:szCs w:val="20"/>
              </w:rPr>
              <w:t xml:space="preserve"> </w:t>
            </w:r>
            <w:r>
              <w:rPr>
                <w:rFonts w:eastAsia="Times New Roman" w:cs="Times New Roman"/>
                <w:spacing w:val="1"/>
                <w:szCs w:val="20"/>
              </w:rPr>
              <w:t>prób</w:t>
            </w:r>
            <w:r>
              <w:rPr>
                <w:rFonts w:eastAsia="Times New Roman" w:cs="Times New Roman"/>
                <w:szCs w:val="20"/>
              </w:rPr>
              <w:t>ek</w:t>
            </w:r>
            <w:r>
              <w:rPr>
                <w:rFonts w:eastAsia="Times New Roman" w:cs="Times New Roman"/>
                <w:spacing w:val="8"/>
                <w:szCs w:val="20"/>
              </w:rPr>
              <w:t xml:space="preserve"> </w:t>
            </w:r>
            <w:r>
              <w:rPr>
                <w:rFonts w:eastAsia="Times New Roman" w:cs="Times New Roman"/>
                <w:spacing w:val="-4"/>
                <w:szCs w:val="20"/>
              </w:rPr>
              <w:t>m</w:t>
            </w:r>
            <w:r>
              <w:rPr>
                <w:rFonts w:eastAsia="Times New Roman" w:cs="Times New Roman"/>
                <w:spacing w:val="1"/>
                <w:szCs w:val="20"/>
              </w:rPr>
              <w:t>o</w:t>
            </w:r>
            <w:r>
              <w:rPr>
                <w:rFonts w:eastAsia="Times New Roman" w:cs="Times New Roman"/>
                <w:szCs w:val="20"/>
              </w:rPr>
              <w:t>że</w:t>
            </w:r>
            <w:r>
              <w:rPr>
                <w:rFonts w:eastAsia="Times New Roman" w:cs="Times New Roman"/>
                <w:spacing w:val="11"/>
                <w:szCs w:val="20"/>
              </w:rPr>
              <w:t xml:space="preserve"> </w:t>
            </w:r>
            <w:r>
              <w:rPr>
                <w:rFonts w:eastAsia="Times New Roman" w:cs="Times New Roman"/>
                <w:szCs w:val="20"/>
              </w:rPr>
              <w:t>z</w:t>
            </w:r>
            <w:r>
              <w:rPr>
                <w:rFonts w:eastAsia="Times New Roman" w:cs="Times New Roman"/>
                <w:spacing w:val="1"/>
                <w:szCs w:val="20"/>
              </w:rPr>
              <w:t>o</w:t>
            </w:r>
            <w:r>
              <w:rPr>
                <w:rFonts w:eastAsia="Times New Roman" w:cs="Times New Roman"/>
                <w:spacing w:val="-1"/>
                <w:szCs w:val="20"/>
              </w:rPr>
              <w:t>s</w:t>
            </w:r>
            <w:r>
              <w:rPr>
                <w:rFonts w:eastAsia="Times New Roman" w:cs="Times New Roman"/>
                <w:szCs w:val="20"/>
              </w:rPr>
              <w:t>tać</w:t>
            </w:r>
            <w:r>
              <w:rPr>
                <w:rFonts w:eastAsia="Times New Roman" w:cs="Times New Roman"/>
                <w:spacing w:val="8"/>
                <w:szCs w:val="20"/>
              </w:rPr>
              <w:t xml:space="preserve"> </w:t>
            </w:r>
            <w:r>
              <w:rPr>
                <w:rFonts w:eastAsia="Times New Roman" w:cs="Times New Roman"/>
                <w:spacing w:val="5"/>
                <w:szCs w:val="20"/>
              </w:rPr>
              <w:t>z</w:t>
            </w:r>
            <w:r>
              <w:rPr>
                <w:rFonts w:eastAsia="Times New Roman" w:cs="Times New Roman"/>
                <w:spacing w:val="-2"/>
                <w:szCs w:val="20"/>
              </w:rPr>
              <w:t>w</w:t>
            </w:r>
            <w:r>
              <w:rPr>
                <w:rFonts w:eastAsia="Times New Roman" w:cs="Times New Roman"/>
                <w:szCs w:val="20"/>
              </w:rPr>
              <w:t>ię</w:t>
            </w:r>
            <w:r>
              <w:rPr>
                <w:rFonts w:eastAsia="Times New Roman" w:cs="Times New Roman"/>
                <w:spacing w:val="1"/>
                <w:szCs w:val="20"/>
              </w:rPr>
              <w:t>k</w:t>
            </w:r>
            <w:r>
              <w:rPr>
                <w:rFonts w:eastAsia="Times New Roman" w:cs="Times New Roman"/>
                <w:spacing w:val="-1"/>
                <w:szCs w:val="20"/>
              </w:rPr>
              <w:t>s</w:t>
            </w:r>
            <w:r>
              <w:rPr>
                <w:rFonts w:eastAsia="Times New Roman" w:cs="Times New Roman"/>
                <w:szCs w:val="20"/>
              </w:rPr>
              <w:t>z</w:t>
            </w:r>
            <w:r>
              <w:rPr>
                <w:rFonts w:eastAsia="Times New Roman" w:cs="Times New Roman"/>
                <w:spacing w:val="1"/>
                <w:szCs w:val="20"/>
              </w:rPr>
              <w:t>o</w:t>
            </w:r>
            <w:r>
              <w:rPr>
                <w:rFonts w:eastAsia="Times New Roman" w:cs="Times New Roman"/>
                <w:spacing w:val="-1"/>
                <w:szCs w:val="20"/>
              </w:rPr>
              <w:t>n</w:t>
            </w:r>
            <w:r>
              <w:rPr>
                <w:rFonts w:eastAsia="Times New Roman" w:cs="Times New Roman"/>
                <w:szCs w:val="20"/>
              </w:rPr>
              <w:t xml:space="preserve">a </w:t>
            </w:r>
            <w:r>
              <w:rPr>
                <w:rFonts w:eastAsia="Times New Roman" w:cs="Times New Roman"/>
                <w:spacing w:val="1"/>
                <w:position w:val="-1"/>
                <w:szCs w:val="20"/>
              </w:rPr>
              <w:t>(</w:t>
            </w:r>
            <w:r>
              <w:rPr>
                <w:rFonts w:eastAsia="Times New Roman" w:cs="Times New Roman"/>
                <w:spacing w:val="-1"/>
                <w:position w:val="-1"/>
                <w:szCs w:val="20"/>
              </w:rPr>
              <w:t>n</w:t>
            </w:r>
            <w:r>
              <w:rPr>
                <w:rFonts w:eastAsia="Times New Roman" w:cs="Times New Roman"/>
                <w:spacing w:val="1"/>
                <w:position w:val="-1"/>
                <w:szCs w:val="20"/>
              </w:rPr>
              <w:t>p</w:t>
            </w:r>
            <w:r>
              <w:rPr>
                <w:rFonts w:eastAsia="Times New Roman" w:cs="Times New Roman"/>
                <w:position w:val="-1"/>
                <w:szCs w:val="20"/>
              </w:rPr>
              <w:t>.</w:t>
            </w:r>
            <w:r>
              <w:rPr>
                <w:rFonts w:eastAsia="Times New Roman" w:cs="Times New Roman"/>
                <w:spacing w:val="-2"/>
                <w:position w:val="-1"/>
                <w:szCs w:val="20"/>
              </w:rPr>
              <w:t xml:space="preserve"> </w:t>
            </w:r>
            <w:r>
              <w:rPr>
                <w:rFonts w:eastAsia="Times New Roman" w:cs="Times New Roman"/>
                <w:spacing w:val="-1"/>
                <w:position w:val="-1"/>
                <w:szCs w:val="20"/>
              </w:rPr>
              <w:t>n</w:t>
            </w:r>
            <w:r>
              <w:rPr>
                <w:rFonts w:eastAsia="Times New Roman" w:cs="Times New Roman"/>
                <w:spacing w:val="3"/>
                <w:position w:val="-1"/>
                <w:szCs w:val="20"/>
              </w:rPr>
              <w:t>a</w:t>
            </w:r>
            <w:r>
              <w:rPr>
                <w:rFonts w:eastAsia="Times New Roman" w:cs="Times New Roman"/>
                <w:spacing w:val="-2"/>
                <w:position w:val="-1"/>
                <w:szCs w:val="20"/>
              </w:rPr>
              <w:t>w</w:t>
            </w:r>
            <w:r>
              <w:rPr>
                <w:rFonts w:eastAsia="Times New Roman" w:cs="Times New Roman"/>
                <w:position w:val="-1"/>
                <w:szCs w:val="20"/>
              </w:rPr>
              <w:t>ie</w:t>
            </w:r>
            <w:r>
              <w:rPr>
                <w:rFonts w:eastAsia="Times New Roman" w:cs="Times New Roman"/>
                <w:spacing w:val="1"/>
                <w:position w:val="-1"/>
                <w:szCs w:val="20"/>
              </w:rPr>
              <w:t>r</w:t>
            </w:r>
            <w:r>
              <w:rPr>
                <w:rFonts w:eastAsia="Times New Roman" w:cs="Times New Roman"/>
                <w:position w:val="-1"/>
                <w:szCs w:val="20"/>
              </w:rPr>
              <w:t>z</w:t>
            </w:r>
            <w:r>
              <w:rPr>
                <w:rFonts w:eastAsia="Times New Roman" w:cs="Times New Roman"/>
                <w:spacing w:val="1"/>
                <w:position w:val="-1"/>
                <w:szCs w:val="20"/>
              </w:rPr>
              <w:t>ch</w:t>
            </w:r>
            <w:r>
              <w:rPr>
                <w:rFonts w:eastAsia="Times New Roman" w:cs="Times New Roman"/>
                <w:spacing w:val="-1"/>
                <w:position w:val="-1"/>
                <w:szCs w:val="20"/>
              </w:rPr>
              <w:t>n</w:t>
            </w:r>
            <w:r>
              <w:rPr>
                <w:rFonts w:eastAsia="Times New Roman" w:cs="Times New Roman"/>
                <w:position w:val="-1"/>
                <w:szCs w:val="20"/>
              </w:rPr>
              <w:t>ie</w:t>
            </w:r>
            <w:r>
              <w:rPr>
                <w:rFonts w:eastAsia="Times New Roman" w:cs="Times New Roman"/>
                <w:spacing w:val="-11"/>
                <w:position w:val="-1"/>
                <w:szCs w:val="20"/>
              </w:rPr>
              <w:t xml:space="preserve"> </w:t>
            </w:r>
            <w:r>
              <w:rPr>
                <w:rFonts w:eastAsia="Times New Roman" w:cs="Times New Roman"/>
                <w:spacing w:val="1"/>
                <w:position w:val="-1"/>
                <w:szCs w:val="20"/>
              </w:rPr>
              <w:t>dró</w:t>
            </w:r>
            <w:r>
              <w:rPr>
                <w:rFonts w:eastAsia="Times New Roman" w:cs="Times New Roman"/>
                <w:position w:val="-1"/>
                <w:szCs w:val="20"/>
              </w:rPr>
              <w:t>g</w:t>
            </w:r>
            <w:r>
              <w:rPr>
                <w:rFonts w:eastAsia="Times New Roman" w:cs="Times New Roman"/>
                <w:spacing w:val="-3"/>
                <w:position w:val="-1"/>
                <w:szCs w:val="20"/>
              </w:rPr>
              <w:t xml:space="preserve"> </w:t>
            </w:r>
            <w:r>
              <w:rPr>
                <w:rFonts w:eastAsia="Times New Roman" w:cs="Times New Roman"/>
                <w:position w:val="-1"/>
                <w:szCs w:val="20"/>
              </w:rPr>
              <w:t>w</w:t>
            </w:r>
            <w:r>
              <w:rPr>
                <w:rFonts w:eastAsia="Times New Roman" w:cs="Times New Roman"/>
                <w:spacing w:val="-3"/>
                <w:position w:val="-1"/>
                <w:szCs w:val="20"/>
              </w:rPr>
              <w:t xml:space="preserve"> </w:t>
            </w:r>
            <w:r>
              <w:rPr>
                <w:rFonts w:eastAsia="Times New Roman" w:cs="Times New Roman"/>
                <w:position w:val="-1"/>
                <w:szCs w:val="20"/>
              </w:rPr>
              <w:t>te</w:t>
            </w:r>
            <w:r>
              <w:rPr>
                <w:rFonts w:eastAsia="Times New Roman" w:cs="Times New Roman"/>
                <w:spacing w:val="1"/>
                <w:position w:val="-1"/>
                <w:szCs w:val="20"/>
              </w:rPr>
              <w:t>r</w:t>
            </w:r>
            <w:r>
              <w:rPr>
                <w:rFonts w:eastAsia="Times New Roman" w:cs="Times New Roman"/>
                <w:position w:val="-1"/>
                <w:szCs w:val="20"/>
              </w:rPr>
              <w:t>e</w:t>
            </w:r>
            <w:r>
              <w:rPr>
                <w:rFonts w:eastAsia="Times New Roman" w:cs="Times New Roman"/>
                <w:spacing w:val="-1"/>
                <w:position w:val="-1"/>
                <w:szCs w:val="20"/>
              </w:rPr>
              <w:t>n</w:t>
            </w:r>
            <w:r>
              <w:rPr>
                <w:rFonts w:eastAsia="Times New Roman" w:cs="Times New Roman"/>
                <w:position w:val="-1"/>
                <w:szCs w:val="20"/>
              </w:rPr>
              <w:t>ie</w:t>
            </w:r>
            <w:r>
              <w:rPr>
                <w:rFonts w:eastAsia="Times New Roman" w:cs="Times New Roman"/>
                <w:spacing w:val="-5"/>
                <w:position w:val="-1"/>
                <w:szCs w:val="20"/>
              </w:rPr>
              <w:t xml:space="preserve"> </w:t>
            </w:r>
            <w:r>
              <w:rPr>
                <w:rFonts w:eastAsia="Times New Roman" w:cs="Times New Roman"/>
                <w:w w:val="99"/>
                <w:position w:val="-1"/>
                <w:szCs w:val="20"/>
              </w:rPr>
              <w:t>z</w:t>
            </w:r>
            <w:r>
              <w:rPr>
                <w:rFonts w:eastAsia="Times New Roman" w:cs="Times New Roman"/>
                <w:spacing w:val="1"/>
                <w:w w:val="99"/>
                <w:position w:val="-1"/>
                <w:szCs w:val="20"/>
              </w:rPr>
              <w:t>ab</w:t>
            </w:r>
            <w:r>
              <w:rPr>
                <w:rFonts w:eastAsia="Times New Roman" w:cs="Times New Roman"/>
                <w:spacing w:val="-1"/>
                <w:w w:val="99"/>
                <w:position w:val="-1"/>
                <w:szCs w:val="20"/>
              </w:rPr>
              <w:t>u</w:t>
            </w:r>
            <w:r>
              <w:rPr>
                <w:rFonts w:eastAsia="Times New Roman" w:cs="Times New Roman"/>
                <w:spacing w:val="1"/>
                <w:w w:val="99"/>
                <w:position w:val="-1"/>
                <w:szCs w:val="20"/>
              </w:rPr>
              <w:t>d</w:t>
            </w:r>
            <w:r>
              <w:rPr>
                <w:rFonts w:eastAsia="Times New Roman" w:cs="Times New Roman"/>
                <w:spacing w:val="3"/>
                <w:w w:val="99"/>
                <w:position w:val="-1"/>
                <w:szCs w:val="20"/>
              </w:rPr>
              <w:t>o</w:t>
            </w:r>
            <w:r>
              <w:rPr>
                <w:rFonts w:eastAsia="Times New Roman" w:cs="Times New Roman"/>
                <w:spacing w:val="-2"/>
                <w:w w:val="99"/>
                <w:position w:val="-1"/>
                <w:szCs w:val="20"/>
              </w:rPr>
              <w:t>w</w:t>
            </w:r>
            <w:r>
              <w:rPr>
                <w:rFonts w:eastAsia="Times New Roman" w:cs="Times New Roman"/>
                <w:spacing w:val="-1"/>
                <w:w w:val="99"/>
                <w:position w:val="-1"/>
                <w:szCs w:val="20"/>
              </w:rPr>
              <w:t>y</w:t>
            </w:r>
            <w:r>
              <w:rPr>
                <w:rFonts w:eastAsia="Times New Roman" w:cs="Times New Roman"/>
                <w:w w:val="99"/>
                <w:position w:val="-1"/>
                <w:szCs w:val="20"/>
              </w:rPr>
              <w:t>)</w:t>
            </w:r>
          </w:p>
          <w:p w:rsidR="00B77F00" w:rsidRDefault="00865FA3">
            <w:pPr>
              <w:pStyle w:val="Standard"/>
              <w:jc w:val="both"/>
              <w:rPr>
                <w:szCs w:val="20"/>
              </w:rPr>
            </w:pPr>
            <w:r>
              <w:rPr>
                <w:rFonts w:eastAsia="Times New Roman" w:cs="Times New Roman"/>
                <w:position w:val="14"/>
                <w:szCs w:val="20"/>
              </w:rPr>
              <w:t>b)</w:t>
            </w:r>
            <w:r>
              <w:rPr>
                <w:rFonts w:eastAsia="Times New Roman" w:cs="Times New Roman"/>
                <w:spacing w:val="28"/>
                <w:position w:val="14"/>
                <w:szCs w:val="20"/>
              </w:rPr>
              <w:t xml:space="preserve"> </w:t>
            </w:r>
            <w:r>
              <w:rPr>
                <w:rFonts w:eastAsia="Times New Roman" w:cs="Times New Roman"/>
                <w:szCs w:val="20"/>
              </w:rPr>
              <w:t>w</w:t>
            </w:r>
            <w:r>
              <w:rPr>
                <w:rFonts w:eastAsia="Times New Roman" w:cs="Times New Roman"/>
                <w:spacing w:val="-3"/>
                <w:szCs w:val="20"/>
              </w:rPr>
              <w:t xml:space="preserve"> </w:t>
            </w:r>
            <w:r>
              <w:rPr>
                <w:rFonts w:eastAsia="Times New Roman" w:cs="Times New Roman"/>
                <w:spacing w:val="1"/>
                <w:szCs w:val="20"/>
              </w:rPr>
              <w:t>r</w:t>
            </w:r>
            <w:r>
              <w:rPr>
                <w:rFonts w:eastAsia="Times New Roman" w:cs="Times New Roman"/>
                <w:szCs w:val="20"/>
              </w:rPr>
              <w:t>a</w:t>
            </w:r>
            <w:r>
              <w:rPr>
                <w:rFonts w:eastAsia="Times New Roman" w:cs="Times New Roman"/>
                <w:spacing w:val="1"/>
                <w:szCs w:val="20"/>
              </w:rPr>
              <w:t>z</w:t>
            </w:r>
            <w:r>
              <w:rPr>
                <w:rFonts w:eastAsia="Times New Roman" w:cs="Times New Roman"/>
                <w:szCs w:val="20"/>
              </w:rPr>
              <w:t>ie</w:t>
            </w:r>
            <w:r>
              <w:rPr>
                <w:rFonts w:eastAsia="Times New Roman" w:cs="Times New Roman"/>
                <w:spacing w:val="-4"/>
                <w:szCs w:val="20"/>
              </w:rPr>
              <w:t xml:space="preserve"> </w:t>
            </w:r>
            <w:r>
              <w:rPr>
                <w:rFonts w:eastAsia="Times New Roman" w:cs="Times New Roman"/>
                <w:spacing w:val="1"/>
                <w:szCs w:val="20"/>
              </w:rPr>
              <w:t>po</w:t>
            </w:r>
            <w:r>
              <w:rPr>
                <w:rFonts w:eastAsia="Times New Roman" w:cs="Times New Roman"/>
                <w:szCs w:val="20"/>
              </w:rPr>
              <w:t>trz</w:t>
            </w:r>
            <w:r>
              <w:rPr>
                <w:rFonts w:eastAsia="Times New Roman" w:cs="Times New Roman"/>
                <w:spacing w:val="1"/>
                <w:szCs w:val="20"/>
              </w:rPr>
              <w:t>eb</w:t>
            </w:r>
            <w:r>
              <w:rPr>
                <w:rFonts w:eastAsia="Times New Roman" w:cs="Times New Roman"/>
                <w:szCs w:val="20"/>
              </w:rPr>
              <w:t>y</w:t>
            </w:r>
            <w:r>
              <w:rPr>
                <w:rFonts w:eastAsia="Times New Roman" w:cs="Times New Roman"/>
                <w:spacing w:val="-8"/>
                <w:szCs w:val="20"/>
              </w:rPr>
              <w:t xml:space="preserve"> </w:t>
            </w:r>
            <w:r>
              <w:rPr>
                <w:rFonts w:eastAsia="Times New Roman" w:cs="Times New Roman"/>
                <w:spacing w:val="-1"/>
                <w:szCs w:val="20"/>
              </w:rPr>
              <w:t>s</w:t>
            </w:r>
            <w:r>
              <w:rPr>
                <w:rFonts w:eastAsia="Times New Roman" w:cs="Times New Roman"/>
                <w:spacing w:val="1"/>
                <w:szCs w:val="20"/>
              </w:rPr>
              <w:t>p</w:t>
            </w:r>
            <w:r>
              <w:rPr>
                <w:rFonts w:eastAsia="Times New Roman" w:cs="Times New Roman"/>
                <w:szCs w:val="20"/>
              </w:rPr>
              <w:t>e</w:t>
            </w:r>
            <w:r>
              <w:rPr>
                <w:rFonts w:eastAsia="Times New Roman" w:cs="Times New Roman"/>
                <w:spacing w:val="1"/>
                <w:szCs w:val="20"/>
              </w:rPr>
              <w:t>c</w:t>
            </w:r>
            <w:r>
              <w:rPr>
                <w:rFonts w:eastAsia="Times New Roman" w:cs="Times New Roman"/>
                <w:spacing w:val="2"/>
                <w:szCs w:val="20"/>
              </w:rPr>
              <w:t>j</w:t>
            </w:r>
            <w:r>
              <w:rPr>
                <w:rFonts w:eastAsia="Times New Roman" w:cs="Times New Roman"/>
                <w:szCs w:val="20"/>
              </w:rPr>
              <w:t>al</w:t>
            </w:r>
            <w:r>
              <w:rPr>
                <w:rFonts w:eastAsia="Times New Roman" w:cs="Times New Roman"/>
                <w:spacing w:val="-1"/>
                <w:szCs w:val="20"/>
              </w:rPr>
              <w:t>n</w:t>
            </w:r>
            <w:r>
              <w:rPr>
                <w:rFonts w:eastAsia="Times New Roman" w:cs="Times New Roman"/>
                <w:szCs w:val="20"/>
              </w:rPr>
              <w:t>e</w:t>
            </w:r>
            <w:r>
              <w:rPr>
                <w:rFonts w:eastAsia="Times New Roman" w:cs="Times New Roman"/>
                <w:spacing w:val="-6"/>
                <w:szCs w:val="20"/>
              </w:rPr>
              <w:t xml:space="preserve"> </w:t>
            </w:r>
            <w:r>
              <w:rPr>
                <w:rFonts w:eastAsia="Times New Roman" w:cs="Times New Roman"/>
                <w:spacing w:val="-1"/>
                <w:szCs w:val="20"/>
              </w:rPr>
              <w:t>k</w:t>
            </w:r>
            <w:r>
              <w:rPr>
                <w:rFonts w:eastAsia="Times New Roman" w:cs="Times New Roman"/>
                <w:spacing w:val="1"/>
                <w:szCs w:val="20"/>
              </w:rPr>
              <w:t>ru</w:t>
            </w:r>
            <w:r>
              <w:rPr>
                <w:rFonts w:eastAsia="Times New Roman" w:cs="Times New Roman"/>
                <w:spacing w:val="-1"/>
                <w:szCs w:val="20"/>
              </w:rPr>
              <w:t>s</w:t>
            </w:r>
            <w:r>
              <w:rPr>
                <w:rFonts w:eastAsia="Times New Roman" w:cs="Times New Roman"/>
                <w:spacing w:val="3"/>
                <w:szCs w:val="20"/>
              </w:rPr>
              <w:t>z</w:t>
            </w:r>
            <w:r>
              <w:rPr>
                <w:rFonts w:eastAsia="Times New Roman" w:cs="Times New Roman"/>
                <w:spacing w:val="-1"/>
                <w:szCs w:val="20"/>
              </w:rPr>
              <w:t>y</w:t>
            </w:r>
            <w:r>
              <w:rPr>
                <w:rFonts w:eastAsia="Times New Roman" w:cs="Times New Roman"/>
                <w:spacing w:val="-2"/>
                <w:szCs w:val="20"/>
              </w:rPr>
              <w:t>w</w:t>
            </w:r>
            <w:r>
              <w:rPr>
                <w:rFonts w:eastAsia="Times New Roman" w:cs="Times New Roman"/>
                <w:szCs w:val="20"/>
              </w:rPr>
              <w:t>a</w:t>
            </w:r>
            <w:r>
              <w:rPr>
                <w:rFonts w:eastAsia="Times New Roman" w:cs="Times New Roman"/>
                <w:spacing w:val="-7"/>
                <w:szCs w:val="20"/>
              </w:rPr>
              <w:t xml:space="preserve"> </w:t>
            </w:r>
            <w:r>
              <w:rPr>
                <w:rFonts w:eastAsia="Times New Roman" w:cs="Times New Roman"/>
                <w:szCs w:val="20"/>
              </w:rPr>
              <w:t>i</w:t>
            </w:r>
            <w:r>
              <w:rPr>
                <w:rFonts w:eastAsia="Times New Roman" w:cs="Times New Roman"/>
                <w:spacing w:val="-1"/>
                <w:szCs w:val="20"/>
              </w:rPr>
              <w:t xml:space="preserve"> </w:t>
            </w:r>
            <w:r>
              <w:rPr>
                <w:rFonts w:eastAsia="Times New Roman" w:cs="Times New Roman"/>
                <w:spacing w:val="1"/>
                <w:szCs w:val="20"/>
              </w:rPr>
              <w:t>dod</w:t>
            </w:r>
            <w:r>
              <w:rPr>
                <w:rFonts w:eastAsia="Times New Roman" w:cs="Times New Roman"/>
                <w:szCs w:val="20"/>
              </w:rPr>
              <w:t>at</w:t>
            </w:r>
            <w:r>
              <w:rPr>
                <w:rFonts w:eastAsia="Times New Roman" w:cs="Times New Roman"/>
                <w:spacing w:val="-1"/>
                <w:szCs w:val="20"/>
              </w:rPr>
              <w:t>k</w:t>
            </w:r>
            <w:r>
              <w:rPr>
                <w:rFonts w:eastAsia="Times New Roman" w:cs="Times New Roman"/>
                <w:szCs w:val="20"/>
              </w:rPr>
              <w:t>i</w:t>
            </w:r>
          </w:p>
        </w:tc>
      </w:tr>
    </w:tbl>
    <w:p w:rsidR="00B77F00" w:rsidRDefault="00B77F00">
      <w:pPr>
        <w:pStyle w:val="Standard"/>
        <w:jc w:val="both"/>
        <w:rPr>
          <w:szCs w:val="20"/>
        </w:rPr>
      </w:pPr>
    </w:p>
    <w:p w:rsidR="00B77F00" w:rsidRDefault="00B77F00">
      <w:pPr>
        <w:pStyle w:val="Standard"/>
        <w:jc w:val="both"/>
        <w:rPr>
          <w:szCs w:val="20"/>
        </w:rPr>
      </w:pPr>
    </w:p>
    <w:p w:rsidR="00B77F00" w:rsidRDefault="00865FA3">
      <w:pPr>
        <w:pStyle w:val="Standard"/>
        <w:jc w:val="both"/>
        <w:rPr>
          <w:szCs w:val="20"/>
        </w:rPr>
      </w:pPr>
      <w:r>
        <w:rPr>
          <w:szCs w:val="20"/>
        </w:rPr>
        <w:t>Na etapie oceny jakości wbudowanej mieszanki mineralno-asfaltowej podaje się wartości dopuszczalne i tolerancje, w których uwzględnia się: rozrzut występujący przy pobieraniu próbek, dokładność metod badań oraz odstępstwa uwarunkowan</w:t>
      </w:r>
      <w:r>
        <w:rPr>
          <w:szCs w:val="20"/>
        </w:rPr>
        <w:t>e metodą pracy.</w:t>
      </w:r>
    </w:p>
    <w:p w:rsidR="00B77F00" w:rsidRDefault="00865FA3">
      <w:pPr>
        <w:pStyle w:val="Standard"/>
        <w:jc w:val="both"/>
        <w:rPr>
          <w:szCs w:val="20"/>
        </w:rPr>
      </w:pPr>
      <w:r>
        <w:rPr>
          <w:szCs w:val="20"/>
        </w:rPr>
        <w:t xml:space="preserve">Właściwości materiałów należy oceniać na podstawie badań pobranych próbek mieszanki mineralno-asfaltowej przed wbudowaniem (wbudowanie oznacza wykonanie warstwy asfaltowej). Wyjątkowo dopuszcza się badania próbek pobranych z wykonanej </w:t>
      </w:r>
      <w:r>
        <w:rPr>
          <w:szCs w:val="20"/>
        </w:rPr>
        <w:t>warstwy asfaltowej).</w:t>
      </w:r>
    </w:p>
    <w:p w:rsidR="00B77F00" w:rsidRDefault="00865FA3">
      <w:pPr>
        <w:pStyle w:val="Standard"/>
        <w:jc w:val="both"/>
        <w:rPr>
          <w:szCs w:val="20"/>
        </w:rPr>
      </w:pPr>
      <w:r>
        <w:rPr>
          <w:szCs w:val="20"/>
        </w:rPr>
        <w:t>6.4.4.1. Uziarnienie mieszanki mineralnej</w:t>
      </w:r>
    </w:p>
    <w:p w:rsidR="00B77F00" w:rsidRDefault="00865FA3">
      <w:pPr>
        <w:pStyle w:val="Standard"/>
        <w:jc w:val="both"/>
        <w:rPr>
          <w:szCs w:val="20"/>
        </w:rPr>
      </w:pPr>
      <w:r>
        <w:rPr>
          <w:szCs w:val="20"/>
        </w:rPr>
        <w:t>Uziarnienie każdej próbki pobranej z luźnej mieszanki mineralno-asfaltowej nie może odbiegać od wartości projektowanej, z uwzględnieniem dopuszczalnych odchyłek podanych w tablicy 8.</w:t>
      </w:r>
    </w:p>
    <w:p w:rsidR="00B77F00" w:rsidRDefault="00865FA3">
      <w:pPr>
        <w:pStyle w:val="Standard"/>
        <w:jc w:val="both"/>
        <w:rPr>
          <w:szCs w:val="20"/>
        </w:rPr>
      </w:pPr>
      <w:r>
        <w:rPr>
          <w:szCs w:val="20"/>
        </w:rPr>
        <w:t>6.4.4.2. Z</w:t>
      </w:r>
      <w:r>
        <w:rPr>
          <w:szCs w:val="20"/>
        </w:rPr>
        <w:t>awartość lepiszcza</w:t>
      </w:r>
    </w:p>
    <w:p w:rsidR="00B77F00" w:rsidRDefault="00865FA3">
      <w:pPr>
        <w:pStyle w:val="Standard"/>
        <w:jc w:val="both"/>
        <w:rPr>
          <w:szCs w:val="20"/>
        </w:rPr>
      </w:pPr>
      <w:r>
        <w:rPr>
          <w:szCs w:val="20"/>
        </w:rPr>
        <w:t>Zawartość rozpuszczalnego lepiszcza z każdej próbki pobranej z mieszanki mineralno-asfaltowej nie może odbiegać od wartości projektowanej, z uwzględnieniem dopuszczalnych odchyłek podanych w tablicy 8.</w:t>
      </w:r>
    </w:p>
    <w:p w:rsidR="00B77F00" w:rsidRDefault="00865FA3">
      <w:pPr>
        <w:pStyle w:val="Standard"/>
        <w:jc w:val="both"/>
        <w:rPr>
          <w:szCs w:val="20"/>
        </w:rPr>
      </w:pPr>
      <w:r>
        <w:rPr>
          <w:szCs w:val="20"/>
        </w:rPr>
        <w:t>6.4.4.3. Zagłębienie trzpienia (def</w:t>
      </w:r>
      <w:r>
        <w:rPr>
          <w:szCs w:val="20"/>
        </w:rPr>
        <w:t>ormacja trwała)</w:t>
      </w:r>
    </w:p>
    <w:p w:rsidR="00B77F00" w:rsidRDefault="00865FA3">
      <w:pPr>
        <w:pStyle w:val="Standard"/>
        <w:jc w:val="both"/>
        <w:rPr>
          <w:szCs w:val="20"/>
        </w:rPr>
      </w:pPr>
      <w:r>
        <w:rPr>
          <w:szCs w:val="20"/>
        </w:rPr>
        <w:t>Zagłębienie trzpienia powinno być zgodne z wymaganiami w Tablicy 7</w:t>
      </w:r>
    </w:p>
    <w:p w:rsidR="00B77F00" w:rsidRDefault="00865FA3">
      <w:pPr>
        <w:pStyle w:val="Standard"/>
        <w:jc w:val="both"/>
        <w:rPr>
          <w:szCs w:val="20"/>
        </w:rPr>
      </w:pPr>
      <w:r>
        <w:rPr>
          <w:szCs w:val="20"/>
        </w:rPr>
        <w:t>6.4.4. Badanie wykonanej warstwy asfaltowej</w:t>
      </w:r>
    </w:p>
    <w:p w:rsidR="00B77F00" w:rsidRDefault="00865FA3">
      <w:pPr>
        <w:pStyle w:val="Standard"/>
        <w:jc w:val="both"/>
        <w:rPr>
          <w:szCs w:val="20"/>
        </w:rPr>
      </w:pPr>
      <w:r>
        <w:rPr>
          <w:szCs w:val="20"/>
        </w:rPr>
        <w:t>Zakres badań wykonanej warstwy przeciwspadku z asfaltu lanego obejmuje:|</w:t>
      </w:r>
    </w:p>
    <w:p w:rsidR="00B77F00" w:rsidRDefault="00865FA3">
      <w:pPr>
        <w:pStyle w:val="Standard"/>
        <w:jc w:val="both"/>
        <w:rPr>
          <w:szCs w:val="20"/>
        </w:rPr>
      </w:pPr>
      <w:r>
        <w:rPr>
          <w:szCs w:val="20"/>
        </w:rPr>
        <w:t>- spadki poprzeczne,</w:t>
      </w:r>
    </w:p>
    <w:p w:rsidR="00B77F00" w:rsidRDefault="00865FA3">
      <w:pPr>
        <w:pStyle w:val="Standard"/>
        <w:jc w:val="both"/>
        <w:rPr>
          <w:szCs w:val="20"/>
        </w:rPr>
      </w:pPr>
      <w:r>
        <w:rPr>
          <w:szCs w:val="20"/>
        </w:rPr>
        <w:t>- równość podłużna,</w:t>
      </w:r>
    </w:p>
    <w:p w:rsidR="00B77F00" w:rsidRDefault="00865FA3">
      <w:pPr>
        <w:pStyle w:val="Standard"/>
        <w:jc w:val="both"/>
        <w:rPr>
          <w:szCs w:val="20"/>
        </w:rPr>
      </w:pPr>
      <w:r>
        <w:rPr>
          <w:szCs w:val="20"/>
        </w:rPr>
        <w:t xml:space="preserve">- grubość </w:t>
      </w:r>
      <w:r>
        <w:rPr>
          <w:szCs w:val="20"/>
        </w:rPr>
        <w:t>warstwy lub ilość zużytego materiału.</w:t>
      </w:r>
    </w:p>
    <w:p w:rsidR="00B77F00" w:rsidRDefault="00865FA3">
      <w:pPr>
        <w:pStyle w:val="Standard"/>
        <w:jc w:val="both"/>
        <w:rPr>
          <w:szCs w:val="20"/>
        </w:rPr>
      </w:pPr>
      <w:r>
        <w:rPr>
          <w:szCs w:val="20"/>
        </w:rPr>
        <w:t>6.4.4.1. Spadki poprzeczne</w:t>
      </w:r>
    </w:p>
    <w:p w:rsidR="00B77F00" w:rsidRDefault="00865FA3">
      <w:pPr>
        <w:pStyle w:val="Standard"/>
        <w:jc w:val="both"/>
        <w:rPr>
          <w:szCs w:val="20"/>
        </w:rPr>
      </w:pPr>
      <w:r>
        <w:rPr>
          <w:szCs w:val="20"/>
        </w:rPr>
        <w:t xml:space="preserve">Należy wykonać badanie na każdym pasie ruchu co 10 m, co najmniej 5 razy dla obiektu Spadki poprzeczne powinny buć zgodne z dokumentacją projektową z tolerancją </w:t>
      </w:r>
      <w:r>
        <w:rPr>
          <w:szCs w:val="20"/>
        </w:rPr>
        <w:t>±0.</w:t>
      </w:r>
    </w:p>
    <w:p w:rsidR="00B77F00" w:rsidRDefault="00865FA3">
      <w:pPr>
        <w:pStyle w:val="Standard"/>
        <w:jc w:val="both"/>
        <w:rPr>
          <w:szCs w:val="20"/>
        </w:rPr>
      </w:pPr>
      <w:r>
        <w:rPr>
          <w:szCs w:val="20"/>
        </w:rPr>
        <w:t xml:space="preserve">6.4.4.2. Równość podłużna </w:t>
      </w:r>
      <w:r>
        <w:rPr>
          <w:szCs w:val="20"/>
        </w:rPr>
        <w:t>warstwy</w:t>
      </w:r>
    </w:p>
    <w:p w:rsidR="00B77F00" w:rsidRDefault="00865FA3">
      <w:pPr>
        <w:pStyle w:val="Standard"/>
        <w:jc w:val="both"/>
        <w:rPr>
          <w:szCs w:val="20"/>
        </w:rPr>
      </w:pPr>
      <w:r>
        <w:rPr>
          <w:szCs w:val="20"/>
        </w:rPr>
        <w:t>Do oceny równości podłużnej warstwy należy stosować metodę z wykorzystaniem łaty 4- metrowej i klina lub metody równoważnej użyciu łaty i klina, mierząc wysokość prześwitu w połowie długości łaty. Pomiar wykonuje się nie rzadziej niż co 5 m.</w:t>
      </w:r>
    </w:p>
    <w:p w:rsidR="00B77F00" w:rsidRDefault="00865FA3">
      <w:pPr>
        <w:pStyle w:val="Standard"/>
        <w:jc w:val="both"/>
        <w:rPr>
          <w:szCs w:val="20"/>
        </w:rPr>
      </w:pPr>
      <w:r>
        <w:rPr>
          <w:szCs w:val="20"/>
        </w:rPr>
        <w:t>Przez</w:t>
      </w:r>
      <w:r>
        <w:rPr>
          <w:szCs w:val="20"/>
        </w:rPr>
        <w:t xml:space="preserve"> odchylenie równości rozumie się największą odległość między łatą a mierzoną powierzchnią. Wymagana równość podłużna jest określona przez wartości odchyleń równości, które nie mogą być przekroczone w liczbie pomiarów stanowiących 95% oraz 100% liczby wszys</w:t>
      </w:r>
      <w:r>
        <w:rPr>
          <w:szCs w:val="20"/>
        </w:rPr>
        <w:t>tkich pomiarów na badanym odcinku. Przez odchylenie równości rozumie się największą odległość między łatą a mierzoną powierzchnią.</w:t>
      </w:r>
    </w:p>
    <w:p w:rsidR="00B77F00" w:rsidRDefault="00B77F00">
      <w:pPr>
        <w:pStyle w:val="Standard"/>
        <w:jc w:val="both"/>
        <w:rPr>
          <w:szCs w:val="20"/>
        </w:rPr>
      </w:pPr>
    </w:p>
    <w:p w:rsidR="00B77F00" w:rsidRDefault="00865FA3">
      <w:pPr>
        <w:pStyle w:val="Standard"/>
        <w:jc w:val="both"/>
        <w:rPr>
          <w:szCs w:val="20"/>
        </w:rPr>
      </w:pPr>
      <w:r>
        <w:rPr>
          <w:szCs w:val="20"/>
        </w:rPr>
        <w:t>6.4.4.3.Grubość warstwy i ilość zużytego materiału</w:t>
      </w:r>
    </w:p>
    <w:p w:rsidR="00B77F00" w:rsidRDefault="00865FA3">
      <w:pPr>
        <w:pStyle w:val="Standard"/>
        <w:jc w:val="both"/>
        <w:rPr>
          <w:szCs w:val="20"/>
        </w:rPr>
      </w:pPr>
      <w:r>
        <w:rPr>
          <w:szCs w:val="20"/>
        </w:rPr>
        <w:t>Grubość ułożonej warstwy powinna być nie mniejsza od grubości projektowa</w:t>
      </w:r>
      <w:r>
        <w:rPr>
          <w:szCs w:val="20"/>
        </w:rPr>
        <w:t>nej.</w:t>
      </w:r>
    </w:p>
    <w:p w:rsidR="00B77F00" w:rsidRDefault="00865FA3">
      <w:pPr>
        <w:pStyle w:val="Standard"/>
        <w:jc w:val="both"/>
        <w:rPr>
          <w:szCs w:val="20"/>
        </w:rPr>
      </w:pPr>
      <w:r>
        <w:rPr>
          <w:szCs w:val="20"/>
        </w:rPr>
        <w:t>6.5. Badania kontrolne dodatkowe</w:t>
      </w:r>
    </w:p>
    <w:p w:rsidR="00B77F00" w:rsidRDefault="00865FA3">
      <w:pPr>
        <w:pStyle w:val="Standard"/>
        <w:jc w:val="both"/>
        <w:rPr>
          <w:szCs w:val="20"/>
        </w:rPr>
      </w:pPr>
      <w:r>
        <w:rPr>
          <w:szCs w:val="20"/>
        </w:rPr>
        <w:t>W wypadku uznania, że jeden z wyników badań kontrolnych nie jest reprezentatywny dla ocenianego odcinka budowy, Wykonawca ma prawo żądać przeprowadzenia badań kontrolnych dodatkowych.</w:t>
      </w:r>
    </w:p>
    <w:p w:rsidR="00B77F00" w:rsidRDefault="00865FA3">
      <w:pPr>
        <w:pStyle w:val="Standard"/>
        <w:jc w:val="both"/>
        <w:rPr>
          <w:szCs w:val="20"/>
        </w:rPr>
      </w:pPr>
      <w:r>
        <w:rPr>
          <w:szCs w:val="20"/>
        </w:rPr>
        <w:t>Inżynier i Wykonawca decydują wspó</w:t>
      </w:r>
      <w:r>
        <w:rPr>
          <w:szCs w:val="20"/>
        </w:rPr>
        <w:t>lnie o miejscach pobierania próbek i wyznaczeniu odcinków częściowych ocenianego odcinka budowy. Jeżeli odcinek częściowy przyporządkowany do badań kontrolnych nie może być jednoznacznie i zgodnie wyznaczony, to odcinek ten nie powinien być mniejszy niż 20</w:t>
      </w:r>
      <w:r>
        <w:rPr>
          <w:szCs w:val="20"/>
        </w:rPr>
        <w:t>% ocenianego odcinka budowy.</w:t>
      </w:r>
    </w:p>
    <w:p w:rsidR="00B77F00" w:rsidRDefault="00865FA3">
      <w:pPr>
        <w:pStyle w:val="Standard"/>
        <w:jc w:val="both"/>
        <w:rPr>
          <w:szCs w:val="20"/>
        </w:rPr>
      </w:pPr>
      <w:r>
        <w:rPr>
          <w:szCs w:val="20"/>
        </w:rPr>
        <w:t xml:space="preserve">Do odbioru uwzględniane są wyniki badań kontrolnych i badań kontrolnych dodatkowych do wyznaczonych </w:t>
      </w:r>
      <w:r>
        <w:rPr>
          <w:szCs w:val="20"/>
        </w:rPr>
        <w:lastRenderedPageBreak/>
        <w:t>odcinków częściowych.</w:t>
      </w:r>
    </w:p>
    <w:p w:rsidR="00B77F00" w:rsidRDefault="00865FA3">
      <w:pPr>
        <w:pStyle w:val="Standard"/>
        <w:jc w:val="both"/>
        <w:rPr>
          <w:szCs w:val="20"/>
        </w:rPr>
      </w:pPr>
      <w:r>
        <w:rPr>
          <w:szCs w:val="20"/>
        </w:rPr>
        <w:t>Koszty badań kontrolnych dodatkowych zażądanych przez Wykonawcę ponosi Wykonawca.</w:t>
      </w:r>
    </w:p>
    <w:p w:rsidR="00B77F00" w:rsidRDefault="00865FA3">
      <w:pPr>
        <w:pStyle w:val="Standard"/>
        <w:jc w:val="both"/>
        <w:rPr>
          <w:szCs w:val="20"/>
        </w:rPr>
      </w:pPr>
      <w:r>
        <w:rPr>
          <w:szCs w:val="20"/>
        </w:rPr>
        <w:t>6.6. Badania arbitrażow</w:t>
      </w:r>
      <w:r>
        <w:rPr>
          <w:szCs w:val="20"/>
        </w:rPr>
        <w:t>e</w:t>
      </w:r>
    </w:p>
    <w:p w:rsidR="00B77F00" w:rsidRDefault="00865FA3">
      <w:pPr>
        <w:pStyle w:val="Standard"/>
        <w:jc w:val="both"/>
        <w:rPr>
          <w:szCs w:val="20"/>
        </w:rPr>
      </w:pPr>
      <w:r>
        <w:rPr>
          <w:szCs w:val="20"/>
        </w:rPr>
        <w:t>Badania arbitrażowe są powtórzeniem badań kontrolnych, co do których istnieją uzasadnione wątpliwości ze</w:t>
      </w:r>
    </w:p>
    <w:p w:rsidR="00B77F00" w:rsidRDefault="00865FA3">
      <w:pPr>
        <w:pStyle w:val="Standard"/>
        <w:jc w:val="both"/>
        <w:rPr>
          <w:szCs w:val="20"/>
        </w:rPr>
      </w:pPr>
      <w:r>
        <w:rPr>
          <w:szCs w:val="20"/>
        </w:rPr>
        <w:t>strony Inżyniera lub Wykonawcy (np. na podstawie własnych badań).</w:t>
      </w:r>
    </w:p>
    <w:p w:rsidR="00B77F00" w:rsidRDefault="00865FA3">
      <w:pPr>
        <w:pStyle w:val="Standard"/>
        <w:jc w:val="both"/>
        <w:rPr>
          <w:szCs w:val="20"/>
        </w:rPr>
      </w:pPr>
      <w:r>
        <w:rPr>
          <w:szCs w:val="20"/>
        </w:rPr>
        <w:t>Badania arbitrażowe wykonuje na wniosek strony kontraktu niezależne laboratorium, k</w:t>
      </w:r>
      <w:r>
        <w:rPr>
          <w:szCs w:val="20"/>
        </w:rPr>
        <w:t>tóre nie wykonywało badań kontrolnych.</w:t>
      </w:r>
    </w:p>
    <w:p w:rsidR="00B77F00" w:rsidRDefault="00865FA3">
      <w:pPr>
        <w:pStyle w:val="Standard"/>
        <w:jc w:val="both"/>
        <w:rPr>
          <w:szCs w:val="20"/>
        </w:rPr>
      </w:pPr>
      <w:r>
        <w:rPr>
          <w:szCs w:val="20"/>
        </w:rPr>
        <w:t>Koszty badań arbitrażowych wraz ze wszystkimi kosztami ubocznymi ponosi strona, na której niekorzyść</w:t>
      </w:r>
    </w:p>
    <w:p w:rsidR="00B77F00" w:rsidRDefault="00865FA3">
      <w:pPr>
        <w:pStyle w:val="Standard"/>
        <w:jc w:val="both"/>
        <w:rPr>
          <w:szCs w:val="20"/>
        </w:rPr>
      </w:pPr>
      <w:r>
        <w:rPr>
          <w:szCs w:val="20"/>
        </w:rPr>
        <w:t xml:space="preserve">przemawia wynik </w:t>
      </w:r>
      <w:r>
        <w:rPr>
          <w:szCs w:val="20"/>
        </w:rPr>
        <w:t>badania.</w:t>
      </w:r>
    </w:p>
    <w:p w:rsidR="00B77F00" w:rsidRDefault="00865FA3">
      <w:pPr>
        <w:pStyle w:val="Standard"/>
        <w:jc w:val="both"/>
        <w:rPr>
          <w:szCs w:val="20"/>
        </w:rPr>
      </w:pPr>
      <w:r>
        <w:rPr>
          <w:szCs w:val="20"/>
        </w:rPr>
        <w:t xml:space="preserve">Wniosek o przeprowadzenie badań arbitrażowych dotyczących zawartości wolnych przestrzeni </w:t>
      </w:r>
      <w:r>
        <w:rPr>
          <w:szCs w:val="20"/>
        </w:rPr>
        <w:t>lub wskaźnika zagęszczenia należy złożyć w ciągu 2 miesięcy od wpływu reklamacji ze strony Zamawiającego.</w:t>
      </w:r>
    </w:p>
    <w:p w:rsidR="00B77F00" w:rsidRDefault="00B77F00">
      <w:pPr>
        <w:pStyle w:val="Standard"/>
        <w:rPr>
          <w:szCs w:val="20"/>
        </w:rPr>
      </w:pPr>
    </w:p>
    <w:p w:rsidR="00B77F00" w:rsidRDefault="00865FA3">
      <w:pPr>
        <w:pStyle w:val="Standard"/>
        <w:jc w:val="both"/>
        <w:rPr>
          <w:b/>
          <w:bCs/>
          <w:szCs w:val="20"/>
        </w:rPr>
      </w:pPr>
      <w:r>
        <w:rPr>
          <w:b/>
          <w:bCs/>
          <w:szCs w:val="20"/>
        </w:rPr>
        <w:t>7. OBMIAR ROBÓT</w:t>
      </w:r>
    </w:p>
    <w:p w:rsidR="00B77F00" w:rsidRDefault="00865FA3">
      <w:pPr>
        <w:pStyle w:val="Standard"/>
        <w:jc w:val="both"/>
        <w:rPr>
          <w:szCs w:val="20"/>
        </w:rPr>
      </w:pPr>
      <w:r>
        <w:rPr>
          <w:szCs w:val="20"/>
        </w:rPr>
        <w:t>7.1. Ogólne zasady obmiaru robót</w:t>
      </w:r>
    </w:p>
    <w:p w:rsidR="00B77F00" w:rsidRDefault="00865FA3">
      <w:pPr>
        <w:pStyle w:val="Standard"/>
        <w:jc w:val="both"/>
        <w:rPr>
          <w:szCs w:val="20"/>
        </w:rPr>
      </w:pPr>
      <w:r>
        <w:rPr>
          <w:szCs w:val="20"/>
        </w:rPr>
        <w:t>Ogólne zasady obmiaru robót podano w ST DM.00.00.00 „Wymagania ogólne”.</w:t>
      </w:r>
    </w:p>
    <w:p w:rsidR="00B77F00" w:rsidRDefault="00865FA3">
      <w:pPr>
        <w:pStyle w:val="Standard"/>
        <w:jc w:val="both"/>
        <w:rPr>
          <w:szCs w:val="20"/>
        </w:rPr>
      </w:pPr>
      <w:r>
        <w:rPr>
          <w:szCs w:val="20"/>
        </w:rPr>
        <w:t>7.2. Jednostka obmiarowa</w:t>
      </w:r>
    </w:p>
    <w:p w:rsidR="00B77F00" w:rsidRDefault="00865FA3">
      <w:pPr>
        <w:pStyle w:val="Standard"/>
        <w:jc w:val="both"/>
        <w:rPr>
          <w:szCs w:val="20"/>
        </w:rPr>
      </w:pPr>
      <w:r>
        <w:rPr>
          <w:szCs w:val="20"/>
        </w:rPr>
        <w:t>Jed</w:t>
      </w:r>
      <w:r>
        <w:rPr>
          <w:szCs w:val="20"/>
        </w:rPr>
        <w:t>nostką obmiarową jest m (metr) wykonanego przeciwspadku przy krawężniku, z (na przykład): asfaltu</w:t>
      </w:r>
    </w:p>
    <w:p w:rsidR="00B77F00" w:rsidRDefault="00865FA3">
      <w:pPr>
        <w:pStyle w:val="Standard"/>
        <w:jc w:val="both"/>
        <w:rPr>
          <w:szCs w:val="20"/>
        </w:rPr>
      </w:pPr>
      <w:r>
        <w:rPr>
          <w:szCs w:val="20"/>
        </w:rPr>
        <w:t>lanego MA 11, z polimeroasfaltu PMB 25/55-60 o wymiarach zgodnych z dokumentacją projektową.</w:t>
      </w:r>
    </w:p>
    <w:p w:rsidR="00B77F00" w:rsidRDefault="00B77F00">
      <w:pPr>
        <w:pStyle w:val="Standard"/>
        <w:rPr>
          <w:szCs w:val="20"/>
        </w:rPr>
      </w:pPr>
    </w:p>
    <w:p w:rsidR="00B77F00" w:rsidRDefault="00865FA3">
      <w:pPr>
        <w:pStyle w:val="Standard"/>
        <w:jc w:val="both"/>
        <w:rPr>
          <w:b/>
          <w:bCs/>
          <w:szCs w:val="20"/>
        </w:rPr>
      </w:pPr>
      <w:r>
        <w:rPr>
          <w:b/>
          <w:bCs/>
          <w:szCs w:val="20"/>
        </w:rPr>
        <w:t>8. ODBIÓR ROBÓT</w:t>
      </w:r>
    </w:p>
    <w:p w:rsidR="00B77F00" w:rsidRDefault="00865FA3">
      <w:pPr>
        <w:pStyle w:val="Standard"/>
        <w:jc w:val="both"/>
        <w:rPr>
          <w:szCs w:val="20"/>
        </w:rPr>
      </w:pPr>
      <w:r>
        <w:rPr>
          <w:szCs w:val="20"/>
        </w:rPr>
        <w:t>8.1. Ogólne zasady odbioru robót</w:t>
      </w:r>
    </w:p>
    <w:p w:rsidR="00B77F00" w:rsidRDefault="00865FA3">
      <w:pPr>
        <w:pStyle w:val="Standard"/>
        <w:jc w:val="both"/>
        <w:rPr>
          <w:szCs w:val="20"/>
        </w:rPr>
      </w:pPr>
      <w:r>
        <w:rPr>
          <w:szCs w:val="20"/>
        </w:rPr>
        <w:t xml:space="preserve">Ogólne zasady </w:t>
      </w:r>
      <w:r>
        <w:rPr>
          <w:szCs w:val="20"/>
        </w:rPr>
        <w:t>odbioru robót podano w ST DM.00.00.00 „Wymagania ogólne”.</w:t>
      </w:r>
    </w:p>
    <w:p w:rsidR="00B77F00" w:rsidRDefault="00865FA3">
      <w:pPr>
        <w:pStyle w:val="Standard"/>
        <w:jc w:val="both"/>
        <w:rPr>
          <w:szCs w:val="20"/>
        </w:rPr>
      </w:pPr>
      <w:r>
        <w:rPr>
          <w:szCs w:val="20"/>
        </w:rPr>
        <w:t>Roboty uznaje się za wykonane zgodnie z dokumentacją projektową, ST i wymaganiami Inżyniera, jeżeli wszystkie pomiary i badania z zachowaniem tolerancji wg punktu 6 dały wyniki pozytywne.</w:t>
      </w:r>
    </w:p>
    <w:p w:rsidR="00B77F00" w:rsidRDefault="00865FA3">
      <w:pPr>
        <w:pStyle w:val="Standard"/>
        <w:jc w:val="both"/>
        <w:rPr>
          <w:szCs w:val="20"/>
        </w:rPr>
      </w:pPr>
      <w:r>
        <w:rPr>
          <w:szCs w:val="20"/>
        </w:rPr>
        <w:t>8.2. Dokum</w:t>
      </w:r>
      <w:r>
        <w:rPr>
          <w:szCs w:val="20"/>
        </w:rPr>
        <w:t>enty odbioru robót</w:t>
      </w:r>
    </w:p>
    <w:p w:rsidR="00B77F00" w:rsidRDefault="00865FA3">
      <w:pPr>
        <w:pStyle w:val="Standard"/>
        <w:jc w:val="both"/>
        <w:rPr>
          <w:szCs w:val="20"/>
        </w:rPr>
      </w:pPr>
      <w:r>
        <w:rPr>
          <w:szCs w:val="20"/>
        </w:rPr>
        <w:t>Do odbioru częściowego lub końcowego robót Wykonawca przedłoży Inżynierowi następujące dokumenty:</w:t>
      </w:r>
    </w:p>
    <w:p w:rsidR="00B77F00" w:rsidRDefault="00865FA3">
      <w:pPr>
        <w:pStyle w:val="Standard"/>
        <w:jc w:val="both"/>
        <w:rPr>
          <w:szCs w:val="20"/>
        </w:rPr>
      </w:pPr>
      <w:r>
        <w:rPr>
          <w:szCs w:val="20"/>
        </w:rPr>
        <w:t>– dokumentację projektową</w:t>
      </w:r>
    </w:p>
    <w:p w:rsidR="00B77F00" w:rsidRDefault="00865FA3">
      <w:pPr>
        <w:pStyle w:val="Standard"/>
        <w:jc w:val="both"/>
        <w:rPr>
          <w:szCs w:val="20"/>
        </w:rPr>
      </w:pPr>
      <w:r>
        <w:rPr>
          <w:szCs w:val="20"/>
        </w:rPr>
        <w:t>– recepty mieszanek i ustalenia technologiczne</w:t>
      </w:r>
    </w:p>
    <w:p w:rsidR="00B77F00" w:rsidRDefault="00865FA3">
      <w:pPr>
        <w:pStyle w:val="Standard"/>
        <w:jc w:val="both"/>
        <w:rPr>
          <w:szCs w:val="20"/>
        </w:rPr>
      </w:pPr>
      <w:r>
        <w:rPr>
          <w:szCs w:val="20"/>
        </w:rPr>
        <w:t>– księgi obmiaru robót i dziennik budowy</w:t>
      </w:r>
    </w:p>
    <w:p w:rsidR="00B77F00" w:rsidRDefault="00865FA3">
      <w:pPr>
        <w:pStyle w:val="Standard"/>
        <w:jc w:val="both"/>
        <w:rPr>
          <w:szCs w:val="20"/>
        </w:rPr>
      </w:pPr>
      <w:r>
        <w:rPr>
          <w:szCs w:val="20"/>
        </w:rPr>
        <w:t>– wyniki badań kontrolnyc</w:t>
      </w:r>
      <w:r>
        <w:rPr>
          <w:szCs w:val="20"/>
        </w:rPr>
        <w:t>h i oznaczeń laboratoryjnych</w:t>
      </w:r>
    </w:p>
    <w:p w:rsidR="00B77F00" w:rsidRDefault="00865FA3">
      <w:pPr>
        <w:pStyle w:val="Standard"/>
        <w:jc w:val="both"/>
        <w:rPr>
          <w:szCs w:val="20"/>
        </w:rPr>
      </w:pPr>
      <w:r>
        <w:rPr>
          <w:szCs w:val="20"/>
        </w:rPr>
        <w:t>– sprawozdanie techniczne (zakres i lokalizacja robót, wykaz zmian w stosunku do tych zmian, uwagi dotyczące warunków realizacji, termin rozpoczęcia i zakończenia robót)</w:t>
      </w:r>
    </w:p>
    <w:p w:rsidR="00B77F00" w:rsidRDefault="00865FA3">
      <w:pPr>
        <w:pStyle w:val="Standard"/>
        <w:jc w:val="both"/>
        <w:rPr>
          <w:szCs w:val="20"/>
        </w:rPr>
      </w:pPr>
      <w:r>
        <w:rPr>
          <w:szCs w:val="20"/>
        </w:rPr>
        <w:t>– inne dokumenty wymagane w kontrakcie przez odbierająceg</w:t>
      </w:r>
      <w:r>
        <w:rPr>
          <w:szCs w:val="20"/>
        </w:rPr>
        <w:t>o</w:t>
      </w:r>
    </w:p>
    <w:p w:rsidR="00B77F00" w:rsidRDefault="00865FA3">
      <w:pPr>
        <w:pStyle w:val="Standard"/>
        <w:jc w:val="both"/>
        <w:rPr>
          <w:szCs w:val="20"/>
        </w:rPr>
      </w:pPr>
      <w:r>
        <w:rPr>
          <w:szCs w:val="20"/>
        </w:rPr>
        <w:t>– dokumentację powykonawczą</w:t>
      </w:r>
    </w:p>
    <w:p w:rsidR="00B77F00" w:rsidRDefault="00865FA3">
      <w:pPr>
        <w:pStyle w:val="Standard"/>
        <w:jc w:val="both"/>
        <w:rPr>
          <w:szCs w:val="20"/>
        </w:rPr>
      </w:pPr>
      <w:r>
        <w:rPr>
          <w:szCs w:val="20"/>
        </w:rPr>
        <w:t>8.3. Odstępstwo od wymagań</w:t>
      </w:r>
    </w:p>
    <w:p w:rsidR="00B77F00" w:rsidRDefault="00865FA3">
      <w:pPr>
        <w:pStyle w:val="Standard"/>
        <w:jc w:val="both"/>
        <w:rPr>
          <w:szCs w:val="20"/>
        </w:rPr>
      </w:pPr>
      <w:r>
        <w:rPr>
          <w:szCs w:val="20"/>
        </w:rPr>
        <w:t>Inżynier ocenia jakość robót na podstawie przedłożonych dokumentów, wyników badań i pomiarów oraz po wnikliwej ocenie wizualnej wykonanych robót.</w:t>
      </w:r>
    </w:p>
    <w:p w:rsidR="00B77F00" w:rsidRDefault="00865FA3">
      <w:pPr>
        <w:pStyle w:val="Standard"/>
        <w:jc w:val="both"/>
        <w:rPr>
          <w:szCs w:val="20"/>
        </w:rPr>
      </w:pPr>
      <w:r>
        <w:rPr>
          <w:szCs w:val="20"/>
        </w:rPr>
        <w:t>Jeżeli wg oceny Inżyniera, wykonane roboty pod względ</w:t>
      </w:r>
      <w:r>
        <w:rPr>
          <w:szCs w:val="20"/>
        </w:rPr>
        <w:t>em przygotowania dokumentacyjnego lub zakresu robót nie są gotowe do odbioru, odbierający w porozumieniu z Wykonawcą wyznacza ponowny termin odbioru. Podstawowym dokumentem dokonania odbioru jest protokół.</w:t>
      </w:r>
    </w:p>
    <w:p w:rsidR="00B77F00" w:rsidRDefault="00865FA3">
      <w:pPr>
        <w:pStyle w:val="Standard"/>
        <w:jc w:val="both"/>
        <w:rPr>
          <w:szCs w:val="20"/>
        </w:rPr>
      </w:pPr>
      <w:r>
        <w:rPr>
          <w:szCs w:val="20"/>
        </w:rPr>
        <w:t>Wszystkie uzgodnione roboty poprawkowe i uzupełnia</w:t>
      </w:r>
      <w:r>
        <w:rPr>
          <w:szCs w:val="20"/>
        </w:rPr>
        <w:t>jące powinny zostać spisane i potwierdzone przez obie strony. Wszystkie zmiany dotyczące rodzaju, ilości i technologii mogą zostać uznane tylko po uprzedniej pisemnej zgodzie Inżyniera.</w:t>
      </w:r>
    </w:p>
    <w:p w:rsidR="00B77F00" w:rsidRDefault="00865FA3">
      <w:pPr>
        <w:pStyle w:val="Standard"/>
        <w:jc w:val="both"/>
        <w:rPr>
          <w:szCs w:val="20"/>
        </w:rPr>
      </w:pPr>
      <w:r>
        <w:rPr>
          <w:szCs w:val="20"/>
        </w:rPr>
        <w:t>Inżynier w razie niedotrzymania wartości dopuszczalnych:</w:t>
      </w:r>
    </w:p>
    <w:p w:rsidR="00B77F00" w:rsidRDefault="00865FA3">
      <w:pPr>
        <w:pStyle w:val="Standard"/>
        <w:jc w:val="both"/>
        <w:rPr>
          <w:szCs w:val="20"/>
        </w:rPr>
      </w:pPr>
      <w:r>
        <w:rPr>
          <w:szCs w:val="20"/>
        </w:rPr>
        <w:t xml:space="preserve">– grubości </w:t>
      </w:r>
      <w:r>
        <w:rPr>
          <w:szCs w:val="20"/>
        </w:rPr>
        <w:t>warstwy,</w:t>
      </w:r>
    </w:p>
    <w:p w:rsidR="00B77F00" w:rsidRDefault="00865FA3">
      <w:pPr>
        <w:pStyle w:val="Standard"/>
        <w:jc w:val="both"/>
        <w:rPr>
          <w:szCs w:val="20"/>
        </w:rPr>
      </w:pPr>
      <w:r>
        <w:rPr>
          <w:szCs w:val="20"/>
        </w:rPr>
        <w:t>– ilości zużytego materiału,</w:t>
      </w:r>
    </w:p>
    <w:p w:rsidR="00B77F00" w:rsidRDefault="00865FA3">
      <w:pPr>
        <w:pStyle w:val="Standard"/>
        <w:jc w:val="both"/>
        <w:rPr>
          <w:szCs w:val="20"/>
        </w:rPr>
      </w:pPr>
      <w:r>
        <w:rPr>
          <w:szCs w:val="20"/>
        </w:rPr>
        <w:t>– składu mieszanki mineralnej,</w:t>
      </w:r>
    </w:p>
    <w:p w:rsidR="00B77F00" w:rsidRDefault="00865FA3">
      <w:pPr>
        <w:pStyle w:val="Standard"/>
        <w:jc w:val="both"/>
        <w:rPr>
          <w:szCs w:val="20"/>
        </w:rPr>
      </w:pPr>
      <w:r>
        <w:rPr>
          <w:szCs w:val="20"/>
        </w:rPr>
        <w:t>– zawartości lepiszcza,</w:t>
      </w:r>
    </w:p>
    <w:p w:rsidR="00B77F00" w:rsidRDefault="00865FA3">
      <w:pPr>
        <w:pStyle w:val="Standard"/>
        <w:jc w:val="both"/>
        <w:rPr>
          <w:szCs w:val="20"/>
        </w:rPr>
      </w:pPr>
      <w:r>
        <w:rPr>
          <w:szCs w:val="20"/>
        </w:rPr>
        <w:t>– równości,</w:t>
      </w:r>
    </w:p>
    <w:p w:rsidR="00B77F00" w:rsidRDefault="00865FA3">
      <w:pPr>
        <w:pStyle w:val="Standard"/>
        <w:jc w:val="both"/>
        <w:rPr>
          <w:szCs w:val="20"/>
        </w:rPr>
      </w:pPr>
      <w:r>
        <w:rPr>
          <w:szCs w:val="20"/>
        </w:rPr>
        <w:t>może dokonać potrąceń, o ile Wykonawca wyrazi na to zgodę. Jeżeli Wykonawca nie wyrazi na to zgody, to jest zobowiązany usunąć wady.</w:t>
      </w:r>
    </w:p>
    <w:p w:rsidR="00B77F00" w:rsidRDefault="00865FA3">
      <w:pPr>
        <w:pStyle w:val="Standard"/>
        <w:jc w:val="both"/>
        <w:rPr>
          <w:szCs w:val="20"/>
        </w:rPr>
      </w:pPr>
      <w:r>
        <w:rPr>
          <w:szCs w:val="20"/>
        </w:rPr>
        <w:t xml:space="preserve">8.4. Odbiór robót </w:t>
      </w:r>
      <w:r>
        <w:rPr>
          <w:szCs w:val="20"/>
        </w:rPr>
        <w:t>zanikających i ulegających zakryciu</w:t>
      </w:r>
    </w:p>
    <w:p w:rsidR="00B77F00" w:rsidRDefault="00865FA3">
      <w:pPr>
        <w:pStyle w:val="Standard"/>
        <w:jc w:val="both"/>
        <w:rPr>
          <w:szCs w:val="20"/>
        </w:rPr>
      </w:pPr>
      <w:r>
        <w:rPr>
          <w:szCs w:val="20"/>
        </w:rPr>
        <w:t>Odbiorowi robót zanikających i ulegających zakryciu podlegają:</w:t>
      </w:r>
    </w:p>
    <w:p w:rsidR="00B77F00" w:rsidRDefault="00865FA3">
      <w:pPr>
        <w:pStyle w:val="Standard"/>
        <w:jc w:val="both"/>
        <w:rPr>
          <w:szCs w:val="20"/>
        </w:rPr>
      </w:pPr>
      <w:r>
        <w:rPr>
          <w:szCs w:val="20"/>
        </w:rPr>
        <w:t>- podłoże przygotowane do ułożenia przeciwspadku.</w:t>
      </w:r>
    </w:p>
    <w:p w:rsidR="00B77F00" w:rsidRDefault="00865FA3">
      <w:pPr>
        <w:pStyle w:val="Standard"/>
        <w:jc w:val="both"/>
        <w:rPr>
          <w:szCs w:val="20"/>
        </w:rPr>
      </w:pPr>
      <w:r>
        <w:rPr>
          <w:szCs w:val="20"/>
        </w:rPr>
        <w:t>Odbiór tych robót powinien być zgodny z wymaganiami ST DM.00.00.00 „Wymagania ogólne” oraz ST.</w:t>
      </w:r>
    </w:p>
    <w:p w:rsidR="00B77F00" w:rsidRDefault="00B77F00">
      <w:pPr>
        <w:pStyle w:val="Standard"/>
        <w:jc w:val="both"/>
        <w:rPr>
          <w:szCs w:val="20"/>
        </w:rPr>
      </w:pPr>
    </w:p>
    <w:p w:rsidR="00B77F00" w:rsidRDefault="00865FA3">
      <w:pPr>
        <w:pStyle w:val="Standard"/>
        <w:jc w:val="both"/>
        <w:rPr>
          <w:b/>
          <w:bCs/>
          <w:szCs w:val="20"/>
        </w:rPr>
      </w:pPr>
      <w:r>
        <w:rPr>
          <w:b/>
          <w:bCs/>
          <w:szCs w:val="20"/>
        </w:rPr>
        <w:t>9. PODSTAWA</w:t>
      </w:r>
      <w:r>
        <w:rPr>
          <w:b/>
          <w:bCs/>
          <w:szCs w:val="20"/>
        </w:rPr>
        <w:t xml:space="preserve"> PŁATNOŚCI</w:t>
      </w:r>
    </w:p>
    <w:p w:rsidR="00B77F00" w:rsidRDefault="00865FA3">
      <w:pPr>
        <w:pStyle w:val="Standard"/>
        <w:jc w:val="both"/>
        <w:rPr>
          <w:szCs w:val="20"/>
        </w:rPr>
      </w:pPr>
      <w:r>
        <w:rPr>
          <w:szCs w:val="20"/>
        </w:rPr>
        <w:t>9.1. Ogólne ustalenia dotyczące podstawy płatności</w:t>
      </w:r>
    </w:p>
    <w:p w:rsidR="00B77F00" w:rsidRDefault="00865FA3">
      <w:pPr>
        <w:pStyle w:val="Standard"/>
        <w:jc w:val="both"/>
        <w:rPr>
          <w:szCs w:val="20"/>
        </w:rPr>
      </w:pPr>
      <w:r>
        <w:rPr>
          <w:szCs w:val="20"/>
        </w:rPr>
        <w:lastRenderedPageBreak/>
        <w:t>Ogólne ustalenia dotyczące podstawy płatności podano w ST DM.00.00.00 „Wymagania ogólne”.</w:t>
      </w:r>
    </w:p>
    <w:p w:rsidR="00B77F00" w:rsidRDefault="00865FA3">
      <w:pPr>
        <w:pStyle w:val="Standard"/>
        <w:jc w:val="both"/>
        <w:rPr>
          <w:szCs w:val="20"/>
        </w:rPr>
      </w:pPr>
      <w:r>
        <w:rPr>
          <w:szCs w:val="20"/>
        </w:rPr>
        <w:t>Podstawą płatności jest ilość wykonanych i odebranych jednostek obmiarowych pomnożona przez cenę jednost</w:t>
      </w:r>
      <w:r>
        <w:rPr>
          <w:szCs w:val="20"/>
        </w:rPr>
        <w:t>kową ujętą w kosztorysie ofertowym Wykonawcy</w:t>
      </w:r>
    </w:p>
    <w:p w:rsidR="00B77F00" w:rsidRDefault="00865FA3">
      <w:pPr>
        <w:pStyle w:val="Standard"/>
        <w:jc w:val="both"/>
        <w:rPr>
          <w:szCs w:val="20"/>
        </w:rPr>
      </w:pPr>
      <w:r>
        <w:rPr>
          <w:szCs w:val="20"/>
        </w:rPr>
        <w:t>9.2. Cena jednostki obmiarowej</w:t>
      </w:r>
    </w:p>
    <w:p w:rsidR="00B77F00" w:rsidRDefault="00865FA3">
      <w:pPr>
        <w:pStyle w:val="Standard"/>
        <w:jc w:val="both"/>
        <w:rPr>
          <w:szCs w:val="20"/>
        </w:rPr>
      </w:pPr>
      <w:r>
        <w:rPr>
          <w:szCs w:val="20"/>
        </w:rPr>
        <w:t>Cena wykonania 1 m przeciwspadku przy krawężniku, z (na przykład) asfaltu lanego MA 11, z polimeroasfaltu PMB 25/55-60 obejmuje:</w:t>
      </w:r>
    </w:p>
    <w:p w:rsidR="00B77F00" w:rsidRDefault="00865FA3">
      <w:pPr>
        <w:pStyle w:val="Standard"/>
        <w:jc w:val="both"/>
        <w:rPr>
          <w:szCs w:val="20"/>
        </w:rPr>
      </w:pPr>
      <w:r>
        <w:rPr>
          <w:szCs w:val="20"/>
        </w:rPr>
        <w:t>– opracowanie recepty laboratoryjnej mieszanki mine</w:t>
      </w:r>
      <w:r>
        <w:rPr>
          <w:szCs w:val="20"/>
        </w:rPr>
        <w:t>ralno-asfaltowej,</w:t>
      </w:r>
    </w:p>
    <w:p w:rsidR="00B77F00" w:rsidRDefault="00865FA3">
      <w:pPr>
        <w:pStyle w:val="Standard"/>
        <w:jc w:val="both"/>
        <w:rPr>
          <w:szCs w:val="20"/>
        </w:rPr>
      </w:pPr>
      <w:r>
        <w:rPr>
          <w:szCs w:val="20"/>
        </w:rPr>
        <w:t>– zakup, załadunek, transport i składowanie na budowie niezbędnych materiałów,</w:t>
      </w:r>
    </w:p>
    <w:p w:rsidR="00B77F00" w:rsidRDefault="00865FA3">
      <w:pPr>
        <w:pStyle w:val="Standard"/>
        <w:jc w:val="both"/>
        <w:rPr>
          <w:szCs w:val="20"/>
        </w:rPr>
      </w:pPr>
      <w:r>
        <w:rPr>
          <w:szCs w:val="20"/>
        </w:rPr>
        <w:t>– zakup i dostarczenie pozostałych czynników produkcji,</w:t>
      </w:r>
    </w:p>
    <w:p w:rsidR="00B77F00" w:rsidRDefault="00865FA3">
      <w:pPr>
        <w:pStyle w:val="Standard"/>
        <w:jc w:val="both"/>
        <w:rPr>
          <w:szCs w:val="20"/>
        </w:rPr>
      </w:pPr>
      <w:r>
        <w:rPr>
          <w:szCs w:val="20"/>
        </w:rPr>
        <w:t>– prace pomiarowe,</w:t>
      </w:r>
    </w:p>
    <w:p w:rsidR="00B77F00" w:rsidRDefault="00865FA3">
      <w:pPr>
        <w:pStyle w:val="Standard"/>
        <w:jc w:val="both"/>
        <w:rPr>
          <w:szCs w:val="20"/>
        </w:rPr>
      </w:pPr>
      <w:r>
        <w:rPr>
          <w:szCs w:val="20"/>
        </w:rPr>
        <w:t>--  oznakowanie robót,</w:t>
      </w:r>
    </w:p>
    <w:p w:rsidR="00B77F00" w:rsidRDefault="00865FA3">
      <w:pPr>
        <w:pStyle w:val="Standard"/>
        <w:jc w:val="both"/>
        <w:rPr>
          <w:szCs w:val="20"/>
        </w:rPr>
      </w:pPr>
      <w:r>
        <w:rPr>
          <w:szCs w:val="20"/>
        </w:rPr>
        <w:t>– przygotowanie (oczyszczenie) podłoża (warstwy wiążącej),</w:t>
      </w:r>
    </w:p>
    <w:p w:rsidR="00B77F00" w:rsidRDefault="00865FA3">
      <w:pPr>
        <w:pStyle w:val="Standard"/>
        <w:jc w:val="both"/>
        <w:rPr>
          <w:szCs w:val="20"/>
        </w:rPr>
      </w:pPr>
      <w:r>
        <w:rPr>
          <w:szCs w:val="20"/>
        </w:rPr>
        <w:t xml:space="preserve">– </w:t>
      </w:r>
      <w:r>
        <w:rPr>
          <w:szCs w:val="20"/>
        </w:rPr>
        <w:t>wykonanie przeciwspadku określonej grubości,</w:t>
      </w:r>
    </w:p>
    <w:p w:rsidR="00B77F00" w:rsidRDefault="00865FA3">
      <w:pPr>
        <w:pStyle w:val="Standard"/>
        <w:jc w:val="both"/>
        <w:rPr>
          <w:szCs w:val="20"/>
        </w:rPr>
      </w:pPr>
      <w:r>
        <w:rPr>
          <w:szCs w:val="20"/>
        </w:rPr>
        <w:t>– posmarowanie lepiszczem lub pokrycie taśmą asfaltową krawędzi urządzeń obcych i krawężników,</w:t>
      </w:r>
    </w:p>
    <w:p w:rsidR="00B77F00" w:rsidRDefault="00865FA3">
      <w:pPr>
        <w:pStyle w:val="Standard"/>
        <w:jc w:val="both"/>
        <w:rPr>
          <w:szCs w:val="20"/>
        </w:rPr>
      </w:pPr>
      <w:r>
        <w:rPr>
          <w:szCs w:val="20"/>
        </w:rPr>
        <w:t>– wykonanie złączy,</w:t>
      </w:r>
    </w:p>
    <w:p w:rsidR="00B77F00" w:rsidRDefault="00865FA3">
      <w:pPr>
        <w:pStyle w:val="Standard"/>
        <w:jc w:val="both"/>
        <w:rPr>
          <w:szCs w:val="20"/>
        </w:rPr>
      </w:pPr>
      <w:r>
        <w:rPr>
          <w:szCs w:val="20"/>
        </w:rPr>
        <w:t>– wykonanie badań kontrolnych,</w:t>
      </w:r>
    </w:p>
    <w:p w:rsidR="00B77F00" w:rsidRDefault="00865FA3">
      <w:pPr>
        <w:pStyle w:val="Standard"/>
        <w:jc w:val="both"/>
        <w:rPr>
          <w:szCs w:val="20"/>
        </w:rPr>
      </w:pPr>
      <w:r>
        <w:rPr>
          <w:szCs w:val="20"/>
        </w:rPr>
        <w:t>– oczyszczenie terenu robót.</w:t>
      </w:r>
    </w:p>
    <w:p w:rsidR="00B77F00" w:rsidRDefault="00865FA3">
      <w:pPr>
        <w:pStyle w:val="Standard"/>
        <w:jc w:val="both"/>
        <w:rPr>
          <w:szCs w:val="20"/>
        </w:rPr>
      </w:pPr>
      <w:r>
        <w:rPr>
          <w:szCs w:val="20"/>
        </w:rPr>
        <w:t xml:space="preserve">9.3. Sposób rozliczenia robót </w:t>
      </w:r>
      <w:r>
        <w:rPr>
          <w:szCs w:val="20"/>
        </w:rPr>
        <w:t>tymczasowych i prac towarzyszących</w:t>
      </w:r>
    </w:p>
    <w:p w:rsidR="00B77F00" w:rsidRDefault="00865FA3">
      <w:pPr>
        <w:pStyle w:val="Standard"/>
        <w:jc w:val="both"/>
        <w:rPr>
          <w:szCs w:val="20"/>
        </w:rPr>
      </w:pPr>
      <w:r>
        <w:rPr>
          <w:szCs w:val="20"/>
        </w:rPr>
        <w:t>Cena wykonania robót określonych niniejszą ST obejmuje:</w:t>
      </w:r>
    </w:p>
    <w:p w:rsidR="00B77F00" w:rsidRDefault="00865FA3">
      <w:pPr>
        <w:pStyle w:val="Standard"/>
        <w:jc w:val="both"/>
        <w:rPr>
          <w:szCs w:val="20"/>
        </w:rPr>
      </w:pPr>
      <w:r>
        <w:rPr>
          <w:szCs w:val="20"/>
        </w:rPr>
        <w:t>– roboty tymczasowe, które są potrzebne do wykonania robót podstawowych, ale nie są przekazywane Zamawiającemu i są usuwane po wykonaniu robót podstawowych,</w:t>
      </w:r>
    </w:p>
    <w:p w:rsidR="00B77F00" w:rsidRDefault="00865FA3">
      <w:pPr>
        <w:pStyle w:val="Standard"/>
        <w:jc w:val="both"/>
        <w:rPr>
          <w:szCs w:val="20"/>
        </w:rPr>
      </w:pPr>
      <w:r>
        <w:rPr>
          <w:szCs w:val="20"/>
        </w:rPr>
        <w:t xml:space="preserve">– prace </w:t>
      </w:r>
      <w:r>
        <w:rPr>
          <w:szCs w:val="20"/>
        </w:rPr>
        <w:t>towarzyszące, które są niezbędne do wykonania robót podstawowych, niezaliczane do robót tymczasowych.</w:t>
      </w:r>
    </w:p>
    <w:p w:rsidR="00B77F00" w:rsidRDefault="00B77F00">
      <w:pPr>
        <w:pStyle w:val="Standard"/>
        <w:rPr>
          <w:szCs w:val="20"/>
        </w:rPr>
      </w:pPr>
    </w:p>
    <w:p w:rsidR="00B77F00" w:rsidRDefault="00865FA3">
      <w:pPr>
        <w:pStyle w:val="Standard"/>
        <w:jc w:val="both"/>
        <w:rPr>
          <w:b/>
          <w:bCs/>
          <w:szCs w:val="20"/>
        </w:rPr>
      </w:pPr>
      <w:r>
        <w:rPr>
          <w:b/>
          <w:bCs/>
          <w:szCs w:val="20"/>
        </w:rPr>
        <w:t>10. PRZEPISY ZWIĄZANE</w:t>
      </w:r>
    </w:p>
    <w:p w:rsidR="00B77F00" w:rsidRDefault="00865FA3">
      <w:pPr>
        <w:pStyle w:val="Standard"/>
        <w:jc w:val="both"/>
        <w:rPr>
          <w:szCs w:val="20"/>
        </w:rPr>
      </w:pPr>
      <w:r>
        <w:rPr>
          <w:szCs w:val="20"/>
        </w:rPr>
        <w:t>1. D-M-00.00.00 Wymagania ogólne</w:t>
      </w:r>
    </w:p>
    <w:p w:rsidR="00B77F00" w:rsidRDefault="00865FA3">
      <w:pPr>
        <w:pStyle w:val="Standard"/>
        <w:jc w:val="both"/>
        <w:rPr>
          <w:szCs w:val="20"/>
        </w:rPr>
      </w:pPr>
      <w:r>
        <w:rPr>
          <w:szCs w:val="20"/>
        </w:rPr>
        <w:t>10.2. Normy</w:t>
      </w:r>
    </w:p>
    <w:p w:rsidR="00B77F00" w:rsidRDefault="00865FA3">
      <w:pPr>
        <w:pStyle w:val="Standard"/>
        <w:jc w:val="both"/>
        <w:rPr>
          <w:szCs w:val="20"/>
        </w:rPr>
      </w:pPr>
      <w:r>
        <w:rPr>
          <w:szCs w:val="20"/>
        </w:rPr>
        <w:t>2. PN-EN 932-3:1999 - Badania podstawowych właściwości kruszyw – Procedura i terminolo</w:t>
      </w:r>
      <w:r>
        <w:rPr>
          <w:szCs w:val="20"/>
        </w:rPr>
        <w:t>gia uproszczonego opisu petrograficznego.</w:t>
      </w:r>
    </w:p>
    <w:p w:rsidR="00B77F00" w:rsidRDefault="00865FA3">
      <w:pPr>
        <w:pStyle w:val="Standard"/>
        <w:jc w:val="both"/>
        <w:rPr>
          <w:szCs w:val="20"/>
        </w:rPr>
      </w:pPr>
      <w:r>
        <w:rPr>
          <w:szCs w:val="20"/>
        </w:rPr>
        <w:t>3. PN-EN 933-1:2000 - Badania geometryczne właściwości kruszyw – Oznaczanie składu ziarnowego – Metoda przesiewania.</w:t>
      </w:r>
    </w:p>
    <w:p w:rsidR="00B77F00" w:rsidRDefault="00865FA3">
      <w:pPr>
        <w:pStyle w:val="Standard"/>
        <w:jc w:val="both"/>
        <w:rPr>
          <w:szCs w:val="20"/>
        </w:rPr>
      </w:pPr>
      <w:r>
        <w:rPr>
          <w:szCs w:val="20"/>
        </w:rPr>
        <w:t>4. PN-EN 933-3:1999 - Badania geometryczne właściwości kruszyw – Oznaczanie kształtu ziaren za po</w:t>
      </w:r>
      <w:r>
        <w:rPr>
          <w:szCs w:val="20"/>
        </w:rPr>
        <w:t>mocą wskaźnika płaskości.</w:t>
      </w:r>
    </w:p>
    <w:p w:rsidR="00B77F00" w:rsidRDefault="00865FA3">
      <w:pPr>
        <w:pStyle w:val="Standard"/>
        <w:jc w:val="both"/>
        <w:rPr>
          <w:szCs w:val="20"/>
        </w:rPr>
      </w:pPr>
      <w:r>
        <w:rPr>
          <w:szCs w:val="20"/>
        </w:rPr>
        <w:t>5. PN-EN 933-4:2001- Badania geometryczne właściwości kruszyw – Część 4: Oznaczanie kształtu ziaren – Wskaźnik kształtu.</w:t>
      </w:r>
    </w:p>
    <w:p w:rsidR="00B77F00" w:rsidRDefault="00865FA3">
      <w:pPr>
        <w:pStyle w:val="Standard"/>
        <w:jc w:val="both"/>
        <w:rPr>
          <w:szCs w:val="20"/>
        </w:rPr>
      </w:pPr>
      <w:r>
        <w:rPr>
          <w:szCs w:val="20"/>
        </w:rPr>
        <w:t>6. PN-EN 933-5:2000 - Badania geometryczne właściwości kruszyw – Oznaczanie procentowej zawartości ziaren o p</w:t>
      </w:r>
      <w:r>
        <w:rPr>
          <w:szCs w:val="20"/>
        </w:rPr>
        <w:t>owierzchniach powstałych w wyniku przekruszenia lub łamania kruszyw grubych.</w:t>
      </w:r>
    </w:p>
    <w:p w:rsidR="00B77F00" w:rsidRDefault="00865FA3">
      <w:pPr>
        <w:pStyle w:val="Standard"/>
        <w:jc w:val="both"/>
        <w:rPr>
          <w:szCs w:val="20"/>
        </w:rPr>
      </w:pPr>
      <w:r>
        <w:rPr>
          <w:szCs w:val="20"/>
        </w:rPr>
        <w:t>7. PN-EN 933-6:2002 - Badania geometryczne właściwości kruszyw – Część 6: Ocena właściwości powierzchni – Wskaźnik przepływu kruszywa.</w:t>
      </w:r>
    </w:p>
    <w:p w:rsidR="00B77F00" w:rsidRDefault="00865FA3">
      <w:pPr>
        <w:pStyle w:val="Standard"/>
        <w:jc w:val="both"/>
        <w:rPr>
          <w:szCs w:val="20"/>
        </w:rPr>
      </w:pPr>
      <w:r>
        <w:rPr>
          <w:szCs w:val="20"/>
        </w:rPr>
        <w:t>8. PN-EN 933-9:2002 - Badania geometryczne w</w:t>
      </w:r>
      <w:r>
        <w:rPr>
          <w:szCs w:val="20"/>
        </w:rPr>
        <w:t>łaściwości kruszyw – Ocena zawartości drobnych cząstek – Badania błękitem metylenowym.</w:t>
      </w:r>
    </w:p>
    <w:p w:rsidR="00B77F00" w:rsidRDefault="00865FA3">
      <w:pPr>
        <w:pStyle w:val="Standard"/>
        <w:jc w:val="both"/>
        <w:rPr>
          <w:szCs w:val="20"/>
        </w:rPr>
      </w:pPr>
      <w:r>
        <w:rPr>
          <w:szCs w:val="20"/>
        </w:rPr>
        <w:t>9. PN-EN 933-10:2002 - Badania geometryczne właściwości kruszyw – Część 10: Ocena zawartości drobnych cząstek – Uziarnienie wypełniaczy (przesiewanie w strumieniu powiet</w:t>
      </w:r>
      <w:r>
        <w:rPr>
          <w:szCs w:val="20"/>
        </w:rPr>
        <w:t>rza).</w:t>
      </w:r>
    </w:p>
    <w:p w:rsidR="00B77F00" w:rsidRDefault="00865FA3">
      <w:pPr>
        <w:pStyle w:val="Standard"/>
        <w:jc w:val="both"/>
        <w:rPr>
          <w:szCs w:val="20"/>
        </w:rPr>
      </w:pPr>
      <w:r>
        <w:rPr>
          <w:szCs w:val="20"/>
        </w:rPr>
        <w:t>10. PN-EN 1097-2:2000 - Badania mechanicznych i fizycznych właściwości kruszyw – Metody oznaczania odporności na rozdrabnianie.</w:t>
      </w:r>
    </w:p>
    <w:p w:rsidR="00B77F00" w:rsidRDefault="00865FA3">
      <w:pPr>
        <w:pStyle w:val="Standard"/>
        <w:jc w:val="both"/>
        <w:rPr>
          <w:szCs w:val="20"/>
        </w:rPr>
      </w:pPr>
      <w:r>
        <w:rPr>
          <w:szCs w:val="20"/>
        </w:rPr>
        <w:t>11. PN-EN 1097-3:2000 - Badania mechanicznych i fizycznych właściwości kruszyw – Oznaczanie gęstości nasypowej i jamistośc</w:t>
      </w:r>
      <w:r>
        <w:rPr>
          <w:szCs w:val="20"/>
        </w:rPr>
        <w:t>i.</w:t>
      </w:r>
    </w:p>
    <w:p w:rsidR="00B77F00" w:rsidRDefault="00865FA3">
      <w:pPr>
        <w:pStyle w:val="Standard"/>
        <w:jc w:val="both"/>
        <w:rPr>
          <w:szCs w:val="20"/>
        </w:rPr>
      </w:pPr>
      <w:r>
        <w:rPr>
          <w:szCs w:val="20"/>
        </w:rPr>
        <w:t>12. PN-EN 1097-4:2002 - Badania mechanicznych i fizycznych właściwości kruszyw – Część 4: Oznaczanie pustych przestrzeni suchego, zagęszczonego wypełniacza.</w:t>
      </w:r>
    </w:p>
    <w:p w:rsidR="00B77F00" w:rsidRDefault="00865FA3">
      <w:pPr>
        <w:pStyle w:val="Standard"/>
        <w:jc w:val="both"/>
        <w:rPr>
          <w:szCs w:val="20"/>
        </w:rPr>
      </w:pPr>
      <w:r>
        <w:rPr>
          <w:szCs w:val="20"/>
        </w:rPr>
        <w:t>13. PN-EN 1097-5:2001 Badania mechanicznych i fizycznych właściwości kruszyw – Część 5: Oznaczan</w:t>
      </w:r>
      <w:r>
        <w:rPr>
          <w:szCs w:val="20"/>
        </w:rPr>
        <w:t>ie zawartości wody przez suszenie w suszarce z wentylacją.</w:t>
      </w:r>
    </w:p>
    <w:p w:rsidR="00B77F00" w:rsidRDefault="00865FA3">
      <w:pPr>
        <w:pStyle w:val="Standard"/>
        <w:jc w:val="both"/>
        <w:rPr>
          <w:szCs w:val="20"/>
        </w:rPr>
      </w:pPr>
      <w:r>
        <w:rPr>
          <w:szCs w:val="20"/>
        </w:rPr>
        <w:t>14. PN-EN 1097-6:2002 - Badania mechanicznych i fizycznych właściwości kruszyw – Część 6: Oznaczanie gęstości ziaren i nasiąkliwości.</w:t>
      </w:r>
    </w:p>
    <w:p w:rsidR="00B77F00" w:rsidRDefault="00865FA3">
      <w:pPr>
        <w:pStyle w:val="Standard"/>
        <w:jc w:val="both"/>
        <w:rPr>
          <w:szCs w:val="20"/>
        </w:rPr>
      </w:pPr>
      <w:r>
        <w:rPr>
          <w:szCs w:val="20"/>
        </w:rPr>
        <w:t>15. PN-EN 1097-7:2001 - Badania mechanicznych i fizycznych właś</w:t>
      </w:r>
      <w:r>
        <w:rPr>
          <w:szCs w:val="20"/>
        </w:rPr>
        <w:t>ciwości kruszyw – Część 7: Oznaczanie gęstości wypełniacza – Metoda piknometryczna.</w:t>
      </w:r>
    </w:p>
    <w:p w:rsidR="00B77F00" w:rsidRDefault="00865FA3">
      <w:pPr>
        <w:pStyle w:val="Standard"/>
        <w:jc w:val="both"/>
        <w:rPr>
          <w:szCs w:val="20"/>
        </w:rPr>
      </w:pPr>
      <w:r>
        <w:rPr>
          <w:szCs w:val="20"/>
        </w:rPr>
        <w:t>16. PN-EN 1097-8:2002 - Badania mechanicznych i fizycznych właściwości kruszyw – Część 8: Oznaczanie polerowalności kamienia.</w:t>
      </w:r>
    </w:p>
    <w:p w:rsidR="00B77F00" w:rsidRDefault="00865FA3">
      <w:pPr>
        <w:pStyle w:val="Standard"/>
        <w:jc w:val="both"/>
        <w:rPr>
          <w:szCs w:val="20"/>
        </w:rPr>
      </w:pPr>
      <w:r>
        <w:rPr>
          <w:szCs w:val="20"/>
        </w:rPr>
        <w:t>17. PN-EN 12591:2010 - Asfalty i lepiszcza asf</w:t>
      </w:r>
      <w:r>
        <w:rPr>
          <w:szCs w:val="20"/>
        </w:rPr>
        <w:t>altowe. Wymagania dla asfaltów drogowych</w:t>
      </w:r>
    </w:p>
    <w:p w:rsidR="00B77F00" w:rsidRDefault="00865FA3">
      <w:pPr>
        <w:pStyle w:val="Standard"/>
        <w:jc w:val="both"/>
        <w:rPr>
          <w:szCs w:val="20"/>
        </w:rPr>
      </w:pPr>
      <w:r>
        <w:rPr>
          <w:szCs w:val="20"/>
        </w:rPr>
        <w:lastRenderedPageBreak/>
        <w:t>18. PN-EN 1367-3:2002 - Badania właściwości cieplnych i odporności kruszyw na działanie czynników atmosferycznych – Część 3: Badanie bazaltowej zgorzeli słonecznej metodą gotowania.</w:t>
      </w:r>
    </w:p>
    <w:p w:rsidR="00B77F00" w:rsidRDefault="00865FA3">
      <w:pPr>
        <w:pStyle w:val="Standard"/>
        <w:jc w:val="both"/>
        <w:rPr>
          <w:szCs w:val="20"/>
        </w:rPr>
      </w:pPr>
      <w:r>
        <w:rPr>
          <w:szCs w:val="20"/>
        </w:rPr>
        <w:t>19. PN-EN 1744-1:2000 - Badania c</w:t>
      </w:r>
      <w:r>
        <w:rPr>
          <w:szCs w:val="20"/>
        </w:rPr>
        <w:t>hemicznych właściwości kruszyw – Analiza chemiczna.</w:t>
      </w:r>
    </w:p>
    <w:p w:rsidR="00B77F00" w:rsidRDefault="00865FA3">
      <w:pPr>
        <w:pStyle w:val="Standard"/>
        <w:jc w:val="both"/>
        <w:rPr>
          <w:szCs w:val="20"/>
        </w:rPr>
      </w:pPr>
      <w:r>
        <w:rPr>
          <w:szCs w:val="20"/>
        </w:rPr>
        <w:t>20. PN-EN 12697-1:2005 - Mieszanki mineralno-asfaltowe – Metody badań mieszanek mineralno-asfaltowych na gorąco – Część 1: Zawartość lepiszcza rozpuszczalnego</w:t>
      </w:r>
    </w:p>
    <w:p w:rsidR="00B77F00" w:rsidRDefault="00865FA3">
      <w:pPr>
        <w:pStyle w:val="Standard"/>
        <w:jc w:val="both"/>
        <w:rPr>
          <w:szCs w:val="20"/>
        </w:rPr>
      </w:pPr>
      <w:r>
        <w:rPr>
          <w:szCs w:val="20"/>
        </w:rPr>
        <w:t>21. PN-EN 1367-6:2008 - Badania właściwości c</w:t>
      </w:r>
      <w:r>
        <w:rPr>
          <w:szCs w:val="20"/>
        </w:rPr>
        <w:t>ieplnych i odporności kruszyw na działania czynników atmosferycznych – Część 6: Mrozoodporność w obecności soli</w:t>
      </w:r>
    </w:p>
    <w:p w:rsidR="00B77F00" w:rsidRDefault="00865FA3">
      <w:pPr>
        <w:pStyle w:val="Standard"/>
        <w:jc w:val="both"/>
        <w:rPr>
          <w:szCs w:val="20"/>
        </w:rPr>
      </w:pPr>
      <w:r>
        <w:rPr>
          <w:szCs w:val="20"/>
        </w:rPr>
        <w:t xml:space="preserve">22. PN-EN 12697-36:2005 - Mieszanki mineralno-asfaltowe_Metody badań mieszanek mineralno- asfaltowych na gorąco - Część 36: Oznaczanie grubości </w:t>
      </w:r>
      <w:r>
        <w:rPr>
          <w:szCs w:val="20"/>
        </w:rPr>
        <w:t>nawierzchni asfalowych</w:t>
      </w:r>
    </w:p>
    <w:p w:rsidR="00B77F00" w:rsidRDefault="00865FA3">
      <w:pPr>
        <w:pStyle w:val="Standard"/>
        <w:jc w:val="both"/>
        <w:rPr>
          <w:szCs w:val="20"/>
        </w:rPr>
      </w:pPr>
      <w:r>
        <w:rPr>
          <w:szCs w:val="20"/>
        </w:rPr>
        <w:t>23. PN-EN 13108-21:2008 - Mieszanki mineralno-asfaltowe-Wymagania-Część 21: Zakładowa Kontrola Produkcji</w:t>
      </w:r>
    </w:p>
    <w:p w:rsidR="00B77F00" w:rsidRDefault="00865FA3">
      <w:pPr>
        <w:pStyle w:val="Standard"/>
        <w:jc w:val="both"/>
        <w:rPr>
          <w:szCs w:val="20"/>
        </w:rPr>
      </w:pPr>
      <w:r>
        <w:rPr>
          <w:szCs w:val="20"/>
        </w:rPr>
        <w:t>24. PN-EN 13108-20:2008 - Mieszanki mineralno-asfaltowe-Wymagania-Część 20:Badanie typu</w:t>
      </w:r>
    </w:p>
    <w:p w:rsidR="00B77F00" w:rsidRDefault="00865FA3">
      <w:pPr>
        <w:pStyle w:val="Standard"/>
        <w:jc w:val="both"/>
        <w:rPr>
          <w:szCs w:val="20"/>
        </w:rPr>
      </w:pPr>
      <w:r>
        <w:rPr>
          <w:szCs w:val="20"/>
        </w:rPr>
        <w:t>25. PN-EN 12697-11:2009 - Mieszanki min</w:t>
      </w:r>
      <w:r>
        <w:rPr>
          <w:szCs w:val="20"/>
        </w:rPr>
        <w:t>eralno-asfaltowe – Metody badań mieszanek mineralno-</w:t>
      </w:r>
    </w:p>
    <w:p w:rsidR="00B77F00" w:rsidRDefault="00865FA3">
      <w:pPr>
        <w:pStyle w:val="Standard"/>
        <w:jc w:val="both"/>
        <w:rPr>
          <w:szCs w:val="20"/>
        </w:rPr>
      </w:pPr>
      <w:r>
        <w:rPr>
          <w:szCs w:val="20"/>
        </w:rPr>
        <w:t>asfaltowych na gorąco – Część 11: Oznaczanie powinowactwa pomiędzy kruszywem i asfaltem</w:t>
      </w:r>
    </w:p>
    <w:p w:rsidR="00B77F00" w:rsidRDefault="00865FA3">
      <w:pPr>
        <w:pStyle w:val="Standard"/>
        <w:jc w:val="both"/>
        <w:rPr>
          <w:szCs w:val="20"/>
        </w:rPr>
      </w:pPr>
      <w:r>
        <w:rPr>
          <w:szCs w:val="20"/>
        </w:rPr>
        <w:t>26. PN-EN 13808:2010 - Asfalty i lepiszcza asfaltowe – Zasady klasyfikacji kationowych emulsji asfaltowych</w:t>
      </w:r>
    </w:p>
    <w:p w:rsidR="00B77F00" w:rsidRDefault="00865FA3">
      <w:pPr>
        <w:pStyle w:val="Standard"/>
        <w:jc w:val="both"/>
        <w:rPr>
          <w:szCs w:val="20"/>
        </w:rPr>
      </w:pPr>
      <w:r>
        <w:rPr>
          <w:szCs w:val="20"/>
        </w:rPr>
        <w:t>27. PN-E</w:t>
      </w:r>
      <w:r>
        <w:rPr>
          <w:szCs w:val="20"/>
        </w:rPr>
        <w:t>N 1427:2009 - Asfalty i lepiszcza asfaltowe – Oznaczanie temperatury mięknienia – Metoda Pierścień i Kula</w:t>
      </w:r>
    </w:p>
    <w:p w:rsidR="00B77F00" w:rsidRDefault="00865FA3">
      <w:pPr>
        <w:pStyle w:val="Standard"/>
        <w:jc w:val="both"/>
        <w:rPr>
          <w:szCs w:val="20"/>
        </w:rPr>
      </w:pPr>
      <w:r>
        <w:rPr>
          <w:szCs w:val="20"/>
        </w:rPr>
        <w:t>28. PN-EN 1426:2009 - Asfalty i lepiszcza asfaltowe – Oznaczanie penetracji igłą</w:t>
      </w:r>
    </w:p>
    <w:p w:rsidR="00B77F00" w:rsidRDefault="00865FA3">
      <w:pPr>
        <w:pStyle w:val="Standard"/>
        <w:jc w:val="both"/>
        <w:rPr>
          <w:szCs w:val="20"/>
        </w:rPr>
      </w:pPr>
      <w:r>
        <w:rPr>
          <w:szCs w:val="20"/>
        </w:rPr>
        <w:t>29. PN-EN 12607-1:2009 - Asfalty i lepiszcza asfaltowe – Oznaczanie o</w:t>
      </w:r>
      <w:r>
        <w:rPr>
          <w:szCs w:val="20"/>
        </w:rPr>
        <w:t>dporności na twardnienie pod wpływem ciepła i powietrza – Część 1: Metoda RTFOT</w:t>
      </w:r>
    </w:p>
    <w:p w:rsidR="00B77F00" w:rsidRDefault="00865FA3">
      <w:pPr>
        <w:pStyle w:val="Standard"/>
        <w:jc w:val="both"/>
        <w:rPr>
          <w:szCs w:val="20"/>
        </w:rPr>
      </w:pPr>
      <w:r>
        <w:rPr>
          <w:szCs w:val="20"/>
        </w:rPr>
        <w:t>30. PN-EN 12607-3:2010 - Asfalty i lepiszcza asfaltowe – Oznaczanie odporności na starzenie pod wpływem ciepła i powietrza – Część 3: Metoda RFT</w:t>
      </w:r>
    </w:p>
    <w:p w:rsidR="00B77F00" w:rsidRDefault="00865FA3">
      <w:pPr>
        <w:pStyle w:val="Standard"/>
        <w:jc w:val="both"/>
        <w:rPr>
          <w:szCs w:val="20"/>
        </w:rPr>
      </w:pPr>
      <w:r>
        <w:rPr>
          <w:szCs w:val="20"/>
        </w:rPr>
        <w:t>31. PN-EN ISO 2592:2008 - Oznac</w:t>
      </w:r>
      <w:r>
        <w:rPr>
          <w:szCs w:val="20"/>
        </w:rPr>
        <w:t>zanie temperatury zapłonu i palenia – Metoda otwartego tygla Clevelanda</w:t>
      </w:r>
    </w:p>
    <w:p w:rsidR="00B77F00" w:rsidRDefault="00865FA3">
      <w:pPr>
        <w:pStyle w:val="Standard"/>
        <w:jc w:val="both"/>
        <w:rPr>
          <w:szCs w:val="20"/>
        </w:rPr>
      </w:pPr>
      <w:r>
        <w:rPr>
          <w:szCs w:val="20"/>
        </w:rPr>
        <w:t>32. PN-EN 14023:2009 - Asfalty i lepiszcza asfaltowe – Zasady klasyfikacji asfaltów modyfikowanych polimerami</w:t>
      </w:r>
    </w:p>
    <w:p w:rsidR="00B77F00" w:rsidRDefault="00865FA3">
      <w:pPr>
        <w:pStyle w:val="Standard"/>
        <w:jc w:val="both"/>
        <w:rPr>
          <w:szCs w:val="20"/>
        </w:rPr>
      </w:pPr>
      <w:r>
        <w:rPr>
          <w:szCs w:val="20"/>
        </w:rPr>
        <w:t>33. PN-EN 13043:2004 - Kruszywa do mieszanek bitumicznych i powierzchniowy</w:t>
      </w:r>
      <w:r>
        <w:rPr>
          <w:szCs w:val="20"/>
        </w:rPr>
        <w:t>ch utrwaleń stosowanych na drogach, lotniskach i innych powierzchniach przeznaczonych do ruchu.</w:t>
      </w:r>
    </w:p>
    <w:p w:rsidR="00B77F00" w:rsidRDefault="00865FA3">
      <w:pPr>
        <w:pStyle w:val="Standard"/>
        <w:jc w:val="both"/>
        <w:rPr>
          <w:szCs w:val="20"/>
        </w:rPr>
      </w:pPr>
      <w:r>
        <w:rPr>
          <w:szCs w:val="20"/>
        </w:rPr>
        <w:t>34. PN-EN 13179-1:2002 - Badania kruszyw wypełniających stosowanych do mieszanek bitumicznych – Część 1: Badanie metodą pierścienia delta i kuli.</w:t>
      </w:r>
    </w:p>
    <w:p w:rsidR="00B77F00" w:rsidRDefault="00865FA3">
      <w:pPr>
        <w:pStyle w:val="Standard"/>
        <w:jc w:val="both"/>
        <w:rPr>
          <w:szCs w:val="20"/>
        </w:rPr>
      </w:pPr>
      <w:r>
        <w:rPr>
          <w:szCs w:val="20"/>
        </w:rPr>
        <w:t>35. PN-EN 1317</w:t>
      </w:r>
      <w:r>
        <w:rPr>
          <w:szCs w:val="20"/>
        </w:rPr>
        <w:t>9-2:2002 - Badania kruszyw wypełniających stosowanych do mieszanek bitumicznych – Część 2: Liczba bitumiczna.</w:t>
      </w:r>
    </w:p>
    <w:p w:rsidR="00B77F00" w:rsidRDefault="00865FA3">
      <w:pPr>
        <w:pStyle w:val="Standard"/>
        <w:jc w:val="both"/>
        <w:rPr>
          <w:szCs w:val="20"/>
        </w:rPr>
      </w:pPr>
      <w:r>
        <w:rPr>
          <w:szCs w:val="20"/>
        </w:rPr>
        <w:t>36. PN-EN 12606-1:2009 - Asfalty i lepiszcza asfaltowe-Oznaczanie zawartości parafiny-Część 1: Metoda destylacyjna</w:t>
      </w:r>
    </w:p>
    <w:p w:rsidR="00B77F00" w:rsidRDefault="00865FA3">
      <w:pPr>
        <w:pStyle w:val="Standard"/>
        <w:jc w:val="both"/>
        <w:rPr>
          <w:szCs w:val="20"/>
        </w:rPr>
      </w:pPr>
      <w:r>
        <w:rPr>
          <w:szCs w:val="20"/>
        </w:rPr>
        <w:t>37. PN-EN 12606-2:2002 - Asfalt</w:t>
      </w:r>
      <w:r>
        <w:rPr>
          <w:szCs w:val="20"/>
        </w:rPr>
        <w:t>y i produkty asfaltowe-Oznaczanie zawartości parafiny-Część 2: Metoda ekstrakcyjna (oryg.)</w:t>
      </w:r>
    </w:p>
    <w:p w:rsidR="00B77F00" w:rsidRDefault="00865FA3">
      <w:pPr>
        <w:pStyle w:val="Standard"/>
        <w:jc w:val="both"/>
        <w:rPr>
          <w:szCs w:val="20"/>
        </w:rPr>
      </w:pPr>
      <w:r>
        <w:rPr>
          <w:szCs w:val="20"/>
        </w:rPr>
        <w:t>38. PN-EN 12596:2009 - Asfalty i lepiszcza asfaltowe – Oznaczanie lepkości dynamicznej metodą próżniowej kapilary</w:t>
      </w:r>
    </w:p>
    <w:p w:rsidR="00B77F00" w:rsidRDefault="00865FA3">
      <w:pPr>
        <w:pStyle w:val="Standard"/>
        <w:jc w:val="both"/>
        <w:rPr>
          <w:szCs w:val="20"/>
        </w:rPr>
      </w:pPr>
      <w:r>
        <w:rPr>
          <w:szCs w:val="20"/>
        </w:rPr>
        <w:t>39. PN-EN 12593:2009 - Asfalty i lepiszcza asfaltow</w:t>
      </w:r>
      <w:r>
        <w:rPr>
          <w:szCs w:val="20"/>
        </w:rPr>
        <w:t>e – Oznaczanie temperatury łamliwości Fraassa</w:t>
      </w:r>
    </w:p>
    <w:p w:rsidR="00B77F00" w:rsidRDefault="00865FA3">
      <w:pPr>
        <w:pStyle w:val="Standard"/>
        <w:jc w:val="both"/>
        <w:rPr>
          <w:szCs w:val="20"/>
        </w:rPr>
      </w:pPr>
      <w:r>
        <w:rPr>
          <w:szCs w:val="20"/>
        </w:rPr>
        <w:t>40. PN-EN 1427:2009 - Asfalty i produkty asfaltowe – Oznaczanie temperatury pięknienia. Metoda Pierścień i Kula</w:t>
      </w:r>
    </w:p>
    <w:p w:rsidR="00B77F00" w:rsidRDefault="00865FA3">
      <w:pPr>
        <w:pStyle w:val="Standard"/>
        <w:jc w:val="both"/>
        <w:rPr>
          <w:szCs w:val="20"/>
        </w:rPr>
      </w:pPr>
      <w:r>
        <w:rPr>
          <w:szCs w:val="20"/>
        </w:rPr>
        <w:t>41. PN-EN 196-2:2006 - Metody badania cementu – Część 2: Analiza chemiczna cementu</w:t>
      </w:r>
    </w:p>
    <w:p w:rsidR="00B77F00" w:rsidRDefault="00865FA3">
      <w:pPr>
        <w:pStyle w:val="Standard"/>
        <w:jc w:val="both"/>
        <w:rPr>
          <w:szCs w:val="20"/>
        </w:rPr>
      </w:pPr>
      <w:r>
        <w:rPr>
          <w:szCs w:val="20"/>
        </w:rPr>
        <w:t>42. PN-EN 13108</w:t>
      </w:r>
      <w:r>
        <w:rPr>
          <w:szCs w:val="20"/>
        </w:rPr>
        <w:t>-4:2008 - Mieszanki mineralno-asfaltowe – Wymagania – Część 4: Mieszanka HRA (oryg.)</w:t>
      </w:r>
    </w:p>
    <w:p w:rsidR="00B77F00" w:rsidRDefault="00865FA3">
      <w:pPr>
        <w:pStyle w:val="Standard"/>
        <w:jc w:val="both"/>
        <w:rPr>
          <w:szCs w:val="20"/>
        </w:rPr>
      </w:pPr>
      <w:r>
        <w:rPr>
          <w:szCs w:val="20"/>
        </w:rPr>
        <w:t>43. PN-EN 12272-1:2005 - Powierzchniowe utrwalanie – Metody badań – Część 1: Dozowanie i poprzeczny rozkład lepiszcza i kruszywa</w:t>
      </w:r>
    </w:p>
    <w:p w:rsidR="00B77F00" w:rsidRDefault="00B77F00">
      <w:pPr>
        <w:pStyle w:val="Standard"/>
        <w:jc w:val="both"/>
        <w:rPr>
          <w:szCs w:val="20"/>
        </w:rPr>
      </w:pPr>
    </w:p>
    <w:p w:rsidR="00B77F00" w:rsidRDefault="00865FA3">
      <w:pPr>
        <w:pStyle w:val="Standard"/>
        <w:jc w:val="both"/>
        <w:rPr>
          <w:szCs w:val="20"/>
        </w:rPr>
      </w:pPr>
      <w:r>
        <w:rPr>
          <w:szCs w:val="20"/>
        </w:rPr>
        <w:t>10.3. Inne dokumenty</w:t>
      </w:r>
    </w:p>
    <w:p w:rsidR="00B77F00" w:rsidRDefault="00865FA3">
      <w:pPr>
        <w:pStyle w:val="Standard"/>
        <w:jc w:val="both"/>
        <w:rPr>
          <w:szCs w:val="20"/>
        </w:rPr>
      </w:pPr>
      <w:r>
        <w:rPr>
          <w:szCs w:val="20"/>
        </w:rPr>
        <w:t>44. Rozporządzenie M</w:t>
      </w:r>
      <w:r>
        <w:rPr>
          <w:szCs w:val="20"/>
        </w:rPr>
        <w:t xml:space="preserve">inistra Transportu i Gospodarki Morskiej z dnia 2 marca 1999 w sprawie warunków </w:t>
      </w:r>
      <w:r>
        <w:rPr>
          <w:szCs w:val="20"/>
        </w:rPr>
        <w:tab/>
        <w:t>technicznych, jakim powinny odpowiadać drogi publiczne i ich usytuowanie, Dz.U. nr 43, poz. 430</w:t>
      </w:r>
    </w:p>
    <w:p w:rsidR="00B77F00" w:rsidRDefault="00865FA3">
      <w:pPr>
        <w:pStyle w:val="Standard"/>
        <w:jc w:val="both"/>
        <w:rPr>
          <w:szCs w:val="20"/>
        </w:rPr>
      </w:pPr>
      <w:r>
        <w:rPr>
          <w:szCs w:val="20"/>
        </w:rPr>
        <w:t>45. Wymagania techniczne WT-2 2010 Nawierzchnie asfaltowe na drogach krajowych,</w:t>
      </w:r>
      <w:r>
        <w:rPr>
          <w:szCs w:val="20"/>
        </w:rPr>
        <w:t xml:space="preserve"> GDDKiA, Warszawa</w:t>
      </w:r>
    </w:p>
    <w:p w:rsidR="00B77F00" w:rsidRDefault="00865FA3">
      <w:pPr>
        <w:pStyle w:val="Standard"/>
        <w:jc w:val="both"/>
        <w:rPr>
          <w:szCs w:val="20"/>
        </w:rPr>
      </w:pPr>
      <w:r>
        <w:rPr>
          <w:szCs w:val="20"/>
        </w:rPr>
        <w:t xml:space="preserve">46. Wymagania techniczne WT-1 2010 Kruszywa do mieszanek mineralno-asfaltowych i powierzchniowych </w:t>
      </w:r>
      <w:r>
        <w:rPr>
          <w:szCs w:val="20"/>
        </w:rPr>
        <w:tab/>
        <w:t>utrwaleń na drogach krajowych, GDDKiA, Warszawa</w:t>
      </w:r>
    </w:p>
    <w:p w:rsidR="00B77F00" w:rsidRDefault="00865FA3">
      <w:pPr>
        <w:pStyle w:val="Standard"/>
        <w:jc w:val="both"/>
        <w:rPr>
          <w:szCs w:val="20"/>
        </w:rPr>
      </w:pPr>
      <w:r>
        <w:rPr>
          <w:szCs w:val="20"/>
        </w:rPr>
        <w:t>47. Ustawa z dnia 16 kwietnia 2004 r. o wyrobach budowlanych, Dz.U. nr 92, poz. 881</w:t>
      </w:r>
    </w:p>
    <w:p w:rsidR="00B77F00" w:rsidRDefault="00865FA3">
      <w:pPr>
        <w:pStyle w:val="Standard"/>
        <w:jc w:val="both"/>
        <w:rPr>
          <w:szCs w:val="20"/>
        </w:rPr>
      </w:pPr>
      <w:r>
        <w:rPr>
          <w:szCs w:val="20"/>
        </w:rPr>
        <w:t xml:space="preserve">48. </w:t>
      </w:r>
      <w:r>
        <w:rPr>
          <w:szCs w:val="20"/>
        </w:rPr>
        <w:t xml:space="preserve">Katalog typowych konstrukcji nawierzchni podatnych i półsztywnych. Generalna Dyrekcja Dróg </w:t>
      </w:r>
      <w:r>
        <w:rPr>
          <w:szCs w:val="20"/>
        </w:rPr>
        <w:tab/>
        <w:t>Publicznych – Instytut Badawczy Dróg i Mostów, Warszawa 1997</w:t>
      </w:r>
    </w:p>
    <w:p w:rsidR="00B77F00" w:rsidRDefault="00865FA3">
      <w:pPr>
        <w:pStyle w:val="Standard"/>
        <w:jc w:val="both"/>
        <w:rPr>
          <w:szCs w:val="20"/>
        </w:rPr>
      </w:pPr>
      <w:r>
        <w:rPr>
          <w:szCs w:val="20"/>
        </w:rPr>
        <w:t>49. K. Germaniuk, D. Sybilski „Zalecenia wykonywania izolacji z pap zgrzewalnych i nawierzchni asfaltow</w:t>
      </w:r>
      <w:r>
        <w:rPr>
          <w:szCs w:val="20"/>
        </w:rPr>
        <w:t xml:space="preserve">ych </w:t>
      </w:r>
      <w:r>
        <w:rPr>
          <w:szCs w:val="20"/>
        </w:rPr>
        <w:tab/>
        <w:t>na drogowych obiektach mostowych IBDiM, Warszawa 2005</w:t>
      </w:r>
    </w:p>
    <w:p w:rsidR="00B77F00" w:rsidRDefault="00865FA3">
      <w:pPr>
        <w:pStyle w:val="Standard"/>
        <w:jc w:val="both"/>
        <w:rPr>
          <w:szCs w:val="20"/>
        </w:rPr>
      </w:pPr>
      <w:r>
        <w:rPr>
          <w:szCs w:val="20"/>
        </w:rPr>
        <w:t>50. Piłat, Radziszewski „Nawierzchnie asfaltowe, WKŁ, Warszawa 2007</w:t>
      </w:r>
    </w:p>
    <w:p w:rsidR="00B77F00" w:rsidRDefault="00865FA3">
      <w:pPr>
        <w:pStyle w:val="Standard"/>
        <w:jc w:val="both"/>
        <w:rPr>
          <w:szCs w:val="20"/>
        </w:rPr>
      </w:pPr>
      <w:r>
        <w:rPr>
          <w:szCs w:val="20"/>
        </w:rPr>
        <w:t>51. Błażejewski, Styk „Technologia warstw asfaltowych”, WKŁ, Warszawa2004</w:t>
      </w:r>
    </w:p>
    <w:p w:rsidR="00B77F00" w:rsidRDefault="00B77F00">
      <w:pPr>
        <w:pStyle w:val="Standard"/>
        <w:tabs>
          <w:tab w:val="left" w:pos="2280"/>
        </w:tabs>
        <w:jc w:val="both"/>
      </w:pPr>
    </w:p>
    <w:p w:rsidR="00B77F00" w:rsidRDefault="00B77F00">
      <w:pPr>
        <w:pStyle w:val="Standard"/>
        <w:tabs>
          <w:tab w:val="left" w:pos="2280"/>
        </w:tabs>
        <w:jc w:val="both"/>
      </w:pPr>
    </w:p>
    <w:p w:rsidR="00B77F00" w:rsidRDefault="00B77F00">
      <w:pPr>
        <w:pStyle w:val="Standard"/>
        <w:tabs>
          <w:tab w:val="left" w:pos="2280"/>
        </w:tabs>
        <w:jc w:val="both"/>
      </w:pPr>
    </w:p>
    <w:p w:rsidR="00B77F00" w:rsidRDefault="00B77F00">
      <w:pPr>
        <w:pStyle w:val="Standard"/>
        <w:tabs>
          <w:tab w:val="left" w:pos="2280"/>
        </w:tabs>
        <w:jc w:val="both"/>
      </w:pPr>
    </w:p>
    <w:p w:rsidR="00B77F00" w:rsidRDefault="00B77F00">
      <w:pPr>
        <w:pStyle w:val="Standard"/>
        <w:tabs>
          <w:tab w:val="left" w:pos="2280"/>
        </w:tabs>
        <w:jc w:val="both"/>
      </w:pPr>
    </w:p>
    <w:p w:rsidR="00B77F00" w:rsidRDefault="00865FA3">
      <w:pPr>
        <w:pStyle w:val="Nagwek2"/>
        <w:pageBreakBefore/>
        <w:jc w:val="both"/>
      </w:pPr>
      <w:bookmarkStart w:id="10" w:name="__RefHeading___Toc81601_2138779938"/>
      <w:r>
        <w:lastRenderedPageBreak/>
        <w:t>M.15.04.00 Nawierzchnie chodników</w:t>
      </w:r>
      <w:bookmarkEnd w:id="10"/>
    </w:p>
    <w:p w:rsidR="00B77F00" w:rsidRDefault="00865FA3">
      <w:pPr>
        <w:pStyle w:val="Nagwek3"/>
        <w:tabs>
          <w:tab w:val="left" w:pos="2280"/>
        </w:tabs>
        <w:jc w:val="both"/>
      </w:pPr>
      <w:bookmarkStart w:id="11" w:name="__RefHeading___Toc74725_9924166772"/>
      <w:r>
        <w:t>M.15.04.03 Nawie</w:t>
      </w:r>
      <w:r>
        <w:t>rzchnio-izolacja na bazie żywic epoksydowych</w:t>
      </w:r>
      <w:bookmarkEnd w:id="11"/>
    </w:p>
    <w:p w:rsidR="00B77F00" w:rsidRDefault="00865FA3">
      <w:pPr>
        <w:pStyle w:val="Standard"/>
        <w:jc w:val="both"/>
        <w:rPr>
          <w:b/>
          <w:bCs/>
        </w:rPr>
      </w:pPr>
      <w:r>
        <w:rPr>
          <w:b/>
          <w:bCs/>
        </w:rPr>
        <w:t>1. WSTĘP</w:t>
      </w:r>
    </w:p>
    <w:p w:rsidR="00B77F00" w:rsidRDefault="00865FA3">
      <w:pPr>
        <w:pStyle w:val="Standard"/>
        <w:jc w:val="both"/>
      </w:pPr>
      <w:r>
        <w:t>1.1.Przedmiot SST.</w:t>
      </w:r>
    </w:p>
    <w:p w:rsidR="00B77F00" w:rsidRDefault="00865FA3">
      <w:pPr>
        <w:pStyle w:val="Standard"/>
        <w:jc w:val="both"/>
      </w:pPr>
      <w:r>
        <w:t>Przedmiotem niniejszej Specyfikacji Technicznej są wymagania dotyczące wykonania i odbioru powłok izolacyjno-nawierzchniowych stosowanych w strefach ruchu pieszego obiektów mostowych</w:t>
      </w:r>
      <w:r>
        <w:t xml:space="preserve"> </w:t>
      </w:r>
      <w:r>
        <w:t xml:space="preserve">dla zamierzenia budowlanego: </w:t>
      </w:r>
      <w:r>
        <w:rPr>
          <w:rStyle w:val="WW-DefaultParagraphFont"/>
          <w:rFonts w:eastAsia="Times New Roman" w:cs="Arial"/>
          <w:color w:val="000000"/>
          <w:spacing w:val="-3"/>
          <w:lang w:val="pl-PL" w:bidi="ar-SA"/>
        </w:rPr>
        <w:t>„Remont mostu na rzece Wiązownica w msc. Wrzos w ciągu drogi powiatowej nr 3501W Wrzeszczów – Wrzos - Domaniów w km 4+206”.</w:t>
      </w:r>
    </w:p>
    <w:p w:rsidR="00B77F00" w:rsidRDefault="00865FA3">
      <w:pPr>
        <w:pStyle w:val="Standard"/>
        <w:jc w:val="both"/>
      </w:pPr>
      <w:r>
        <w:t>1.2.Sp</w:t>
      </w:r>
      <w:r>
        <w:t>ecyfikacja Techniczna stosowana jest jako dokument przetargowy i kontraktowy przy zlecaniu i realizacji robót wymienionych w punkcie 1.1.</w:t>
      </w:r>
    </w:p>
    <w:p w:rsidR="00B77F00" w:rsidRDefault="00865FA3">
      <w:pPr>
        <w:pStyle w:val="Standard"/>
        <w:jc w:val="both"/>
      </w:pPr>
      <w:r>
        <w:t xml:space="preserve">1.3.Roboty, których dotyczy niniejsza ST, maja zastosowanie przy wykonywaniu powłok izolacyjno- nawierzchniowych </w:t>
      </w:r>
      <w:r>
        <w:t>następujących powierzchni betonowych komunikacyjnych obiektów inżynierskich:</w:t>
      </w:r>
    </w:p>
    <w:p w:rsidR="00B77F00" w:rsidRDefault="00865FA3">
      <w:pPr>
        <w:pStyle w:val="Standard"/>
        <w:jc w:val="both"/>
      </w:pPr>
      <w:r>
        <w:t>-chodniki,</w:t>
      </w:r>
    </w:p>
    <w:p w:rsidR="00B77F00" w:rsidRDefault="00865FA3">
      <w:pPr>
        <w:pStyle w:val="Standard"/>
        <w:jc w:val="both"/>
      </w:pPr>
      <w:r>
        <w:t>Roboty dotycza również montażu kątownika 5x5cm.</w:t>
      </w:r>
    </w:p>
    <w:p w:rsidR="00B77F00" w:rsidRDefault="00865FA3">
      <w:pPr>
        <w:pStyle w:val="Standard"/>
        <w:jc w:val="both"/>
      </w:pPr>
      <w:r>
        <w:t>1.4.Określenia podstawowe.</w:t>
      </w:r>
    </w:p>
    <w:p w:rsidR="00B77F00" w:rsidRDefault="00865FA3">
      <w:pPr>
        <w:pStyle w:val="Standard"/>
        <w:jc w:val="both"/>
      </w:pPr>
      <w:r>
        <w:t>Określenia podane w niniejszej ST są zgodne z obowiązującymi polskimi normami i ST D-M.-00.00</w:t>
      </w:r>
      <w:r>
        <w:t>.00 „Wymagania ogólne” punkt 1.</w:t>
      </w:r>
    </w:p>
    <w:p w:rsidR="00B77F00" w:rsidRDefault="00865FA3">
      <w:pPr>
        <w:pStyle w:val="Standard"/>
        <w:jc w:val="both"/>
      </w:pPr>
      <w:r>
        <w:t>1.4.1.Izolacjo-nawierzchnia stanowi konstrukcje materiałowa tworząca rodzaj powłoki-wykładziny, której podstawowym zadaniem jest odcięcie konstrukcji od działania środowiska. Wykładziny te pełnia funkcje tradycyjnych izolacj</w:t>
      </w:r>
      <w:r>
        <w:t>i i nawierzchni.</w:t>
      </w:r>
    </w:p>
    <w:p w:rsidR="00B77F00" w:rsidRDefault="00865FA3">
      <w:pPr>
        <w:pStyle w:val="Standard"/>
        <w:jc w:val="both"/>
      </w:pPr>
      <w:r>
        <w:t>Izolacjo-nawierzchnie są odporne na ścieranie, może się po nich odbywać ruch pieszy lub kołowy. Charakteryzują się one takimi właściwościami jak:</w:t>
      </w:r>
    </w:p>
    <w:p w:rsidR="00B77F00" w:rsidRDefault="00865FA3">
      <w:pPr>
        <w:pStyle w:val="Standard"/>
        <w:jc w:val="both"/>
      </w:pPr>
      <w:r>
        <w:t>-wodoszczelność,</w:t>
      </w:r>
    </w:p>
    <w:p w:rsidR="00B77F00" w:rsidRDefault="00865FA3">
      <w:pPr>
        <w:pStyle w:val="Standard"/>
        <w:jc w:val="both"/>
      </w:pPr>
      <w:r>
        <w:t>-dobra przyczepność do podłoża,</w:t>
      </w:r>
    </w:p>
    <w:p w:rsidR="00B77F00" w:rsidRDefault="00865FA3">
      <w:pPr>
        <w:pStyle w:val="Standard"/>
        <w:jc w:val="both"/>
      </w:pPr>
      <w:r>
        <w:t>-wysoka odporność na ścieranie,</w:t>
      </w:r>
    </w:p>
    <w:p w:rsidR="00B77F00" w:rsidRDefault="00865FA3">
      <w:pPr>
        <w:pStyle w:val="Standard"/>
        <w:jc w:val="both"/>
      </w:pPr>
      <w:r>
        <w:t>-odporność n</w:t>
      </w:r>
      <w:r>
        <w:t>a wpływy atmosferyczne/deszcz, śnieg, mróz, promieniowanie UV</w:t>
      </w:r>
    </w:p>
    <w:p w:rsidR="00B77F00" w:rsidRDefault="00865FA3">
      <w:pPr>
        <w:pStyle w:val="Standard"/>
        <w:jc w:val="both"/>
      </w:pPr>
      <w:r>
        <w:t>-odporność na działanie środków odmładzających,</w:t>
      </w:r>
    </w:p>
    <w:p w:rsidR="00B77F00" w:rsidRDefault="00865FA3">
      <w:pPr>
        <w:pStyle w:val="Standard"/>
        <w:jc w:val="both"/>
      </w:pPr>
      <w:r>
        <w:t>-odpowiednia szorstkość -przeciwdziałanie poślizgowi pieszych lub kół pojazdów,</w:t>
      </w:r>
    </w:p>
    <w:p w:rsidR="00B77F00" w:rsidRDefault="00865FA3">
      <w:pPr>
        <w:pStyle w:val="Standard"/>
        <w:jc w:val="both"/>
      </w:pPr>
      <w:r>
        <w:t>-wysoka odporność na koleinowanie,</w:t>
      </w:r>
    </w:p>
    <w:p w:rsidR="00B77F00" w:rsidRDefault="00865FA3">
      <w:pPr>
        <w:pStyle w:val="Standard"/>
        <w:jc w:val="both"/>
      </w:pPr>
      <w:r>
        <w:t>-trwałość.</w:t>
      </w:r>
    </w:p>
    <w:p w:rsidR="00B77F00" w:rsidRDefault="00865FA3">
      <w:pPr>
        <w:pStyle w:val="Standard"/>
        <w:jc w:val="both"/>
      </w:pPr>
      <w:r>
        <w:t xml:space="preserve">1.4.2. Wykładzina- </w:t>
      </w:r>
      <w:r>
        <w:t>powłoka, system materiałowy -obejmujący wszystkie składniki tworzące izolacjo-nawierzchnie. Składnikami systemu są materiały ciekłe np. średnio-rozpadowa emulsja kationowa z asfaltu modyfikowanego polimerami, materiały upłynnione lub sproszkowane, materiał</w:t>
      </w:r>
      <w:r>
        <w:t>y mineralne o zróżnicowanym pochodzeniu i granulacji- nanoszone na odpowiednio przygotowane podłoże z zastosowaniem określonych procedur technologicznych.</w:t>
      </w:r>
    </w:p>
    <w:p w:rsidR="00B77F00" w:rsidRDefault="00865FA3">
      <w:pPr>
        <w:pStyle w:val="Standard"/>
        <w:jc w:val="both"/>
      </w:pPr>
      <w:r>
        <w:t>1.4.3. Niepylące podłoże betonowe oznacza: po</w:t>
      </w:r>
      <w:r>
        <w:t>wierzchnie odpowiednio mocna i wolna od mleczka cementow</w:t>
      </w:r>
      <w:r>
        <w:t>ego oraz wszelkich materiałów mogących obniżać przyczepność systemu do podłoża lub wchodzić z nim w reakcje chemiczne.</w:t>
      </w:r>
    </w:p>
    <w:p w:rsidR="00B77F00" w:rsidRDefault="00865FA3">
      <w:pPr>
        <w:pStyle w:val="Standard"/>
        <w:jc w:val="both"/>
      </w:pPr>
      <w:r>
        <w:t>1.4.4. Punkt rosy-temperatura betonu w której przy określonej temperaturze powietrza i wilgotności następuje kondensacja pary wodnej w po</w:t>
      </w:r>
      <w:r>
        <w:t>staci rosy.</w:t>
      </w:r>
    </w:p>
    <w:p w:rsidR="00B77F00" w:rsidRDefault="00865FA3">
      <w:pPr>
        <w:pStyle w:val="Standard"/>
        <w:jc w:val="both"/>
      </w:pPr>
      <w:r>
        <w:t>1.4.5. Aprobata Techniczna-pozytywna ocena techniczna materiału lub systemu materiałów, stwierdzająca jego przydatność do stosowania w budownictwie, określająca jego właściwości użytkowe i techniczne- wydawana jest przez jednostki do tego upowa</w:t>
      </w:r>
      <w:r>
        <w:t>żnione.</w:t>
      </w:r>
    </w:p>
    <w:p w:rsidR="00B77F00" w:rsidRDefault="00865FA3">
      <w:pPr>
        <w:pStyle w:val="Standard"/>
        <w:jc w:val="both"/>
      </w:pPr>
      <w:r>
        <w:t>Jednostka upoważniona do wydawania Aprobat Technicznych w inżynierii komunikacyjnej, jest Instytut Badawczy Dróg i Mostów.</w:t>
      </w:r>
    </w:p>
    <w:p w:rsidR="00B77F00" w:rsidRDefault="00865FA3">
      <w:pPr>
        <w:pStyle w:val="Standard"/>
        <w:jc w:val="both"/>
      </w:pPr>
      <w:r>
        <w:t>1.4.6. Deklaracja zgodności -dokument zawierający deklaracje producenta o zgodności produktu z dokumentem odniesienia, tj. Po</w:t>
      </w:r>
      <w:r>
        <w:t>lska Norma lub w przypadku jej braku z właściwa Aprobata Techniczna.</w:t>
      </w:r>
    </w:p>
    <w:p w:rsidR="00B77F00" w:rsidRDefault="00865FA3">
      <w:pPr>
        <w:pStyle w:val="Standard"/>
        <w:jc w:val="both"/>
      </w:pPr>
      <w:r>
        <w:t>1.4.7. Atest-wykaz parametrów technicznych produktu gwarantowanych w ramach kontroli wewnętrznej producenta. Zawiera on wyniki badan kontroli wewnętrznej producenta.</w:t>
      </w:r>
    </w:p>
    <w:p w:rsidR="00B77F00" w:rsidRDefault="00865FA3">
      <w:pPr>
        <w:pStyle w:val="Standard"/>
        <w:jc w:val="both"/>
      </w:pPr>
      <w:r>
        <w:t xml:space="preserve">1.5.Ogólne wymagania </w:t>
      </w:r>
      <w:r>
        <w:t>dotyczące jakości robót określono w ST D-M-00.00.00</w:t>
      </w:r>
    </w:p>
    <w:p w:rsidR="00B77F00" w:rsidRDefault="00865FA3">
      <w:pPr>
        <w:pStyle w:val="Standard"/>
        <w:jc w:val="both"/>
      </w:pPr>
      <w:r>
        <w:t>„Wymagania ogólne” pkt.1</w:t>
      </w:r>
    </w:p>
    <w:p w:rsidR="00B77F00" w:rsidRDefault="00865FA3">
      <w:pPr>
        <w:pStyle w:val="Standard"/>
        <w:jc w:val="both"/>
      </w:pPr>
      <w:r>
        <w:t>Wykonawca robót jest odpowiedzialny za właściwa jakość ich wykonania oraz zgodność z Dokumentacja Projektowa, ST, akceptowana technologia wraz z materiałami oraz poleceniami Inżyn</w:t>
      </w:r>
      <w:r>
        <w:t>iera Projektu.</w:t>
      </w:r>
    </w:p>
    <w:p w:rsidR="00B77F00" w:rsidRDefault="00865FA3">
      <w:pPr>
        <w:pStyle w:val="Standard"/>
        <w:jc w:val="both"/>
      </w:pPr>
      <w:r>
        <w:t>Izolacjo-nawierzchnie na powierzchniach betonowych wykonuje się w celu ich zabezpieczenia przed szkodliwym oddziaływaniem czynników fizycznych/krystalizacja i rozpuszczanie się soli, wahania temperatury, mróz itp./ chemicznych/ kwasy, siarcz</w:t>
      </w:r>
      <w:r>
        <w:t>any, chlorki, miękka woda, dwutlenek węgla itp./ oraz</w:t>
      </w:r>
    </w:p>
    <w:p w:rsidR="00B77F00" w:rsidRDefault="00865FA3">
      <w:pPr>
        <w:pStyle w:val="Standard"/>
        <w:jc w:val="both"/>
      </w:pPr>
      <w:r>
        <w:lastRenderedPageBreak/>
        <w:t>mechanicznych /uderzenia, ścieranie itp./.</w:t>
      </w:r>
    </w:p>
    <w:p w:rsidR="00B77F00" w:rsidRDefault="00865FA3">
      <w:pPr>
        <w:pStyle w:val="Standard"/>
        <w:jc w:val="both"/>
      </w:pPr>
      <w:r>
        <w:t>1.5.1 Cel te osiąga się stosując następujące bazy materiałowe:</w:t>
      </w:r>
    </w:p>
    <w:p w:rsidR="00B77F00" w:rsidRDefault="00865FA3">
      <w:pPr>
        <w:pStyle w:val="Standard"/>
        <w:jc w:val="both"/>
      </w:pPr>
      <w:r>
        <w:t>materiały o spoiwie metakrylanowym, epoksydowo-poliuretanowym, epoksydowym/żywice epoksydowe zmi</w:t>
      </w:r>
      <w:r>
        <w:t>ękczane bitumami /,cementowo-polimerowe /wysoko modyfikowane zaprawy typu PCC/-te ostatnie tylko na podłoża betonowe/.</w:t>
      </w:r>
    </w:p>
    <w:p w:rsidR="00B77F00" w:rsidRDefault="00B77F00">
      <w:pPr>
        <w:pStyle w:val="Standard"/>
        <w:jc w:val="both"/>
      </w:pPr>
    </w:p>
    <w:p w:rsidR="00B77F00" w:rsidRDefault="00865FA3">
      <w:pPr>
        <w:pStyle w:val="Standard"/>
        <w:jc w:val="both"/>
        <w:rPr>
          <w:b/>
          <w:bCs/>
        </w:rPr>
      </w:pPr>
      <w:r>
        <w:rPr>
          <w:b/>
          <w:bCs/>
        </w:rPr>
        <w:t>2.MATERIAŁY</w:t>
      </w:r>
    </w:p>
    <w:p w:rsidR="00B77F00" w:rsidRDefault="00865FA3">
      <w:pPr>
        <w:pStyle w:val="Standard"/>
        <w:jc w:val="both"/>
      </w:pPr>
      <w:r>
        <w:t>2.1. Ogólne wymagania dotyczące materiałów podano w ST D-M-00.00.00</w:t>
      </w:r>
    </w:p>
    <w:p w:rsidR="00B77F00" w:rsidRDefault="00865FA3">
      <w:pPr>
        <w:pStyle w:val="Standard"/>
        <w:jc w:val="both"/>
      </w:pPr>
      <w:r>
        <w:t>„Wymagania ogólne” pkt.2</w:t>
      </w:r>
    </w:p>
    <w:p w:rsidR="00B77F00" w:rsidRDefault="00865FA3">
      <w:pPr>
        <w:pStyle w:val="Standard"/>
        <w:jc w:val="both"/>
      </w:pPr>
      <w:r>
        <w:t>Wszystkie materiały stosowane d</w:t>
      </w:r>
      <w:r>
        <w:t>o wykonywania izolacjo-nawierzchni powinny posiadać aktualna Aprobatę Techniczna IBDiM. Przed ich zastosowaniem,</w:t>
      </w:r>
    </w:p>
    <w:p w:rsidR="00B77F00" w:rsidRDefault="00865FA3">
      <w:pPr>
        <w:pStyle w:val="Standard"/>
        <w:jc w:val="both"/>
      </w:pPr>
      <w:r>
        <w:t>Wykonawca powinien przedstawić Inżynierowi numer partii towaru oraz aktualne wyniki badan wykonane w ramach nadzoru wewnętrznego producenta ora</w:t>
      </w:r>
      <w:r>
        <w:t>z deklaracje zgodności. Do wykonywania izolacjo-nawierzchni stosowac wolno jedynie materiały o nie przeterminowanej przydatności ich stosowania.</w:t>
      </w:r>
    </w:p>
    <w:p w:rsidR="00B77F00" w:rsidRDefault="00865FA3">
      <w:pPr>
        <w:pStyle w:val="Standard"/>
        <w:jc w:val="both"/>
      </w:pPr>
      <w:r>
        <w:t>2.2. Szczegółowe wymagania dotyczące materiałów</w:t>
      </w:r>
    </w:p>
    <w:p w:rsidR="00B77F00" w:rsidRDefault="00865FA3">
      <w:pPr>
        <w:pStyle w:val="Standard"/>
        <w:jc w:val="both"/>
      </w:pPr>
      <w:r>
        <w:t>Wymagania dotyczące właściwości użytkowych i technicznych wyrob</w:t>
      </w:r>
      <w:r>
        <w:t>u przedstawiono w tablicy poniżej.</w:t>
      </w:r>
    </w:p>
    <w:p w:rsidR="00B77F00" w:rsidRDefault="00B77F00">
      <w:pPr>
        <w:pStyle w:val="Standard"/>
        <w:jc w:val="both"/>
      </w:pPr>
    </w:p>
    <w:tbl>
      <w:tblPr>
        <w:tblW w:w="9638" w:type="dxa"/>
        <w:tblLayout w:type="fixed"/>
        <w:tblCellMar>
          <w:left w:w="10" w:type="dxa"/>
          <w:right w:w="10" w:type="dxa"/>
        </w:tblCellMar>
        <w:tblLook w:val="0000" w:firstRow="0" w:lastRow="0" w:firstColumn="0" w:lastColumn="0" w:noHBand="0" w:noVBand="0"/>
      </w:tblPr>
      <w:tblGrid>
        <w:gridCol w:w="458"/>
        <w:gridCol w:w="2579"/>
        <w:gridCol w:w="1321"/>
        <w:gridCol w:w="2242"/>
        <w:gridCol w:w="1519"/>
        <w:gridCol w:w="1519"/>
      </w:tblGrid>
      <w:tr w:rsidR="00B77F00">
        <w:tblPrEx>
          <w:tblCellMar>
            <w:top w:w="0" w:type="dxa"/>
            <w:bottom w:w="0" w:type="dxa"/>
          </w:tblCellMar>
        </w:tblPrEx>
        <w:tc>
          <w:tcPr>
            <w:tcW w:w="458" w:type="dxa"/>
            <w:tcBorders>
              <w:top w:val="single" w:sz="2" w:space="0" w:color="000000"/>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rPr>
                <w:b/>
                <w:bCs/>
              </w:rPr>
            </w:pPr>
            <w:r>
              <w:rPr>
                <w:b/>
                <w:bCs/>
              </w:rPr>
              <w:t>Lp.</w:t>
            </w:r>
          </w:p>
        </w:tc>
        <w:tc>
          <w:tcPr>
            <w:tcW w:w="3900" w:type="dxa"/>
            <w:gridSpan w:val="2"/>
            <w:tcBorders>
              <w:top w:val="single" w:sz="2" w:space="0" w:color="000000"/>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rPr>
                <w:b/>
                <w:bCs/>
              </w:rPr>
            </w:pPr>
            <w:r>
              <w:rPr>
                <w:b/>
                <w:bCs/>
              </w:rPr>
              <w:t>Właściwość</w:t>
            </w:r>
          </w:p>
        </w:tc>
        <w:tc>
          <w:tcPr>
            <w:tcW w:w="2242" w:type="dxa"/>
            <w:tcBorders>
              <w:top w:val="single" w:sz="2" w:space="0" w:color="000000"/>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rPr>
                <w:b/>
                <w:bCs/>
              </w:rPr>
            </w:pPr>
            <w:r>
              <w:rPr>
                <w:b/>
                <w:bCs/>
              </w:rPr>
              <w:t>Jednostki</w:t>
            </w:r>
          </w:p>
        </w:tc>
        <w:tc>
          <w:tcPr>
            <w:tcW w:w="1519" w:type="dxa"/>
            <w:tcBorders>
              <w:top w:val="single" w:sz="2" w:space="0" w:color="000000"/>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rPr>
                <w:b/>
                <w:bCs/>
              </w:rPr>
            </w:pPr>
            <w:r>
              <w:rPr>
                <w:b/>
                <w:bCs/>
              </w:rPr>
              <w:t>Wymagania</w:t>
            </w:r>
          </w:p>
        </w:tc>
        <w:tc>
          <w:tcPr>
            <w:tcW w:w="1519"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B77F00" w:rsidRDefault="00865FA3">
            <w:pPr>
              <w:pStyle w:val="TableContents"/>
              <w:jc w:val="both"/>
              <w:rPr>
                <w:b/>
                <w:bCs/>
              </w:rPr>
            </w:pPr>
            <w:r>
              <w:rPr>
                <w:b/>
                <w:bCs/>
              </w:rPr>
              <w:t>Metody badań według</w:t>
            </w:r>
          </w:p>
        </w:tc>
      </w:tr>
      <w:tr w:rsidR="00B77F00">
        <w:tblPrEx>
          <w:tblCellMar>
            <w:top w:w="0" w:type="dxa"/>
            <w:bottom w:w="0" w:type="dxa"/>
          </w:tblCellMar>
        </w:tblPrEx>
        <w:tc>
          <w:tcPr>
            <w:tcW w:w="458"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rPr>
                <w:sz w:val="14"/>
                <w:szCs w:val="14"/>
              </w:rPr>
            </w:pPr>
            <w:r>
              <w:rPr>
                <w:sz w:val="14"/>
                <w:szCs w:val="14"/>
              </w:rPr>
              <w:t>1</w:t>
            </w:r>
          </w:p>
        </w:tc>
        <w:tc>
          <w:tcPr>
            <w:tcW w:w="3900" w:type="dxa"/>
            <w:gridSpan w:val="2"/>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rPr>
                <w:sz w:val="14"/>
                <w:szCs w:val="14"/>
              </w:rPr>
            </w:pPr>
            <w:r>
              <w:rPr>
                <w:sz w:val="14"/>
                <w:szCs w:val="14"/>
              </w:rPr>
              <w:t>2</w:t>
            </w:r>
          </w:p>
        </w:tc>
        <w:tc>
          <w:tcPr>
            <w:tcW w:w="2242"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rPr>
                <w:sz w:val="14"/>
                <w:szCs w:val="14"/>
              </w:rPr>
            </w:pPr>
            <w:r>
              <w:rPr>
                <w:sz w:val="14"/>
                <w:szCs w:val="14"/>
              </w:rPr>
              <w:t>3</w:t>
            </w:r>
          </w:p>
        </w:tc>
        <w:tc>
          <w:tcPr>
            <w:tcW w:w="1519"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rPr>
                <w:sz w:val="14"/>
                <w:szCs w:val="14"/>
              </w:rPr>
            </w:pPr>
            <w:r>
              <w:rPr>
                <w:sz w:val="14"/>
                <w:szCs w:val="14"/>
              </w:rPr>
              <w:t>4</w:t>
            </w:r>
          </w:p>
        </w:tc>
        <w:tc>
          <w:tcPr>
            <w:tcW w:w="1519" w:type="dxa"/>
            <w:tcBorders>
              <w:left w:val="single" w:sz="2" w:space="0" w:color="000000"/>
              <w:bottom w:val="single" w:sz="2" w:space="0" w:color="000000"/>
              <w:right w:val="single" w:sz="2" w:space="0" w:color="000000"/>
            </w:tcBorders>
            <w:tcMar>
              <w:top w:w="55" w:type="dxa"/>
              <w:left w:w="55" w:type="dxa"/>
              <w:bottom w:w="55" w:type="dxa"/>
              <w:right w:w="55" w:type="dxa"/>
            </w:tcMar>
          </w:tcPr>
          <w:p w:rsidR="00B77F00" w:rsidRDefault="00865FA3">
            <w:pPr>
              <w:pStyle w:val="TableContents"/>
              <w:jc w:val="both"/>
              <w:rPr>
                <w:sz w:val="14"/>
                <w:szCs w:val="14"/>
              </w:rPr>
            </w:pPr>
            <w:r>
              <w:rPr>
                <w:sz w:val="14"/>
                <w:szCs w:val="14"/>
              </w:rPr>
              <w:t>5</w:t>
            </w:r>
          </w:p>
        </w:tc>
      </w:tr>
      <w:tr w:rsidR="00B77F00">
        <w:tblPrEx>
          <w:tblCellMar>
            <w:top w:w="0" w:type="dxa"/>
            <w:bottom w:w="0" w:type="dxa"/>
          </w:tblCellMar>
        </w:tblPrEx>
        <w:tc>
          <w:tcPr>
            <w:tcW w:w="9638" w:type="dxa"/>
            <w:gridSpan w:val="6"/>
            <w:tcBorders>
              <w:left w:val="single" w:sz="2" w:space="0" w:color="000000"/>
              <w:bottom w:val="single" w:sz="2" w:space="0" w:color="000000"/>
              <w:right w:val="single" w:sz="2" w:space="0" w:color="000000"/>
            </w:tcBorders>
            <w:tcMar>
              <w:top w:w="55" w:type="dxa"/>
              <w:left w:w="55" w:type="dxa"/>
              <w:bottom w:w="55" w:type="dxa"/>
              <w:right w:w="55" w:type="dxa"/>
            </w:tcMar>
          </w:tcPr>
          <w:p w:rsidR="00B77F00" w:rsidRDefault="00865FA3">
            <w:pPr>
              <w:pStyle w:val="TableContents"/>
              <w:jc w:val="both"/>
              <w:rPr>
                <w:b/>
                <w:bCs/>
              </w:rPr>
            </w:pPr>
            <w:r>
              <w:rPr>
                <w:b/>
                <w:bCs/>
              </w:rPr>
              <w:t>Emulsja asfaltowa</w:t>
            </w:r>
          </w:p>
        </w:tc>
      </w:tr>
      <w:tr w:rsidR="00B77F00">
        <w:tblPrEx>
          <w:tblCellMar>
            <w:top w:w="0" w:type="dxa"/>
            <w:bottom w:w="0" w:type="dxa"/>
          </w:tblCellMar>
        </w:tblPrEx>
        <w:tc>
          <w:tcPr>
            <w:tcW w:w="458"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rPr>
                <w:b/>
                <w:bCs/>
              </w:rPr>
            </w:pPr>
            <w:r>
              <w:rPr>
                <w:b/>
                <w:bCs/>
              </w:rPr>
              <w:t>1</w:t>
            </w:r>
          </w:p>
        </w:tc>
        <w:tc>
          <w:tcPr>
            <w:tcW w:w="3900" w:type="dxa"/>
            <w:gridSpan w:val="2"/>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t>Zawartość lepiszcza</w:t>
            </w:r>
          </w:p>
        </w:tc>
        <w:tc>
          <w:tcPr>
            <w:tcW w:w="2242"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t xml:space="preserve">% </w:t>
            </w:r>
            <w:r>
              <w:rPr>
                <w:i/>
                <w:iCs/>
              </w:rPr>
              <w:t>(m/m)</w:t>
            </w:r>
          </w:p>
        </w:tc>
        <w:tc>
          <w:tcPr>
            <w:tcW w:w="1519"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t>od 63 do 67</w:t>
            </w:r>
          </w:p>
        </w:tc>
        <w:tc>
          <w:tcPr>
            <w:tcW w:w="1519" w:type="dxa"/>
            <w:tcBorders>
              <w:left w:val="single" w:sz="2" w:space="0" w:color="000000"/>
              <w:bottom w:val="single" w:sz="2" w:space="0" w:color="000000"/>
              <w:right w:val="single" w:sz="2" w:space="0" w:color="000000"/>
            </w:tcBorders>
            <w:tcMar>
              <w:top w:w="55" w:type="dxa"/>
              <w:left w:w="55" w:type="dxa"/>
              <w:bottom w:w="55" w:type="dxa"/>
              <w:right w:w="55" w:type="dxa"/>
            </w:tcMar>
          </w:tcPr>
          <w:p w:rsidR="00B77F00" w:rsidRDefault="00865FA3">
            <w:pPr>
              <w:pStyle w:val="TableContents"/>
              <w:jc w:val="both"/>
            </w:pPr>
            <w:r>
              <w:t>PN-EN 1428</w:t>
            </w:r>
          </w:p>
        </w:tc>
      </w:tr>
      <w:tr w:rsidR="00B77F00">
        <w:tblPrEx>
          <w:tblCellMar>
            <w:top w:w="0" w:type="dxa"/>
            <w:bottom w:w="0" w:type="dxa"/>
          </w:tblCellMar>
        </w:tblPrEx>
        <w:tc>
          <w:tcPr>
            <w:tcW w:w="458"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rPr>
                <w:b/>
                <w:bCs/>
              </w:rPr>
            </w:pPr>
            <w:r>
              <w:rPr>
                <w:b/>
                <w:bCs/>
              </w:rPr>
              <w:t>2</w:t>
            </w:r>
          </w:p>
        </w:tc>
        <w:tc>
          <w:tcPr>
            <w:tcW w:w="3900" w:type="dxa"/>
            <w:gridSpan w:val="2"/>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t>Lepkość BTA śr. 2 mm w temp. 40</w:t>
            </w:r>
            <w:r>
              <w:t>°</w:t>
            </w:r>
            <w:r>
              <w:t>C</w:t>
            </w:r>
          </w:p>
        </w:tc>
        <w:tc>
          <w:tcPr>
            <w:tcW w:w="2242"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t>s</w:t>
            </w:r>
          </w:p>
        </w:tc>
        <w:tc>
          <w:tcPr>
            <w:tcW w:w="1519"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t>od 35 do 80</w:t>
            </w:r>
          </w:p>
        </w:tc>
        <w:tc>
          <w:tcPr>
            <w:tcW w:w="1519" w:type="dxa"/>
            <w:tcBorders>
              <w:left w:val="single" w:sz="2" w:space="0" w:color="000000"/>
              <w:bottom w:val="single" w:sz="2" w:space="0" w:color="000000"/>
              <w:right w:val="single" w:sz="2" w:space="0" w:color="000000"/>
            </w:tcBorders>
            <w:tcMar>
              <w:top w:w="55" w:type="dxa"/>
              <w:left w:w="55" w:type="dxa"/>
              <w:bottom w:w="55" w:type="dxa"/>
              <w:right w:w="55" w:type="dxa"/>
            </w:tcMar>
          </w:tcPr>
          <w:p w:rsidR="00B77F00" w:rsidRDefault="00865FA3">
            <w:pPr>
              <w:pStyle w:val="TableContents"/>
              <w:jc w:val="both"/>
            </w:pPr>
            <w:r>
              <w:t>PN-EN 12846</w:t>
            </w:r>
          </w:p>
        </w:tc>
      </w:tr>
      <w:tr w:rsidR="00B77F00">
        <w:tblPrEx>
          <w:tblCellMar>
            <w:top w:w="0" w:type="dxa"/>
            <w:bottom w:w="0" w:type="dxa"/>
          </w:tblCellMar>
        </w:tblPrEx>
        <w:tc>
          <w:tcPr>
            <w:tcW w:w="458"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rPr>
                <w:b/>
                <w:bCs/>
              </w:rPr>
            </w:pPr>
            <w:r>
              <w:rPr>
                <w:b/>
                <w:bCs/>
              </w:rPr>
              <w:t>3</w:t>
            </w:r>
          </w:p>
        </w:tc>
        <w:tc>
          <w:tcPr>
            <w:tcW w:w="3900" w:type="dxa"/>
            <w:gridSpan w:val="2"/>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t xml:space="preserve">Jednorodność, </w:t>
            </w:r>
            <w:r>
              <w:t>pozostałość na sicie #0,50 mm</w:t>
            </w:r>
          </w:p>
        </w:tc>
        <w:tc>
          <w:tcPr>
            <w:tcW w:w="2242"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t xml:space="preserve">% </w:t>
            </w:r>
            <w:r>
              <w:rPr>
                <w:i/>
                <w:iCs/>
              </w:rPr>
              <w:t>(m/m)</w:t>
            </w:r>
          </w:p>
        </w:tc>
        <w:tc>
          <w:tcPr>
            <w:tcW w:w="1519"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t>&lt; 0,2</w:t>
            </w:r>
          </w:p>
        </w:tc>
        <w:tc>
          <w:tcPr>
            <w:tcW w:w="1519" w:type="dxa"/>
            <w:tcBorders>
              <w:left w:val="single" w:sz="2" w:space="0" w:color="000000"/>
              <w:bottom w:val="single" w:sz="2" w:space="0" w:color="000000"/>
              <w:right w:val="single" w:sz="2" w:space="0" w:color="000000"/>
            </w:tcBorders>
            <w:tcMar>
              <w:top w:w="55" w:type="dxa"/>
              <w:left w:w="55" w:type="dxa"/>
              <w:bottom w:w="55" w:type="dxa"/>
              <w:right w:w="55" w:type="dxa"/>
            </w:tcMar>
          </w:tcPr>
          <w:p w:rsidR="00B77F00" w:rsidRDefault="00865FA3">
            <w:pPr>
              <w:pStyle w:val="TableContents"/>
              <w:jc w:val="both"/>
            </w:pPr>
            <w:r>
              <w:t>PN-EN 1429</w:t>
            </w:r>
          </w:p>
        </w:tc>
      </w:tr>
      <w:tr w:rsidR="00B77F00">
        <w:tblPrEx>
          <w:tblCellMar>
            <w:top w:w="0" w:type="dxa"/>
            <w:bottom w:w="0" w:type="dxa"/>
          </w:tblCellMar>
        </w:tblPrEx>
        <w:tc>
          <w:tcPr>
            <w:tcW w:w="458"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rPr>
                <w:b/>
                <w:bCs/>
              </w:rPr>
            </w:pPr>
            <w:r>
              <w:rPr>
                <w:b/>
                <w:bCs/>
              </w:rPr>
              <w:t>4</w:t>
            </w:r>
          </w:p>
        </w:tc>
        <w:tc>
          <w:tcPr>
            <w:tcW w:w="3900" w:type="dxa"/>
            <w:gridSpan w:val="2"/>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t>Indeks rozpadu</w:t>
            </w:r>
          </w:p>
        </w:tc>
        <w:tc>
          <w:tcPr>
            <w:tcW w:w="2242"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t>g/100g</w:t>
            </w:r>
          </w:p>
        </w:tc>
        <w:tc>
          <w:tcPr>
            <w:tcW w:w="1519"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t>od 50 do 100</w:t>
            </w:r>
          </w:p>
        </w:tc>
        <w:tc>
          <w:tcPr>
            <w:tcW w:w="1519" w:type="dxa"/>
            <w:tcBorders>
              <w:left w:val="single" w:sz="2" w:space="0" w:color="000000"/>
              <w:bottom w:val="single" w:sz="2" w:space="0" w:color="000000"/>
              <w:right w:val="single" w:sz="2" w:space="0" w:color="000000"/>
            </w:tcBorders>
            <w:tcMar>
              <w:top w:w="55" w:type="dxa"/>
              <w:left w:w="55" w:type="dxa"/>
              <w:bottom w:w="55" w:type="dxa"/>
              <w:right w:w="55" w:type="dxa"/>
            </w:tcMar>
          </w:tcPr>
          <w:p w:rsidR="00B77F00" w:rsidRDefault="00865FA3">
            <w:pPr>
              <w:pStyle w:val="TableContents"/>
              <w:jc w:val="both"/>
            </w:pPr>
            <w:r>
              <w:t>PN-EN 13075</w:t>
            </w:r>
          </w:p>
        </w:tc>
      </w:tr>
      <w:tr w:rsidR="00B77F00">
        <w:tblPrEx>
          <w:tblCellMar>
            <w:top w:w="0" w:type="dxa"/>
            <w:bottom w:w="0" w:type="dxa"/>
          </w:tblCellMar>
        </w:tblPrEx>
        <w:tc>
          <w:tcPr>
            <w:tcW w:w="458"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rPr>
                <w:b/>
                <w:bCs/>
              </w:rPr>
            </w:pPr>
            <w:r>
              <w:rPr>
                <w:b/>
                <w:bCs/>
              </w:rPr>
              <w:t>5</w:t>
            </w:r>
          </w:p>
        </w:tc>
        <w:tc>
          <w:tcPr>
            <w:tcW w:w="3900" w:type="dxa"/>
            <w:gridSpan w:val="2"/>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t>Penetracja</w:t>
            </w:r>
          </w:p>
        </w:tc>
        <w:tc>
          <w:tcPr>
            <w:tcW w:w="2242"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t>0,1 mm</w:t>
            </w:r>
          </w:p>
        </w:tc>
        <w:tc>
          <w:tcPr>
            <w:tcW w:w="1519"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t>od 70 do 240</w:t>
            </w:r>
          </w:p>
        </w:tc>
        <w:tc>
          <w:tcPr>
            <w:tcW w:w="1519" w:type="dxa"/>
            <w:tcBorders>
              <w:left w:val="single" w:sz="2" w:space="0" w:color="000000"/>
              <w:bottom w:val="single" w:sz="2" w:space="0" w:color="000000"/>
              <w:right w:val="single" w:sz="2" w:space="0" w:color="000000"/>
            </w:tcBorders>
            <w:tcMar>
              <w:top w:w="55" w:type="dxa"/>
              <w:left w:w="55" w:type="dxa"/>
              <w:bottom w:w="55" w:type="dxa"/>
              <w:right w:w="55" w:type="dxa"/>
            </w:tcMar>
          </w:tcPr>
          <w:p w:rsidR="00B77F00" w:rsidRDefault="00865FA3">
            <w:pPr>
              <w:pStyle w:val="TableContents"/>
              <w:jc w:val="both"/>
            </w:pPr>
            <w:r>
              <w:t>PN-EN 1426</w:t>
            </w:r>
          </w:p>
        </w:tc>
      </w:tr>
      <w:tr w:rsidR="00B77F00">
        <w:tblPrEx>
          <w:tblCellMar>
            <w:top w:w="0" w:type="dxa"/>
            <w:bottom w:w="0" w:type="dxa"/>
          </w:tblCellMar>
        </w:tblPrEx>
        <w:tc>
          <w:tcPr>
            <w:tcW w:w="458"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rPr>
                <w:b/>
                <w:bCs/>
              </w:rPr>
            </w:pPr>
            <w:r>
              <w:rPr>
                <w:b/>
                <w:bCs/>
              </w:rPr>
              <w:t>6</w:t>
            </w:r>
          </w:p>
        </w:tc>
        <w:tc>
          <w:tcPr>
            <w:tcW w:w="3900" w:type="dxa"/>
            <w:gridSpan w:val="2"/>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t>Temperatura mięknienia</w:t>
            </w:r>
          </w:p>
        </w:tc>
        <w:tc>
          <w:tcPr>
            <w:tcW w:w="2242"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t>°</w:t>
            </w:r>
            <w:r>
              <w:t>C</w:t>
            </w:r>
          </w:p>
        </w:tc>
        <w:tc>
          <w:tcPr>
            <w:tcW w:w="1519"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rPr>
                <w:color w:val="000000"/>
              </w:rPr>
              <w:t>≥</w:t>
            </w:r>
            <w:r>
              <w:t xml:space="preserve"> 42</w:t>
            </w:r>
          </w:p>
        </w:tc>
        <w:tc>
          <w:tcPr>
            <w:tcW w:w="1519" w:type="dxa"/>
            <w:tcBorders>
              <w:left w:val="single" w:sz="2" w:space="0" w:color="000000"/>
              <w:bottom w:val="single" w:sz="2" w:space="0" w:color="000000"/>
              <w:right w:val="single" w:sz="2" w:space="0" w:color="000000"/>
            </w:tcBorders>
            <w:tcMar>
              <w:top w:w="55" w:type="dxa"/>
              <w:left w:w="55" w:type="dxa"/>
              <w:bottom w:w="55" w:type="dxa"/>
              <w:right w:w="55" w:type="dxa"/>
            </w:tcMar>
          </w:tcPr>
          <w:p w:rsidR="00B77F00" w:rsidRDefault="00865FA3">
            <w:pPr>
              <w:pStyle w:val="TableContents"/>
              <w:jc w:val="both"/>
            </w:pPr>
            <w:r>
              <w:t>PN-EN 1427</w:t>
            </w:r>
          </w:p>
        </w:tc>
      </w:tr>
      <w:tr w:rsidR="00B77F00">
        <w:tblPrEx>
          <w:tblCellMar>
            <w:top w:w="0" w:type="dxa"/>
            <w:bottom w:w="0" w:type="dxa"/>
          </w:tblCellMar>
        </w:tblPrEx>
        <w:tc>
          <w:tcPr>
            <w:tcW w:w="458"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rPr>
                <w:b/>
                <w:bCs/>
              </w:rPr>
            </w:pPr>
            <w:r>
              <w:rPr>
                <w:b/>
                <w:bCs/>
              </w:rPr>
              <w:t>7</w:t>
            </w:r>
          </w:p>
        </w:tc>
        <w:tc>
          <w:tcPr>
            <w:tcW w:w="3900" w:type="dxa"/>
            <w:gridSpan w:val="2"/>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t>Temperatura łamliwości</w:t>
            </w:r>
          </w:p>
        </w:tc>
        <w:tc>
          <w:tcPr>
            <w:tcW w:w="2242"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t>°</w:t>
            </w:r>
            <w:r>
              <w:t>C</w:t>
            </w:r>
          </w:p>
        </w:tc>
        <w:tc>
          <w:tcPr>
            <w:tcW w:w="1519"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t>&lt; -15</w:t>
            </w:r>
          </w:p>
        </w:tc>
        <w:tc>
          <w:tcPr>
            <w:tcW w:w="1519" w:type="dxa"/>
            <w:tcBorders>
              <w:left w:val="single" w:sz="2" w:space="0" w:color="000000"/>
              <w:bottom w:val="single" w:sz="2" w:space="0" w:color="000000"/>
              <w:right w:val="single" w:sz="2" w:space="0" w:color="000000"/>
            </w:tcBorders>
            <w:tcMar>
              <w:top w:w="55" w:type="dxa"/>
              <w:left w:w="55" w:type="dxa"/>
              <w:bottom w:w="55" w:type="dxa"/>
              <w:right w:w="55" w:type="dxa"/>
            </w:tcMar>
          </w:tcPr>
          <w:p w:rsidR="00B77F00" w:rsidRDefault="00865FA3">
            <w:pPr>
              <w:pStyle w:val="TableContents"/>
              <w:jc w:val="both"/>
            </w:pPr>
            <w:r>
              <w:t>PN-EN 12593</w:t>
            </w:r>
          </w:p>
        </w:tc>
      </w:tr>
      <w:tr w:rsidR="00B77F00">
        <w:tblPrEx>
          <w:tblCellMar>
            <w:top w:w="0" w:type="dxa"/>
            <w:bottom w:w="0" w:type="dxa"/>
          </w:tblCellMar>
        </w:tblPrEx>
        <w:tc>
          <w:tcPr>
            <w:tcW w:w="458"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rPr>
                <w:b/>
                <w:bCs/>
              </w:rPr>
            </w:pPr>
            <w:r>
              <w:rPr>
                <w:b/>
                <w:bCs/>
              </w:rPr>
              <w:t>8</w:t>
            </w:r>
          </w:p>
        </w:tc>
        <w:tc>
          <w:tcPr>
            <w:tcW w:w="3900" w:type="dxa"/>
            <w:gridSpan w:val="2"/>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t>Nawrót sprężysty w 25</w:t>
            </w:r>
            <w:r>
              <w:t>°</w:t>
            </w:r>
            <w:r>
              <w:t>C</w:t>
            </w:r>
          </w:p>
        </w:tc>
        <w:tc>
          <w:tcPr>
            <w:tcW w:w="2242"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t>%</w:t>
            </w:r>
          </w:p>
        </w:tc>
        <w:tc>
          <w:tcPr>
            <w:tcW w:w="1519"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t>&gt; 60</w:t>
            </w:r>
          </w:p>
        </w:tc>
        <w:tc>
          <w:tcPr>
            <w:tcW w:w="1519" w:type="dxa"/>
            <w:tcBorders>
              <w:left w:val="single" w:sz="2" w:space="0" w:color="000000"/>
              <w:bottom w:val="single" w:sz="2" w:space="0" w:color="000000"/>
              <w:right w:val="single" w:sz="2" w:space="0" w:color="000000"/>
            </w:tcBorders>
            <w:tcMar>
              <w:top w:w="55" w:type="dxa"/>
              <w:left w:w="55" w:type="dxa"/>
              <w:bottom w:w="55" w:type="dxa"/>
              <w:right w:w="55" w:type="dxa"/>
            </w:tcMar>
          </w:tcPr>
          <w:p w:rsidR="00B77F00" w:rsidRDefault="00865FA3">
            <w:pPr>
              <w:pStyle w:val="TableContents"/>
              <w:jc w:val="both"/>
            </w:pPr>
            <w:r>
              <w:t>PN-EN 13398</w:t>
            </w:r>
          </w:p>
        </w:tc>
      </w:tr>
      <w:tr w:rsidR="00B77F00">
        <w:tblPrEx>
          <w:tblCellMar>
            <w:top w:w="0" w:type="dxa"/>
            <w:bottom w:w="0" w:type="dxa"/>
          </w:tblCellMar>
        </w:tblPrEx>
        <w:tc>
          <w:tcPr>
            <w:tcW w:w="458"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rPr>
                <w:b/>
                <w:bCs/>
              </w:rPr>
            </w:pPr>
            <w:r>
              <w:rPr>
                <w:b/>
                <w:bCs/>
              </w:rPr>
              <w:t>9</w:t>
            </w:r>
          </w:p>
        </w:tc>
        <w:tc>
          <w:tcPr>
            <w:tcW w:w="3900" w:type="dxa"/>
            <w:gridSpan w:val="2"/>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t>Kohezja zmodyfikowaną metodą Vialit</w:t>
            </w:r>
          </w:p>
        </w:tc>
        <w:tc>
          <w:tcPr>
            <w:tcW w:w="2242"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t>%</w:t>
            </w:r>
          </w:p>
        </w:tc>
        <w:tc>
          <w:tcPr>
            <w:tcW w:w="1519"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rPr>
                <w:color w:val="000000"/>
              </w:rPr>
              <w:t>≥</w:t>
            </w:r>
            <w:r>
              <w:t xml:space="preserve"> 70</w:t>
            </w:r>
          </w:p>
        </w:tc>
        <w:tc>
          <w:tcPr>
            <w:tcW w:w="1519" w:type="dxa"/>
            <w:tcBorders>
              <w:left w:val="single" w:sz="2" w:space="0" w:color="000000"/>
              <w:bottom w:val="single" w:sz="2" w:space="0" w:color="000000"/>
              <w:right w:val="single" w:sz="2" w:space="0" w:color="000000"/>
            </w:tcBorders>
            <w:tcMar>
              <w:top w:w="55" w:type="dxa"/>
              <w:left w:w="55" w:type="dxa"/>
              <w:bottom w:w="55" w:type="dxa"/>
              <w:right w:w="55" w:type="dxa"/>
            </w:tcMar>
          </w:tcPr>
          <w:p w:rsidR="00B77F00" w:rsidRDefault="00865FA3">
            <w:pPr>
              <w:pStyle w:val="TableContents"/>
              <w:jc w:val="both"/>
            </w:pPr>
            <w:r>
              <w:t>PN-EN 13588</w:t>
            </w:r>
          </w:p>
        </w:tc>
      </w:tr>
      <w:tr w:rsidR="00B77F00">
        <w:tblPrEx>
          <w:tblCellMar>
            <w:top w:w="0" w:type="dxa"/>
            <w:bottom w:w="0" w:type="dxa"/>
          </w:tblCellMar>
        </w:tblPrEx>
        <w:tc>
          <w:tcPr>
            <w:tcW w:w="458"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rPr>
                <w:b/>
                <w:bCs/>
              </w:rPr>
            </w:pPr>
            <w:r>
              <w:rPr>
                <w:b/>
                <w:bCs/>
              </w:rPr>
              <w:t>10</w:t>
            </w:r>
          </w:p>
        </w:tc>
        <w:tc>
          <w:tcPr>
            <w:tcW w:w="3900" w:type="dxa"/>
            <w:gridSpan w:val="2"/>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t>Widmo w podczerwieni</w:t>
            </w:r>
          </w:p>
        </w:tc>
        <w:tc>
          <w:tcPr>
            <w:tcW w:w="2242"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t>-</w:t>
            </w:r>
          </w:p>
        </w:tc>
        <w:tc>
          <w:tcPr>
            <w:tcW w:w="1519"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t>badanie identyfikacyjne</w:t>
            </w:r>
          </w:p>
        </w:tc>
        <w:tc>
          <w:tcPr>
            <w:tcW w:w="1519" w:type="dxa"/>
            <w:tcBorders>
              <w:left w:val="single" w:sz="2" w:space="0" w:color="000000"/>
              <w:bottom w:val="single" w:sz="2" w:space="0" w:color="000000"/>
              <w:right w:val="single" w:sz="2" w:space="0" w:color="000000"/>
            </w:tcBorders>
            <w:tcMar>
              <w:top w:w="55" w:type="dxa"/>
              <w:left w:w="55" w:type="dxa"/>
              <w:bottom w:w="55" w:type="dxa"/>
              <w:right w:w="55" w:type="dxa"/>
            </w:tcMar>
          </w:tcPr>
          <w:p w:rsidR="00B77F00" w:rsidRDefault="00865FA3">
            <w:pPr>
              <w:pStyle w:val="TableContents"/>
              <w:jc w:val="both"/>
            </w:pPr>
            <w:r>
              <w:t>PN-EN 1767</w:t>
            </w:r>
          </w:p>
        </w:tc>
      </w:tr>
      <w:tr w:rsidR="00B77F00">
        <w:tblPrEx>
          <w:tblCellMar>
            <w:top w:w="0" w:type="dxa"/>
            <w:bottom w:w="0" w:type="dxa"/>
          </w:tblCellMar>
        </w:tblPrEx>
        <w:tc>
          <w:tcPr>
            <w:tcW w:w="9638" w:type="dxa"/>
            <w:gridSpan w:val="6"/>
            <w:tcBorders>
              <w:left w:val="single" w:sz="2" w:space="0" w:color="000000"/>
              <w:bottom w:val="single" w:sz="2" w:space="0" w:color="000000"/>
              <w:right w:val="single" w:sz="2" w:space="0" w:color="000000"/>
            </w:tcBorders>
            <w:tcMar>
              <w:top w:w="55" w:type="dxa"/>
              <w:left w:w="55" w:type="dxa"/>
              <w:bottom w:w="55" w:type="dxa"/>
              <w:right w:w="55" w:type="dxa"/>
            </w:tcMar>
          </w:tcPr>
          <w:p w:rsidR="00B77F00" w:rsidRDefault="00865FA3">
            <w:pPr>
              <w:pStyle w:val="TableContents"/>
              <w:jc w:val="both"/>
              <w:rPr>
                <w:b/>
                <w:bCs/>
              </w:rPr>
            </w:pPr>
            <w:r>
              <w:rPr>
                <w:b/>
                <w:bCs/>
              </w:rPr>
              <w:t>Kruszywo</w:t>
            </w:r>
          </w:p>
        </w:tc>
      </w:tr>
      <w:tr w:rsidR="00B77F00">
        <w:tblPrEx>
          <w:tblCellMar>
            <w:top w:w="0" w:type="dxa"/>
            <w:bottom w:w="0" w:type="dxa"/>
          </w:tblCellMar>
        </w:tblPrEx>
        <w:tc>
          <w:tcPr>
            <w:tcW w:w="3037" w:type="dxa"/>
            <w:gridSpan w:val="2"/>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t>Właściwości</w:t>
            </w:r>
          </w:p>
        </w:tc>
        <w:tc>
          <w:tcPr>
            <w:tcW w:w="1321"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t>Jedn.</w:t>
            </w:r>
          </w:p>
        </w:tc>
        <w:tc>
          <w:tcPr>
            <w:tcW w:w="2242"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t>Grys bazaltowy płukany 2/5,6 mm</w:t>
            </w:r>
          </w:p>
        </w:tc>
        <w:tc>
          <w:tcPr>
            <w:tcW w:w="1519"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t>Grys bazaltowy 1/2,8 mm</w:t>
            </w:r>
          </w:p>
        </w:tc>
        <w:tc>
          <w:tcPr>
            <w:tcW w:w="1519" w:type="dxa"/>
            <w:tcBorders>
              <w:left w:val="single" w:sz="2" w:space="0" w:color="000000"/>
              <w:bottom w:val="single" w:sz="2" w:space="0" w:color="000000"/>
              <w:right w:val="single" w:sz="2" w:space="0" w:color="000000"/>
            </w:tcBorders>
            <w:tcMar>
              <w:top w:w="55" w:type="dxa"/>
              <w:left w:w="55" w:type="dxa"/>
              <w:bottom w:w="55" w:type="dxa"/>
              <w:right w:w="55" w:type="dxa"/>
            </w:tcMar>
          </w:tcPr>
          <w:p w:rsidR="00B77F00" w:rsidRDefault="00B77F00">
            <w:pPr>
              <w:pStyle w:val="TableContents"/>
              <w:jc w:val="both"/>
            </w:pPr>
          </w:p>
        </w:tc>
      </w:tr>
      <w:tr w:rsidR="00B77F00">
        <w:tblPrEx>
          <w:tblCellMar>
            <w:top w:w="0" w:type="dxa"/>
            <w:bottom w:w="0" w:type="dxa"/>
          </w:tblCellMar>
        </w:tblPrEx>
        <w:tc>
          <w:tcPr>
            <w:tcW w:w="458"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rPr>
                <w:b/>
                <w:bCs/>
              </w:rPr>
            </w:pPr>
            <w:r>
              <w:rPr>
                <w:b/>
                <w:bCs/>
              </w:rPr>
              <w:t>11</w:t>
            </w:r>
          </w:p>
        </w:tc>
        <w:tc>
          <w:tcPr>
            <w:tcW w:w="2579"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t>Uziarnienie</w:t>
            </w:r>
          </w:p>
        </w:tc>
        <w:tc>
          <w:tcPr>
            <w:tcW w:w="1321"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t>-</w:t>
            </w:r>
          </w:p>
        </w:tc>
        <w:tc>
          <w:tcPr>
            <w:tcW w:w="2242"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t>G</w:t>
            </w:r>
            <w:r>
              <w:rPr>
                <w:vertAlign w:val="subscript"/>
              </w:rPr>
              <w:t>c</w:t>
            </w:r>
            <w:r>
              <w:t>90/10</w:t>
            </w:r>
          </w:p>
        </w:tc>
        <w:tc>
          <w:tcPr>
            <w:tcW w:w="1519"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t>G</w:t>
            </w:r>
            <w:r>
              <w:rPr>
                <w:vertAlign w:val="subscript"/>
              </w:rPr>
              <w:t>c</w:t>
            </w:r>
            <w:r>
              <w:t>90/10</w:t>
            </w:r>
          </w:p>
        </w:tc>
        <w:tc>
          <w:tcPr>
            <w:tcW w:w="1519" w:type="dxa"/>
            <w:tcBorders>
              <w:left w:val="single" w:sz="2" w:space="0" w:color="000000"/>
              <w:bottom w:val="single" w:sz="2" w:space="0" w:color="000000"/>
              <w:right w:val="single" w:sz="2" w:space="0" w:color="000000"/>
            </w:tcBorders>
            <w:tcMar>
              <w:top w:w="55" w:type="dxa"/>
              <w:left w:w="55" w:type="dxa"/>
              <w:bottom w:w="55" w:type="dxa"/>
              <w:right w:w="55" w:type="dxa"/>
            </w:tcMar>
          </w:tcPr>
          <w:p w:rsidR="00B77F00" w:rsidRDefault="00865FA3">
            <w:pPr>
              <w:pStyle w:val="TableContents"/>
              <w:jc w:val="both"/>
            </w:pPr>
            <w:r>
              <w:t>PN-EN 13043</w:t>
            </w:r>
          </w:p>
        </w:tc>
      </w:tr>
      <w:tr w:rsidR="00B77F00">
        <w:tblPrEx>
          <w:tblCellMar>
            <w:top w:w="0" w:type="dxa"/>
            <w:bottom w:w="0" w:type="dxa"/>
          </w:tblCellMar>
        </w:tblPrEx>
        <w:tc>
          <w:tcPr>
            <w:tcW w:w="458"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rPr>
                <w:b/>
                <w:bCs/>
              </w:rPr>
            </w:pPr>
            <w:r>
              <w:rPr>
                <w:b/>
                <w:bCs/>
              </w:rPr>
              <w:t>12</w:t>
            </w:r>
          </w:p>
        </w:tc>
        <w:tc>
          <w:tcPr>
            <w:tcW w:w="2579"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t>Zawartość pyłów</w:t>
            </w:r>
          </w:p>
        </w:tc>
        <w:tc>
          <w:tcPr>
            <w:tcW w:w="1321"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t>-</w:t>
            </w:r>
          </w:p>
        </w:tc>
        <w:tc>
          <w:tcPr>
            <w:tcW w:w="2242"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t>f</w:t>
            </w:r>
            <w:r>
              <w:rPr>
                <w:vertAlign w:val="subscript"/>
              </w:rPr>
              <w:t>0,5</w:t>
            </w:r>
          </w:p>
        </w:tc>
        <w:tc>
          <w:tcPr>
            <w:tcW w:w="1519"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t>f</w:t>
            </w:r>
            <w:r>
              <w:rPr>
                <w:vertAlign w:val="subscript"/>
              </w:rPr>
              <w:t>1</w:t>
            </w:r>
          </w:p>
        </w:tc>
        <w:tc>
          <w:tcPr>
            <w:tcW w:w="1519" w:type="dxa"/>
            <w:tcBorders>
              <w:left w:val="single" w:sz="2" w:space="0" w:color="000000"/>
              <w:bottom w:val="single" w:sz="2" w:space="0" w:color="000000"/>
              <w:right w:val="single" w:sz="2" w:space="0" w:color="000000"/>
            </w:tcBorders>
            <w:tcMar>
              <w:top w:w="55" w:type="dxa"/>
              <w:left w:w="55" w:type="dxa"/>
              <w:bottom w:w="55" w:type="dxa"/>
              <w:right w:w="55" w:type="dxa"/>
            </w:tcMar>
          </w:tcPr>
          <w:p w:rsidR="00B77F00" w:rsidRDefault="00865FA3">
            <w:pPr>
              <w:pStyle w:val="TableContents"/>
              <w:jc w:val="both"/>
            </w:pPr>
            <w:r>
              <w:t>PN-EN 13043</w:t>
            </w:r>
          </w:p>
        </w:tc>
      </w:tr>
      <w:tr w:rsidR="00B77F00">
        <w:tblPrEx>
          <w:tblCellMar>
            <w:top w:w="0" w:type="dxa"/>
            <w:bottom w:w="0" w:type="dxa"/>
          </w:tblCellMar>
        </w:tblPrEx>
        <w:tc>
          <w:tcPr>
            <w:tcW w:w="458"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rPr>
                <w:b/>
                <w:bCs/>
              </w:rPr>
            </w:pPr>
            <w:r>
              <w:rPr>
                <w:b/>
                <w:bCs/>
              </w:rPr>
              <w:t>13</w:t>
            </w:r>
          </w:p>
        </w:tc>
        <w:tc>
          <w:tcPr>
            <w:tcW w:w="2579"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t>Nasiąkliwość</w:t>
            </w:r>
          </w:p>
        </w:tc>
        <w:tc>
          <w:tcPr>
            <w:tcW w:w="1321"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t xml:space="preserve">% </w:t>
            </w:r>
            <w:r>
              <w:rPr>
                <w:i/>
                <w:iCs/>
              </w:rPr>
              <w:t>(m/m)</w:t>
            </w:r>
          </w:p>
        </w:tc>
        <w:tc>
          <w:tcPr>
            <w:tcW w:w="2242"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widowControl/>
              <w:jc w:val="both"/>
            </w:pPr>
            <w:r>
              <w:rPr>
                <w:color w:val="000000"/>
              </w:rPr>
              <w:t>≤</w:t>
            </w:r>
            <w:r>
              <w:t xml:space="preserve"> 1,0</w:t>
            </w:r>
          </w:p>
        </w:tc>
        <w:tc>
          <w:tcPr>
            <w:tcW w:w="1519"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widowControl/>
              <w:jc w:val="both"/>
            </w:pPr>
            <w:r>
              <w:rPr>
                <w:color w:val="000000"/>
              </w:rPr>
              <w:t>≤</w:t>
            </w:r>
            <w:r>
              <w:t xml:space="preserve"> 1,5</w:t>
            </w:r>
          </w:p>
        </w:tc>
        <w:tc>
          <w:tcPr>
            <w:tcW w:w="1519" w:type="dxa"/>
            <w:tcBorders>
              <w:left w:val="single" w:sz="2" w:space="0" w:color="000000"/>
              <w:bottom w:val="single" w:sz="2" w:space="0" w:color="000000"/>
              <w:right w:val="single" w:sz="2" w:space="0" w:color="000000"/>
            </w:tcBorders>
            <w:tcMar>
              <w:top w:w="55" w:type="dxa"/>
              <w:left w:w="55" w:type="dxa"/>
              <w:bottom w:w="55" w:type="dxa"/>
              <w:right w:w="55" w:type="dxa"/>
            </w:tcMar>
          </w:tcPr>
          <w:p w:rsidR="00B77F00" w:rsidRDefault="00865FA3">
            <w:pPr>
              <w:pStyle w:val="TableContents"/>
              <w:jc w:val="both"/>
            </w:pPr>
            <w:r>
              <w:t>PN-EN 13043</w:t>
            </w:r>
          </w:p>
        </w:tc>
      </w:tr>
      <w:tr w:rsidR="00B77F00">
        <w:tblPrEx>
          <w:tblCellMar>
            <w:top w:w="0" w:type="dxa"/>
            <w:bottom w:w="0" w:type="dxa"/>
          </w:tblCellMar>
        </w:tblPrEx>
        <w:tc>
          <w:tcPr>
            <w:tcW w:w="9638" w:type="dxa"/>
            <w:gridSpan w:val="6"/>
            <w:tcBorders>
              <w:left w:val="single" w:sz="2" w:space="0" w:color="000000"/>
              <w:bottom w:val="single" w:sz="2" w:space="0" w:color="000000"/>
              <w:right w:val="single" w:sz="2" w:space="0" w:color="000000"/>
            </w:tcBorders>
            <w:tcMar>
              <w:top w:w="55" w:type="dxa"/>
              <w:left w:w="55" w:type="dxa"/>
              <w:bottom w:w="55" w:type="dxa"/>
              <w:right w:w="55" w:type="dxa"/>
            </w:tcMar>
          </w:tcPr>
          <w:p w:rsidR="00B77F00" w:rsidRDefault="00865FA3">
            <w:pPr>
              <w:pStyle w:val="TableContents"/>
              <w:jc w:val="both"/>
              <w:rPr>
                <w:b/>
                <w:bCs/>
              </w:rPr>
            </w:pPr>
            <w:r>
              <w:rPr>
                <w:b/>
                <w:bCs/>
              </w:rPr>
              <w:t>Utwardzona izolacjo-nawierzchnia</w:t>
            </w:r>
          </w:p>
        </w:tc>
      </w:tr>
      <w:tr w:rsidR="00B77F00">
        <w:tblPrEx>
          <w:tblCellMar>
            <w:top w:w="0" w:type="dxa"/>
            <w:bottom w:w="0" w:type="dxa"/>
          </w:tblCellMar>
        </w:tblPrEx>
        <w:tc>
          <w:tcPr>
            <w:tcW w:w="458"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rPr>
                <w:b/>
                <w:bCs/>
              </w:rPr>
            </w:pPr>
            <w:r>
              <w:rPr>
                <w:b/>
                <w:bCs/>
              </w:rPr>
              <w:t>14</w:t>
            </w:r>
          </w:p>
        </w:tc>
        <w:tc>
          <w:tcPr>
            <w:tcW w:w="3900" w:type="dxa"/>
            <w:gridSpan w:val="2"/>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t>Wytrzymałość na odrywanie  od podłoża betonowego metodą "pull-of"</w:t>
            </w:r>
          </w:p>
        </w:tc>
        <w:tc>
          <w:tcPr>
            <w:tcW w:w="2242"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t>MPa</w:t>
            </w:r>
          </w:p>
        </w:tc>
        <w:tc>
          <w:tcPr>
            <w:tcW w:w="1519"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rPr>
                <w:color w:val="000000"/>
              </w:rPr>
              <w:t>≥</w:t>
            </w:r>
            <w:r>
              <w:t xml:space="preserve"> 0,4</w:t>
            </w:r>
            <w:r>
              <w:rPr>
                <w:vertAlign w:val="superscript"/>
              </w:rPr>
              <w:t>1)</w:t>
            </w:r>
          </w:p>
        </w:tc>
        <w:tc>
          <w:tcPr>
            <w:tcW w:w="1519" w:type="dxa"/>
            <w:tcBorders>
              <w:left w:val="single" w:sz="2" w:space="0" w:color="000000"/>
              <w:bottom w:val="single" w:sz="2" w:space="0" w:color="000000"/>
              <w:right w:val="single" w:sz="2" w:space="0" w:color="000000"/>
            </w:tcBorders>
            <w:tcMar>
              <w:top w:w="55" w:type="dxa"/>
              <w:left w:w="55" w:type="dxa"/>
              <w:bottom w:w="55" w:type="dxa"/>
              <w:right w:w="55" w:type="dxa"/>
            </w:tcMar>
          </w:tcPr>
          <w:p w:rsidR="00B77F00" w:rsidRDefault="00865FA3">
            <w:pPr>
              <w:pStyle w:val="TableContents"/>
              <w:jc w:val="both"/>
            </w:pPr>
            <w:r>
              <w:t>PN-EN 1542</w:t>
            </w:r>
          </w:p>
        </w:tc>
      </w:tr>
      <w:tr w:rsidR="00B77F00">
        <w:tblPrEx>
          <w:tblCellMar>
            <w:top w:w="0" w:type="dxa"/>
            <w:bottom w:w="0" w:type="dxa"/>
          </w:tblCellMar>
        </w:tblPrEx>
        <w:tc>
          <w:tcPr>
            <w:tcW w:w="458"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rPr>
                <w:b/>
                <w:bCs/>
              </w:rPr>
            </w:pPr>
            <w:r>
              <w:rPr>
                <w:b/>
                <w:bCs/>
              </w:rPr>
              <w:t>15</w:t>
            </w:r>
          </w:p>
        </w:tc>
        <w:tc>
          <w:tcPr>
            <w:tcW w:w="3900" w:type="dxa"/>
            <w:gridSpan w:val="2"/>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t>Stan powłoki po 200 cyklach zamrażania i odmrażania w wodzie, w temp.:-18</w:t>
            </w:r>
            <w:r>
              <w:t>±</w:t>
            </w:r>
            <w:r>
              <w:t>2</w:t>
            </w:r>
            <w:r>
              <w:t>°</w:t>
            </w:r>
            <w:r>
              <w:t>C/ 18</w:t>
            </w:r>
            <w:r>
              <w:t>±</w:t>
            </w:r>
            <w:r>
              <w:t>2</w:t>
            </w:r>
            <w:r>
              <w:t>°</w:t>
            </w:r>
            <w:r>
              <w:t>C</w:t>
            </w:r>
          </w:p>
        </w:tc>
        <w:tc>
          <w:tcPr>
            <w:tcW w:w="2242"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t>-</w:t>
            </w:r>
          </w:p>
        </w:tc>
        <w:tc>
          <w:tcPr>
            <w:tcW w:w="1519"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t>powłoka bez zmian</w:t>
            </w:r>
          </w:p>
        </w:tc>
        <w:tc>
          <w:tcPr>
            <w:tcW w:w="1519" w:type="dxa"/>
            <w:tcBorders>
              <w:left w:val="single" w:sz="2" w:space="0" w:color="000000"/>
              <w:bottom w:val="single" w:sz="2" w:space="0" w:color="000000"/>
              <w:right w:val="single" w:sz="2" w:space="0" w:color="000000"/>
            </w:tcBorders>
            <w:tcMar>
              <w:top w:w="55" w:type="dxa"/>
              <w:left w:w="55" w:type="dxa"/>
              <w:bottom w:w="55" w:type="dxa"/>
              <w:right w:w="55" w:type="dxa"/>
            </w:tcMar>
          </w:tcPr>
          <w:p w:rsidR="00B77F00" w:rsidRDefault="00865FA3">
            <w:pPr>
              <w:pStyle w:val="TableContents"/>
              <w:jc w:val="both"/>
            </w:pPr>
            <w:r>
              <w:t>Procedura IBDiM Nr PB/TM-1/13</w:t>
            </w:r>
          </w:p>
        </w:tc>
      </w:tr>
      <w:tr w:rsidR="00B77F00">
        <w:tblPrEx>
          <w:tblCellMar>
            <w:top w:w="0" w:type="dxa"/>
            <w:bottom w:w="0" w:type="dxa"/>
          </w:tblCellMar>
        </w:tblPrEx>
        <w:tc>
          <w:tcPr>
            <w:tcW w:w="458"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rPr>
                <w:b/>
                <w:bCs/>
              </w:rPr>
            </w:pPr>
            <w:r>
              <w:rPr>
                <w:b/>
                <w:bCs/>
              </w:rPr>
              <w:t>16</w:t>
            </w:r>
          </w:p>
        </w:tc>
        <w:tc>
          <w:tcPr>
            <w:tcW w:w="3900" w:type="dxa"/>
            <w:gridSpan w:val="2"/>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t>Wytrzymałość na odrywanie  od podłoża betonowego metodą "pull-of", po 200 cyklach zamrażania i</w:t>
            </w:r>
            <w:r>
              <w:t xml:space="preserve"> odmrażania w </w:t>
            </w:r>
            <w:r>
              <w:lastRenderedPageBreak/>
              <w:t>wodzie, w temp.:-18</w:t>
            </w:r>
            <w:r>
              <w:t>±</w:t>
            </w:r>
            <w:r>
              <w:t>2</w:t>
            </w:r>
            <w:r>
              <w:t>°</w:t>
            </w:r>
            <w:r>
              <w:t>C/ 18</w:t>
            </w:r>
            <w:r>
              <w:t>±</w:t>
            </w:r>
            <w:r>
              <w:t>2</w:t>
            </w:r>
            <w:r>
              <w:t>°</w:t>
            </w:r>
            <w:r>
              <w:t>C</w:t>
            </w:r>
          </w:p>
        </w:tc>
        <w:tc>
          <w:tcPr>
            <w:tcW w:w="2242"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lastRenderedPageBreak/>
              <w:t>MPa</w:t>
            </w:r>
          </w:p>
        </w:tc>
        <w:tc>
          <w:tcPr>
            <w:tcW w:w="1519"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rPr>
                <w:color w:val="000000"/>
              </w:rPr>
              <w:t>≥</w:t>
            </w:r>
            <w:r>
              <w:t xml:space="preserve"> 0,35</w:t>
            </w:r>
            <w:r>
              <w:rPr>
                <w:vertAlign w:val="superscript"/>
              </w:rPr>
              <w:t>1)</w:t>
            </w:r>
          </w:p>
        </w:tc>
        <w:tc>
          <w:tcPr>
            <w:tcW w:w="1519" w:type="dxa"/>
            <w:tcBorders>
              <w:left w:val="single" w:sz="2" w:space="0" w:color="000000"/>
              <w:bottom w:val="single" w:sz="2" w:space="0" w:color="000000"/>
              <w:right w:val="single" w:sz="2" w:space="0" w:color="000000"/>
            </w:tcBorders>
            <w:tcMar>
              <w:top w:w="55" w:type="dxa"/>
              <w:left w:w="55" w:type="dxa"/>
              <w:bottom w:w="55" w:type="dxa"/>
              <w:right w:w="55" w:type="dxa"/>
            </w:tcMar>
          </w:tcPr>
          <w:p w:rsidR="00B77F00" w:rsidRDefault="00865FA3">
            <w:pPr>
              <w:pStyle w:val="TableContents"/>
              <w:jc w:val="both"/>
            </w:pPr>
            <w:r>
              <w:t>PN-EN 1542</w:t>
            </w:r>
          </w:p>
        </w:tc>
      </w:tr>
      <w:tr w:rsidR="00B77F00">
        <w:tblPrEx>
          <w:tblCellMar>
            <w:top w:w="0" w:type="dxa"/>
            <w:bottom w:w="0" w:type="dxa"/>
          </w:tblCellMar>
        </w:tblPrEx>
        <w:tc>
          <w:tcPr>
            <w:tcW w:w="458"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rPr>
                <w:b/>
                <w:bCs/>
              </w:rPr>
            </w:pPr>
            <w:r>
              <w:rPr>
                <w:b/>
                <w:bCs/>
              </w:rPr>
              <w:t>17</w:t>
            </w:r>
          </w:p>
        </w:tc>
        <w:tc>
          <w:tcPr>
            <w:tcW w:w="3900" w:type="dxa"/>
            <w:gridSpan w:val="2"/>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t>Wskaźnik ograniczenia chłonności wody</w:t>
            </w:r>
          </w:p>
        </w:tc>
        <w:tc>
          <w:tcPr>
            <w:tcW w:w="2242"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t>%</w:t>
            </w:r>
          </w:p>
        </w:tc>
        <w:tc>
          <w:tcPr>
            <w:tcW w:w="1519" w:type="dxa"/>
            <w:tcBorders>
              <w:left w:val="single" w:sz="2" w:space="0" w:color="000000"/>
              <w:bottom w:val="single" w:sz="2" w:space="0" w:color="000000"/>
            </w:tcBorders>
            <w:tcMar>
              <w:top w:w="55" w:type="dxa"/>
              <w:left w:w="55" w:type="dxa"/>
              <w:bottom w:w="55" w:type="dxa"/>
              <w:right w:w="55" w:type="dxa"/>
            </w:tcMar>
          </w:tcPr>
          <w:p w:rsidR="00B77F00" w:rsidRDefault="00865FA3">
            <w:pPr>
              <w:pStyle w:val="TableContents"/>
              <w:jc w:val="both"/>
            </w:pPr>
            <w:r>
              <w:rPr>
                <w:color w:val="000000"/>
              </w:rPr>
              <w:t>≥</w:t>
            </w:r>
            <w:r>
              <w:t xml:space="preserve"> 90</w:t>
            </w:r>
          </w:p>
        </w:tc>
        <w:tc>
          <w:tcPr>
            <w:tcW w:w="1519" w:type="dxa"/>
            <w:tcBorders>
              <w:left w:val="single" w:sz="2" w:space="0" w:color="000000"/>
              <w:bottom w:val="single" w:sz="2" w:space="0" w:color="000000"/>
              <w:right w:val="single" w:sz="2" w:space="0" w:color="000000"/>
            </w:tcBorders>
            <w:tcMar>
              <w:top w:w="55" w:type="dxa"/>
              <w:left w:w="55" w:type="dxa"/>
              <w:bottom w:w="55" w:type="dxa"/>
              <w:right w:w="55" w:type="dxa"/>
            </w:tcMar>
          </w:tcPr>
          <w:p w:rsidR="00B77F00" w:rsidRDefault="00865FA3">
            <w:pPr>
              <w:pStyle w:val="TableContents"/>
              <w:jc w:val="both"/>
            </w:pPr>
            <w:r>
              <w:t>Procedura IBDiM Nr PB-TM-X5</w:t>
            </w:r>
          </w:p>
        </w:tc>
      </w:tr>
      <w:tr w:rsidR="00B77F00">
        <w:tblPrEx>
          <w:tblCellMar>
            <w:top w:w="0" w:type="dxa"/>
            <w:bottom w:w="0" w:type="dxa"/>
          </w:tblCellMar>
        </w:tblPrEx>
        <w:tc>
          <w:tcPr>
            <w:tcW w:w="9638" w:type="dxa"/>
            <w:gridSpan w:val="6"/>
            <w:tcBorders>
              <w:left w:val="single" w:sz="2" w:space="0" w:color="000000"/>
              <w:bottom w:val="single" w:sz="2" w:space="0" w:color="000000"/>
              <w:right w:val="single" w:sz="2" w:space="0" w:color="000000"/>
            </w:tcBorders>
            <w:tcMar>
              <w:top w:w="55" w:type="dxa"/>
              <w:left w:w="55" w:type="dxa"/>
              <w:bottom w:w="55" w:type="dxa"/>
              <w:right w:w="55" w:type="dxa"/>
            </w:tcMar>
          </w:tcPr>
          <w:p w:rsidR="00B77F00" w:rsidRDefault="00865FA3">
            <w:pPr>
              <w:pStyle w:val="TableContents"/>
              <w:jc w:val="both"/>
            </w:pPr>
            <w:r>
              <w:t>1) zerwanie powinno nasąpić w warstwie izolacyjno-nawierzchni</w:t>
            </w:r>
          </w:p>
        </w:tc>
      </w:tr>
    </w:tbl>
    <w:p w:rsidR="00B77F00" w:rsidRDefault="00B77F00">
      <w:pPr>
        <w:pStyle w:val="Standard"/>
        <w:jc w:val="both"/>
      </w:pPr>
    </w:p>
    <w:p w:rsidR="00B77F00" w:rsidRDefault="00865FA3">
      <w:pPr>
        <w:pStyle w:val="Standard"/>
        <w:jc w:val="both"/>
        <w:rPr>
          <w:b/>
          <w:bCs/>
        </w:rPr>
      </w:pPr>
      <w:r>
        <w:rPr>
          <w:b/>
          <w:bCs/>
        </w:rPr>
        <w:t>3.SPRZĘT</w:t>
      </w:r>
    </w:p>
    <w:p w:rsidR="00B77F00" w:rsidRDefault="00865FA3">
      <w:pPr>
        <w:pStyle w:val="Standard"/>
        <w:jc w:val="both"/>
      </w:pPr>
      <w:r>
        <w:t>Ogólne wymagania dotyczące sprzętu podano w ST D-M.00.00.00”Wymagania ogólne” punkt 3.</w:t>
      </w:r>
    </w:p>
    <w:p w:rsidR="00B77F00" w:rsidRDefault="00865FA3">
      <w:pPr>
        <w:pStyle w:val="Standard"/>
        <w:jc w:val="both"/>
      </w:pPr>
      <w:r>
        <w:t>Wybór sprzętu i narzędzi do wykonania robót należy do Wykonawcy lecz musi on być zgodny z karta techniczna producenta materiałów, musi być również akceptowany przez Inżyniera.</w:t>
      </w:r>
    </w:p>
    <w:p w:rsidR="00B77F00" w:rsidRDefault="00865FA3">
      <w:pPr>
        <w:pStyle w:val="Standard"/>
        <w:jc w:val="both"/>
      </w:pPr>
      <w:r>
        <w:t>Sprzęt i narzędzia służące do wykonania izolacjo- nawierzchni powinny zapewniać</w:t>
      </w:r>
      <w:r>
        <w:t xml:space="preserve"> ciągłość prac i uzyskanie wymaganej jakości robót.</w:t>
      </w:r>
    </w:p>
    <w:p w:rsidR="00B77F00" w:rsidRDefault="00865FA3">
      <w:pPr>
        <w:pStyle w:val="Standard"/>
        <w:jc w:val="both"/>
      </w:pPr>
      <w:r>
        <w:t>Wykonawca jest obowiązany ponadto posiadać instrumenty do badan temperatury podłoża, wilgotności i wytrzymałości na odrywanie metoda „pull off”.</w:t>
      </w:r>
    </w:p>
    <w:p w:rsidR="00B77F00" w:rsidRDefault="00B77F00">
      <w:pPr>
        <w:pStyle w:val="Standard"/>
        <w:jc w:val="both"/>
      </w:pPr>
    </w:p>
    <w:p w:rsidR="00B77F00" w:rsidRDefault="00865FA3">
      <w:pPr>
        <w:pStyle w:val="Standard"/>
        <w:jc w:val="both"/>
        <w:rPr>
          <w:b/>
          <w:bCs/>
        </w:rPr>
      </w:pPr>
      <w:r>
        <w:rPr>
          <w:b/>
          <w:bCs/>
        </w:rPr>
        <w:t>4.TRANSPORT</w:t>
      </w:r>
    </w:p>
    <w:p w:rsidR="00B77F00" w:rsidRDefault="00865FA3">
      <w:pPr>
        <w:pStyle w:val="Standard"/>
        <w:jc w:val="both"/>
      </w:pPr>
      <w:r>
        <w:t>Ogólne warunki transportu podano w ST D-M-00.0</w:t>
      </w:r>
      <w:r>
        <w:t>0.00” Wymagania ogólne” pkt.4</w:t>
      </w:r>
    </w:p>
    <w:p w:rsidR="00B77F00" w:rsidRDefault="00865FA3">
      <w:pPr>
        <w:pStyle w:val="Standard"/>
        <w:jc w:val="both"/>
      </w:pPr>
      <w:r>
        <w:t>4.1.Załadunek, transport, rozładunek i składowanie materiałów musi odbywać się w sposób zapewniający zachowanie ich własności oraz zgodnie z zaleceniami Producenta.</w:t>
      </w:r>
    </w:p>
    <w:p w:rsidR="00B77F00" w:rsidRDefault="00865FA3">
      <w:pPr>
        <w:pStyle w:val="Standard"/>
        <w:jc w:val="both"/>
      </w:pPr>
      <w:r>
        <w:t>4.2. Emulsję oraz kruszywo należy składować w pomieszczeniach</w:t>
      </w:r>
      <w:r>
        <w:t xml:space="preserve"> o dodatniej temperaturze, w szczelnie zamkniętych opakowaniach. Przechowywać przez okres gwarantowany przez producenta. W czasie magazynowania emulsji dopuszcza się powstanie na jej powierzchni kożucha lub zagęszczenia na dnie, które przed zastosowaniem n</w:t>
      </w:r>
      <w:r>
        <w:t>ależy dokładnie wymieszać.</w:t>
      </w:r>
    </w:p>
    <w:p w:rsidR="00B77F00" w:rsidRDefault="00B77F00">
      <w:pPr>
        <w:pStyle w:val="Standard"/>
        <w:jc w:val="both"/>
      </w:pPr>
    </w:p>
    <w:p w:rsidR="00B77F00" w:rsidRDefault="00865FA3">
      <w:pPr>
        <w:pStyle w:val="Standard"/>
        <w:jc w:val="both"/>
        <w:rPr>
          <w:b/>
          <w:bCs/>
        </w:rPr>
      </w:pPr>
      <w:r>
        <w:rPr>
          <w:b/>
          <w:bCs/>
        </w:rPr>
        <w:t>5.WYKONANIE ROBÓT</w:t>
      </w:r>
    </w:p>
    <w:p w:rsidR="00B77F00" w:rsidRDefault="00865FA3">
      <w:pPr>
        <w:pStyle w:val="Standard"/>
        <w:jc w:val="both"/>
      </w:pPr>
      <w:r>
        <w:t>5.1.Ogólne zasady wykonywania robót.</w:t>
      </w:r>
    </w:p>
    <w:p w:rsidR="00B77F00" w:rsidRDefault="00865FA3">
      <w:pPr>
        <w:pStyle w:val="Standard"/>
        <w:jc w:val="both"/>
      </w:pPr>
      <w:r>
        <w:t>Ogólne zasady wykonywania robót zawiera ST D-M-00.00.00 „Wymagania ogólne” punkt 5.</w:t>
      </w:r>
    </w:p>
    <w:p w:rsidR="00B77F00" w:rsidRDefault="00865FA3">
      <w:pPr>
        <w:pStyle w:val="Standard"/>
        <w:jc w:val="both"/>
      </w:pPr>
      <w:r>
        <w:t>5.1.1.Roboty związane z wykonaniem izolacjo-nawierzchni powinny być wykonywane przez prac</w:t>
      </w:r>
      <w:r>
        <w:t>owników posiadających minimum świadectwa ukończenia szkoleń dostawcy materiałów dla określonego projektu. Nadzór średni i wyższy ma obowiązek legitymowania się świadectwami kwalifikacyjnymi wydanymi przez branżowy instytut lub zakłady naukowe wyższych ucze</w:t>
      </w:r>
      <w:r>
        <w:t>lni.</w:t>
      </w:r>
    </w:p>
    <w:p w:rsidR="00B77F00" w:rsidRDefault="00865FA3">
      <w:pPr>
        <w:pStyle w:val="Standard"/>
        <w:jc w:val="both"/>
      </w:pPr>
      <w:r>
        <w:t>5.1.2. Podłoże betonowe.</w:t>
      </w:r>
    </w:p>
    <w:p w:rsidR="00B77F00" w:rsidRDefault="00865FA3">
      <w:pPr>
        <w:pStyle w:val="Standard"/>
        <w:jc w:val="both"/>
      </w:pPr>
      <w:r>
        <w:t>5.1.2.1. Jakość podłoża</w:t>
      </w:r>
    </w:p>
    <w:p w:rsidR="00B77F00" w:rsidRDefault="00865FA3">
      <w:pPr>
        <w:pStyle w:val="Standard"/>
        <w:jc w:val="both"/>
      </w:pPr>
      <w:r>
        <w:t>Materiał nawierzchni stosuje się na podłożu betonowym po minimum 7 dniach dojrzewania i wytrzymałości minimum 1,2 MPa. Podłoże w stanie powietrzno-suchym lub matowo-wilgotnym lecz bez zastoin wody. Podł</w:t>
      </w:r>
      <w:r>
        <w:t>oże wolne od zanieczyszczeń typu oleje, smary, tłuszcze, stare powłoki, pozostałości środków antyadhezyjnych, luźnych kawałków betonu i mleczka cementowego.</w:t>
      </w:r>
    </w:p>
    <w:p w:rsidR="00B77F00" w:rsidRDefault="00865FA3">
      <w:pPr>
        <w:pStyle w:val="Standard"/>
        <w:jc w:val="both"/>
      </w:pPr>
      <w:r>
        <w:t>5.1.2.2. Przygotowanie podłoża</w:t>
      </w:r>
    </w:p>
    <w:p w:rsidR="00B77F00" w:rsidRDefault="00865FA3">
      <w:pPr>
        <w:pStyle w:val="Standard"/>
        <w:jc w:val="both"/>
        <w:rPr>
          <w:shd w:val="clear" w:color="auto" w:fill="FFFF66"/>
        </w:rPr>
      </w:pPr>
      <w:r>
        <w:t>Wykonawca obowiązany jest przygotować podłoże betonowe przez usunięc</w:t>
      </w:r>
      <w:r>
        <w:t xml:space="preserve">ie wszelkich luźnych fragmentów podłoża, zanieczyszczeń organicznych i nieorganicznych, mleczka cementowego, które mogą mieć negatywny wpływ na korozje betonu, a także na trwałość połączenia nakładanych materiałów z podłożem betonowym. Metodę oczyszczania </w:t>
      </w:r>
      <w:r>
        <w:t>należny dostosować do przewidywanych projektem materiałów tworzących system izolacjo-nawierzchni zgodnie z ich Kartami Technicznymi.</w:t>
      </w:r>
    </w:p>
    <w:p w:rsidR="00B77F00" w:rsidRDefault="00865FA3">
      <w:pPr>
        <w:pStyle w:val="Standard"/>
        <w:jc w:val="both"/>
      </w:pPr>
      <w:r>
        <w:t>Stosowane są min. metody: hydromonitoring wodą, hydromonitoring z piaskiem lub piaskowanie.</w:t>
      </w:r>
      <w:r>
        <w:t xml:space="preserve"> itd</w:t>
      </w:r>
    </w:p>
    <w:p w:rsidR="00B77F00" w:rsidRDefault="00865FA3">
      <w:pPr>
        <w:pStyle w:val="Standard"/>
        <w:jc w:val="both"/>
      </w:pPr>
      <w:r>
        <w:t>5.1.2.3.Wymagane jest również wykonanie napraw i usuniecie ubytków w powierzchni materiałami PCC lub SPCC.</w:t>
      </w:r>
    </w:p>
    <w:p w:rsidR="00B77F00" w:rsidRDefault="00865FA3">
      <w:pPr>
        <w:pStyle w:val="Standard"/>
        <w:jc w:val="both"/>
      </w:pPr>
      <w:r>
        <w:t>5.1.2.4. Wytrzymałość na odrywanie/ wg PN-EN 1542:2000 właściwie przygotowanego podłoża betonowego powinna wynosić:</w:t>
      </w:r>
    </w:p>
    <w:p w:rsidR="00B77F00" w:rsidRDefault="00865FA3">
      <w:pPr>
        <w:pStyle w:val="Standard"/>
        <w:jc w:val="both"/>
      </w:pPr>
      <w:r>
        <w:t>• przy wykonywaniu systemu i</w:t>
      </w:r>
      <w:r>
        <w:t>zolacjo-nawierzchni na chodnikach- wartość średnia Rsr  1,5 MPa i wartość pojedynczego wyniku Rmin 1,0 MPa</w:t>
      </w:r>
    </w:p>
    <w:p w:rsidR="00B77F00" w:rsidRDefault="00865FA3">
      <w:pPr>
        <w:pStyle w:val="Standard"/>
        <w:jc w:val="both"/>
      </w:pPr>
      <w:r>
        <w:t>• przy wykonywaniu systemu izolacjo-nawierzchni na jezdniach,krawężnikach wartość średnia Rsr 2,5 MPa i wartość pojedynczego wyniku Rmin 1,5MPa</w:t>
      </w:r>
    </w:p>
    <w:p w:rsidR="00B77F00" w:rsidRDefault="00865FA3">
      <w:pPr>
        <w:pStyle w:val="Standard"/>
        <w:jc w:val="both"/>
      </w:pPr>
      <w:r>
        <w:t>5.1.2.5. Wytrzymałość na ściskanie nie mniejsza niż:</w:t>
      </w:r>
    </w:p>
    <w:p w:rsidR="00B77F00" w:rsidRDefault="00865FA3">
      <w:pPr>
        <w:pStyle w:val="Standard"/>
        <w:jc w:val="both"/>
      </w:pPr>
      <w:r>
        <w:t>• w konstrukcjach nowo zbudowanych obiektów-wytrzymałość gwarantowana wynikająca z przyjętej klasy betonu,</w:t>
      </w:r>
    </w:p>
    <w:p w:rsidR="00B77F00" w:rsidRDefault="00865FA3">
      <w:pPr>
        <w:pStyle w:val="Standard"/>
        <w:jc w:val="both"/>
      </w:pPr>
      <w:r>
        <w:t>• w konstrukcjach odbudowywanych, rozbudowywanych i przebudowywanych, remontowanych 25 MPa.</w:t>
      </w:r>
    </w:p>
    <w:p w:rsidR="00B77F00" w:rsidRDefault="00865FA3">
      <w:pPr>
        <w:pStyle w:val="Standard"/>
        <w:jc w:val="both"/>
      </w:pPr>
      <w:r>
        <w:lastRenderedPageBreak/>
        <w:t>5.2.</w:t>
      </w:r>
      <w:r>
        <w:t xml:space="preserve"> Wykonawca jest obowiązany stosować się podczas wykonywania robót nawierzchniowych do właściwych Kart Technicznych producenta.</w:t>
      </w:r>
    </w:p>
    <w:p w:rsidR="00B77F00" w:rsidRDefault="00865FA3">
      <w:pPr>
        <w:pStyle w:val="Standard"/>
        <w:jc w:val="both"/>
      </w:pPr>
      <w:r>
        <w:t>5.3.Warunki stosowania.</w:t>
      </w:r>
    </w:p>
    <w:p w:rsidR="00B77F00" w:rsidRDefault="00865FA3">
      <w:pPr>
        <w:pStyle w:val="Standard"/>
        <w:jc w:val="both"/>
      </w:pPr>
      <w:r>
        <w:t>Materiały służące do wykonania systemu izolacyjno- nawierzchniowego wolno stosować gdy:</w:t>
      </w:r>
    </w:p>
    <w:p w:rsidR="00B77F00" w:rsidRDefault="00865FA3">
      <w:pPr>
        <w:pStyle w:val="Standard"/>
        <w:numPr>
          <w:ilvl w:val="0"/>
          <w:numId w:val="106"/>
        </w:numPr>
        <w:jc w:val="both"/>
      </w:pPr>
      <w:r>
        <w:t xml:space="preserve">podłoże betonowe </w:t>
      </w:r>
      <w:r>
        <w:t>przygotowane jest w sposób zgodny z warunkami pkt.5.1.2</w:t>
      </w:r>
    </w:p>
    <w:p w:rsidR="00B77F00" w:rsidRDefault="00865FA3">
      <w:pPr>
        <w:pStyle w:val="Standard"/>
        <w:numPr>
          <w:ilvl w:val="0"/>
          <w:numId w:val="106"/>
        </w:numPr>
        <w:jc w:val="both"/>
      </w:pPr>
      <w:r>
        <w:t>temperatura podłoża jest nie niższa niż +10 ºC i nie wyższa niż +30 ºC</w:t>
      </w:r>
    </w:p>
    <w:p w:rsidR="00B77F00" w:rsidRDefault="00865FA3">
      <w:pPr>
        <w:pStyle w:val="Standard"/>
        <w:numPr>
          <w:ilvl w:val="0"/>
          <w:numId w:val="106"/>
        </w:numPr>
        <w:jc w:val="both"/>
      </w:pPr>
      <w:r>
        <w:t>temperatura otoczenia jest nie niższa niż +10º C i nie wyższa niż +30 ºC</w:t>
      </w:r>
    </w:p>
    <w:p w:rsidR="00B77F00" w:rsidRDefault="00865FA3">
      <w:pPr>
        <w:pStyle w:val="Standard"/>
        <w:numPr>
          <w:ilvl w:val="0"/>
          <w:numId w:val="106"/>
        </w:numPr>
        <w:jc w:val="both"/>
      </w:pPr>
      <w:r>
        <w:t>gdy temperatura podłoża i otoczenia zawiera się w przedz</w:t>
      </w:r>
      <w:r>
        <w:t>iale +10-30 ºC</w:t>
      </w:r>
    </w:p>
    <w:p w:rsidR="00B77F00" w:rsidRDefault="00865FA3">
      <w:pPr>
        <w:pStyle w:val="Standard"/>
        <w:numPr>
          <w:ilvl w:val="0"/>
          <w:numId w:val="106"/>
        </w:numPr>
        <w:jc w:val="both"/>
      </w:pPr>
      <w:r>
        <w:t>wilgotność względna powietrza jest nie mniejsza niź 20% i nie wyższa niż 80%</w:t>
      </w:r>
    </w:p>
    <w:p w:rsidR="00B77F00" w:rsidRDefault="00865FA3">
      <w:pPr>
        <w:pStyle w:val="Standard"/>
        <w:numPr>
          <w:ilvl w:val="0"/>
          <w:numId w:val="106"/>
        </w:numPr>
        <w:jc w:val="both"/>
      </w:pPr>
      <w:r>
        <w:t>temperatura podłoża jest co najmniej o 30 ºC wyższa od temperatury punktu rosy,</w:t>
      </w:r>
    </w:p>
    <w:p w:rsidR="00B77F00" w:rsidRDefault="00865FA3">
      <w:pPr>
        <w:pStyle w:val="Standard"/>
        <w:numPr>
          <w:ilvl w:val="0"/>
          <w:numId w:val="106"/>
        </w:numPr>
        <w:jc w:val="both"/>
      </w:pPr>
      <w:r>
        <w:t>wilgotność podłoża betonowego: matowo-wilgotne, bez zastoin wody lub powietrzno-such</w:t>
      </w:r>
      <w:r>
        <w:t>e zroszone wodą</w:t>
      </w:r>
    </w:p>
    <w:p w:rsidR="00B77F00" w:rsidRDefault="00865FA3">
      <w:pPr>
        <w:pStyle w:val="Standard"/>
        <w:jc w:val="both"/>
      </w:pPr>
      <w:r>
        <w:t>Materiału nie wolno stosować przy silnej ekspozycji światła słonecznego oraz podczas silnego wiatru, bezpośrednio przed deszczem ani wtedy, gdy temperatura otoczenia może spaść poniżej 0ºC w ciągu 48 godzin po aplikacji, specjalnej uwagi w</w:t>
      </w:r>
      <w:r>
        <w:t>ymaga aplikacja w temperaturze powyżej 25ºC</w:t>
      </w:r>
    </w:p>
    <w:p w:rsidR="00B77F00" w:rsidRDefault="00865FA3">
      <w:pPr>
        <w:pStyle w:val="Standard"/>
        <w:jc w:val="both"/>
      </w:pPr>
      <w:r>
        <w:t>5.4. Bezpieczeństwo robót i ochrona środowiska.</w:t>
      </w:r>
    </w:p>
    <w:p w:rsidR="00B77F00" w:rsidRDefault="00865FA3">
      <w:pPr>
        <w:pStyle w:val="Standard"/>
        <w:jc w:val="both"/>
      </w:pPr>
      <w:r>
        <w:t>5.4.1.Wszystkie stosowane materiały i dodatki winny być dostarczane w szczelnych pojemnikach i składowane w warunkach określonych w pkt. 4.2.</w:t>
      </w:r>
    </w:p>
    <w:p w:rsidR="00B77F00" w:rsidRDefault="00865FA3">
      <w:pPr>
        <w:pStyle w:val="Standard"/>
        <w:jc w:val="both"/>
      </w:pPr>
      <w:r>
        <w:t>5.4.2. Materiały z wyj</w:t>
      </w:r>
      <w:r>
        <w:t>ątkiem kruszywa konwertorowego, piasków kwarcowych i maczki kwarcowej podlegają przepisom dotyczącym materiałów niebezpiecznych.</w:t>
      </w:r>
    </w:p>
    <w:p w:rsidR="00B77F00" w:rsidRDefault="00865FA3">
      <w:pPr>
        <w:pStyle w:val="Standard"/>
        <w:jc w:val="both"/>
      </w:pPr>
      <w:r>
        <w:t>5.4.3.W bezpośrednim otoczeniu miejsca pracy zabronione jest używanie ognia otwartego oraz spożywanie posiłków.</w:t>
      </w:r>
    </w:p>
    <w:p w:rsidR="00B77F00" w:rsidRDefault="00865FA3">
      <w:pPr>
        <w:pStyle w:val="Standard"/>
        <w:jc w:val="both"/>
      </w:pPr>
      <w:r>
        <w:t>5.4.4. Wszelkie</w:t>
      </w:r>
      <w:r>
        <w:t xml:space="preserve"> odpady stosowanych materiałów i rozpuszczalników użytych do mycia narzędzi oraz materiałów pomocniczych Wykonawca jest obowiązany usunąć z terenu prac i poddać utylizacji. 5.4.5. Wykonawce obowiązują wszystkie przepisy BHP dotyczące robót mostowych. W cza</w:t>
      </w:r>
      <w:r>
        <w:t>sie mieszania materiału i aplikacji należy unikać zanieczyszczania skóry i oczu. Wymagana jest odzież ochronna, rękawice, okulary i maseczki ochronne. Po zakończonej pracy ręce i twarz umyć wodą z mydłem. Opakowania z resztkami materiału należy utylizować</w:t>
      </w:r>
    </w:p>
    <w:p w:rsidR="00B77F00" w:rsidRDefault="00B77F00">
      <w:pPr>
        <w:pStyle w:val="Standard"/>
        <w:jc w:val="both"/>
      </w:pPr>
    </w:p>
    <w:p w:rsidR="00B77F00" w:rsidRDefault="00865FA3">
      <w:pPr>
        <w:pStyle w:val="Standard"/>
        <w:jc w:val="both"/>
        <w:rPr>
          <w:b/>
          <w:bCs/>
        </w:rPr>
      </w:pPr>
      <w:r>
        <w:rPr>
          <w:b/>
          <w:bCs/>
        </w:rPr>
        <w:t>6. KONTROLA JAKOŚCI ROBÓT</w:t>
      </w:r>
    </w:p>
    <w:p w:rsidR="00B77F00" w:rsidRDefault="00865FA3">
      <w:pPr>
        <w:pStyle w:val="Standard"/>
        <w:jc w:val="both"/>
      </w:pPr>
      <w:r>
        <w:t>6.1. Ogólne zasady kontroli jakości robót.</w:t>
      </w:r>
    </w:p>
    <w:p w:rsidR="00B77F00" w:rsidRDefault="00865FA3">
      <w:pPr>
        <w:pStyle w:val="Standard"/>
        <w:jc w:val="both"/>
      </w:pPr>
      <w:r>
        <w:t>Ogólne zasady kontroli jakości robót podano w ST D-M-00.00.00 „Wymagania ogólne” pkt.6</w:t>
      </w:r>
    </w:p>
    <w:p w:rsidR="00B77F00" w:rsidRDefault="00865FA3">
      <w:pPr>
        <w:pStyle w:val="Standard"/>
        <w:jc w:val="both"/>
      </w:pPr>
      <w:r>
        <w:t>6.2. Kontrola materiałów.</w:t>
      </w:r>
    </w:p>
    <w:p w:rsidR="00B77F00" w:rsidRDefault="00865FA3">
      <w:pPr>
        <w:pStyle w:val="Standard"/>
        <w:jc w:val="both"/>
      </w:pPr>
      <w:r>
        <w:t xml:space="preserve">Wykonawca zobowiązany jest przedstawić do akceptacji Inżyniera- </w:t>
      </w:r>
      <w:r>
        <w:t>technologie wykonania izolacjo-nawierzchni, stosowne Aprobaty Techniczne i atesty materiałów.</w:t>
      </w:r>
    </w:p>
    <w:p w:rsidR="00B77F00" w:rsidRDefault="00865FA3">
      <w:pPr>
        <w:pStyle w:val="Standard"/>
        <w:jc w:val="both"/>
      </w:pPr>
      <w:r>
        <w:t>Inżynier ma obowiązek sprawdzić świadectwo zgodności, daty produkcji materiałów, daty ich przydatności do stosowania, stan opakowań i warunki składowania.</w:t>
      </w:r>
    </w:p>
    <w:p w:rsidR="00B77F00" w:rsidRDefault="00865FA3">
      <w:pPr>
        <w:pStyle w:val="Standard"/>
        <w:jc w:val="both"/>
      </w:pPr>
      <w:r>
        <w:t>6.3. Ko</w:t>
      </w:r>
      <w:r>
        <w:t>ntrola przygotowania podłoża.</w:t>
      </w:r>
    </w:p>
    <w:p w:rsidR="00B77F00" w:rsidRDefault="00865FA3">
      <w:pPr>
        <w:pStyle w:val="Standard"/>
        <w:jc w:val="both"/>
      </w:pPr>
      <w:r>
        <w:t>Wykonawca lub Zamawiający/ w zależności od ustaleń umownych/ ma obowiązek przedstawienia Inżynierowi do akceptacji wyniki badan podłoża które winny odpowiadać wymaganiom zawartym w punktach 5.1.2 i 5.3</w:t>
      </w:r>
    </w:p>
    <w:p w:rsidR="00B77F00" w:rsidRDefault="00865FA3">
      <w:pPr>
        <w:pStyle w:val="Standard"/>
        <w:jc w:val="both"/>
      </w:pPr>
      <w:r>
        <w:t>6.4. Kontrola wykonywani</w:t>
      </w:r>
      <w:r>
        <w:t>a robót.</w:t>
      </w:r>
    </w:p>
    <w:p w:rsidR="00B77F00" w:rsidRDefault="00865FA3">
      <w:pPr>
        <w:pStyle w:val="Standard"/>
        <w:jc w:val="both"/>
      </w:pPr>
      <w:r>
        <w:t>Po wykonaniu robót Wykonawca obowiązany jest przedstawić Inżynierowi d o akceptacji następujące dokumenty:</w:t>
      </w:r>
    </w:p>
    <w:p w:rsidR="00B77F00" w:rsidRDefault="00865FA3">
      <w:pPr>
        <w:pStyle w:val="Standard"/>
        <w:jc w:val="both"/>
      </w:pPr>
      <w:r>
        <w:t>• protokół wykonania izolacjo-nawierzchni zawierający wszelkie niezbędne dane o warunkach w jakich przeprowadzono roboty, stanie używanych m</w:t>
      </w:r>
      <w:r>
        <w:t>ateriałów, parametrach technologicznych wbudowywania materiałów, ilości zastosowanych materiałów;</w:t>
      </w:r>
    </w:p>
    <w:p w:rsidR="00B77F00" w:rsidRDefault="00865FA3">
      <w:pPr>
        <w:pStyle w:val="Standard"/>
        <w:jc w:val="both"/>
      </w:pPr>
      <w:r>
        <w:t>• wyniki badan wykonanej izolacjo-nawierzchni: wytrzymałości na odrywanie metoda „pull off” i grubości warstwy;</w:t>
      </w:r>
    </w:p>
    <w:p w:rsidR="00B77F00" w:rsidRDefault="00865FA3">
      <w:pPr>
        <w:pStyle w:val="Standard"/>
        <w:jc w:val="both"/>
      </w:pPr>
      <w:r>
        <w:t>• ocenę jednorodności kolorystycznej izolacjo-</w:t>
      </w:r>
      <w:r>
        <w:t>nawierzchni.</w:t>
      </w:r>
    </w:p>
    <w:p w:rsidR="00B77F00" w:rsidRDefault="00865FA3">
      <w:pPr>
        <w:pStyle w:val="Standard"/>
        <w:jc w:val="both"/>
      </w:pPr>
      <w:r>
        <w:t>6.4.1. Badanie wytrzymałości izolacjo-nawierzchni na odrywanie od podłoża przeprowadza się metoda ”pull off”, przy średnicy krążka próbnego fi 50 mm/ wg zasady jedno oznaczenie na 25 m2, przy minimum pięciu oznaczeniach wg.PN-EN 1542 na obiekc</w:t>
      </w:r>
      <w:r>
        <w:t>ie/,</w:t>
      </w:r>
    </w:p>
    <w:p w:rsidR="00B77F00" w:rsidRDefault="00865FA3">
      <w:pPr>
        <w:pStyle w:val="Standard"/>
        <w:jc w:val="both"/>
      </w:pPr>
      <w:r>
        <w:t>6.4.2. Sprawdzenie grubości powłok należny wykonywać metodami niszczącymi lub nieniszczącymi wg.norm przedmiotowych z dokładnością do 0,1 mm wykonuj ac jeden pomiar na 25 m2 powłoki lecz nie mniej niż piec pomiarów na obiekcie.</w:t>
      </w:r>
    </w:p>
    <w:p w:rsidR="00B77F00" w:rsidRDefault="00865FA3">
      <w:pPr>
        <w:pStyle w:val="Standard"/>
        <w:jc w:val="both"/>
      </w:pPr>
      <w:r>
        <w:t>Uzyskane wyniki należny</w:t>
      </w:r>
      <w:r>
        <w:t xml:space="preserve"> porównać z grubościami maksymalna i minimalna określonymi w Aprobacie Technicznej dla określonego wariantu wykonania systemu.</w:t>
      </w:r>
    </w:p>
    <w:p w:rsidR="00B77F00" w:rsidRDefault="00865FA3">
      <w:pPr>
        <w:pStyle w:val="Standard"/>
        <w:jc w:val="both"/>
      </w:pPr>
      <w:r>
        <w:t xml:space="preserve">Jeżeli jeden z pomiarów jest mniejszy niż grubość minimalna lub większy niż grubość maksymalna, należy </w:t>
      </w:r>
      <w:r>
        <w:lastRenderedPageBreak/>
        <w:t>wykonać pomiar dodatkowy w</w:t>
      </w:r>
      <w:r>
        <w:t xml:space="preserve"> odległości około jednego metra.</w:t>
      </w:r>
    </w:p>
    <w:p w:rsidR="00B77F00" w:rsidRDefault="00865FA3">
      <w:pPr>
        <w:pStyle w:val="Standard"/>
        <w:jc w:val="both"/>
      </w:pPr>
      <w:r>
        <w:t>Jeżeli ten drugi pomiar będzie mieścił się w określonych granicach to należy uznać, ze ogólna grubość powłoki spełnia wymagania.</w:t>
      </w:r>
    </w:p>
    <w:p w:rsidR="00B77F00" w:rsidRDefault="00865FA3">
      <w:pPr>
        <w:pStyle w:val="Standard"/>
        <w:jc w:val="both"/>
      </w:pPr>
      <w:r>
        <w:t>Wyniki te winny być zgodne z określonymi wcześniej.</w:t>
      </w:r>
    </w:p>
    <w:p w:rsidR="00B77F00" w:rsidRDefault="00B77F00">
      <w:pPr>
        <w:pStyle w:val="Standard"/>
        <w:jc w:val="both"/>
      </w:pPr>
    </w:p>
    <w:p w:rsidR="00B77F00" w:rsidRDefault="00865FA3">
      <w:pPr>
        <w:pStyle w:val="Standard"/>
        <w:jc w:val="both"/>
        <w:rPr>
          <w:b/>
          <w:bCs/>
        </w:rPr>
      </w:pPr>
      <w:r>
        <w:rPr>
          <w:b/>
          <w:bCs/>
        </w:rPr>
        <w:t>7. OBMIAR ROBÓT</w:t>
      </w:r>
    </w:p>
    <w:p w:rsidR="00B77F00" w:rsidRDefault="00865FA3">
      <w:pPr>
        <w:pStyle w:val="Standard"/>
        <w:jc w:val="both"/>
      </w:pPr>
      <w:r>
        <w:t>7.1. Ogólne zasady obmiar</w:t>
      </w:r>
      <w:r>
        <w:t>u robót.</w:t>
      </w:r>
    </w:p>
    <w:p w:rsidR="00B77F00" w:rsidRDefault="00865FA3">
      <w:pPr>
        <w:pStyle w:val="Standard"/>
        <w:jc w:val="both"/>
      </w:pPr>
      <w:r>
        <w:t>Ogólne zasady obmiaru podano w ST D-M-00.00.00 „Wymagania ogólne”,pkt.7</w:t>
      </w:r>
    </w:p>
    <w:p w:rsidR="00B77F00" w:rsidRDefault="00865FA3">
      <w:pPr>
        <w:pStyle w:val="Standard"/>
        <w:jc w:val="both"/>
      </w:pPr>
      <w:r>
        <w:t>7.2. Jednostka obmiarowa.</w:t>
      </w:r>
    </w:p>
    <w:p w:rsidR="00B77F00" w:rsidRDefault="00865FA3">
      <w:pPr>
        <w:pStyle w:val="Standard"/>
        <w:jc w:val="both"/>
      </w:pPr>
      <w:r>
        <w:t>Jednostka obmiaru jest 1m2/jeden metr kwadratowy/ wykonanej powierzchni izolacjonawierzchni</w:t>
      </w:r>
    </w:p>
    <w:p w:rsidR="00B77F00" w:rsidRDefault="00B77F00">
      <w:pPr>
        <w:pStyle w:val="Standard"/>
        <w:jc w:val="both"/>
        <w:rPr>
          <w:shd w:val="clear" w:color="auto" w:fill="FFFF66"/>
        </w:rPr>
      </w:pPr>
    </w:p>
    <w:p w:rsidR="00B77F00" w:rsidRDefault="00865FA3">
      <w:pPr>
        <w:pStyle w:val="Standard"/>
        <w:jc w:val="both"/>
        <w:rPr>
          <w:b/>
          <w:bCs/>
        </w:rPr>
      </w:pPr>
      <w:r>
        <w:rPr>
          <w:b/>
          <w:bCs/>
        </w:rPr>
        <w:t>8. ODBIÓR ROBÓT</w:t>
      </w:r>
    </w:p>
    <w:p w:rsidR="00B77F00" w:rsidRDefault="00865FA3">
      <w:pPr>
        <w:pStyle w:val="Standard"/>
        <w:jc w:val="both"/>
      </w:pPr>
      <w:r>
        <w:t>8.1. Ogólne zasady odbioru robót.</w:t>
      </w:r>
    </w:p>
    <w:p w:rsidR="00B77F00" w:rsidRDefault="00865FA3">
      <w:pPr>
        <w:pStyle w:val="Standard"/>
        <w:jc w:val="both"/>
      </w:pPr>
      <w:r>
        <w:t>Ogólne</w:t>
      </w:r>
      <w:r>
        <w:t xml:space="preserve"> zasady odbioru robót podano w ST D-M-00.00.00 „Wymagania ogólne” pkt.8</w:t>
      </w:r>
    </w:p>
    <w:p w:rsidR="00B77F00" w:rsidRDefault="00865FA3">
      <w:pPr>
        <w:pStyle w:val="Standard"/>
        <w:jc w:val="both"/>
      </w:pPr>
      <w:r>
        <w:t>8.2. Odbiorowi podlegają:</w:t>
      </w:r>
    </w:p>
    <w:p w:rsidR="00B77F00" w:rsidRDefault="00865FA3">
      <w:pPr>
        <w:pStyle w:val="Standard"/>
        <w:jc w:val="both"/>
      </w:pPr>
      <w:r>
        <w:t>• stan przygotowania powierzchni betonowej,</w:t>
      </w:r>
    </w:p>
    <w:p w:rsidR="00B77F00" w:rsidRDefault="00865FA3">
      <w:pPr>
        <w:pStyle w:val="Standard"/>
        <w:jc w:val="both"/>
      </w:pPr>
      <w:r>
        <w:t>• powierzchnia po wykonaniu warstwy gruntującej- odbiór międzyoperacyjny,</w:t>
      </w:r>
    </w:p>
    <w:p w:rsidR="00B77F00" w:rsidRDefault="00865FA3">
      <w:pPr>
        <w:pStyle w:val="Standard"/>
        <w:jc w:val="both"/>
      </w:pPr>
      <w:r>
        <w:t xml:space="preserve">• powierzchnia izolacjo-nawierzchni po </w:t>
      </w:r>
      <w:r>
        <w:t>jej wykonaniu zgodnie z technologia odbiór końcowy.</w:t>
      </w:r>
    </w:p>
    <w:p w:rsidR="00B77F00" w:rsidRDefault="00865FA3">
      <w:pPr>
        <w:pStyle w:val="Standard"/>
        <w:jc w:val="both"/>
      </w:pPr>
      <w:r>
        <w:t>8.2.1. Podstawa odbioru międzyoperacyjnego jest pisemne stwierdzenie” Inspektora”</w:t>
      </w:r>
    </w:p>
    <w:p w:rsidR="00B77F00" w:rsidRDefault="00865FA3">
      <w:pPr>
        <w:pStyle w:val="Standard"/>
        <w:jc w:val="both"/>
      </w:pPr>
      <w:r>
        <w:t>w dzienniku budowy o wykonaniu robót określonego rodzaju, zgodnie z projektem technicznym, wymaganiami zawartymi w SST ora</w:t>
      </w:r>
      <w:r>
        <w:t>z wyrażenie zgody na przystąpienie przez Wykonawce do realizacji kolejnej fazy robót.</w:t>
      </w:r>
    </w:p>
    <w:p w:rsidR="00B77F00" w:rsidRDefault="00865FA3">
      <w:pPr>
        <w:pStyle w:val="Standard"/>
        <w:jc w:val="both"/>
      </w:pPr>
      <w:r>
        <w:t>8.2.2. Podstawa odbioru końcowego jest pisemne stwierdzenie „Inspektora” w dzienniku budowy zakończenia wszystkich robót związanych z wykonaniem izolacjo nawierzchni i sp</w:t>
      </w:r>
      <w:r>
        <w:t>ełnienia wymagań określonych w projekcie technicznym, SST oraz innych warunków dotyczących tych robót określonych w umowie Zamawiającego Wykonawca.</w:t>
      </w:r>
    </w:p>
    <w:p w:rsidR="00B77F00" w:rsidRDefault="00865FA3">
      <w:pPr>
        <w:pStyle w:val="Standard"/>
        <w:jc w:val="both"/>
      </w:pPr>
      <w:r>
        <w:t>8.2.3. Odbiory wykonuje się na podstawie wyników pomiarów, badan i ocenywizualnej.</w:t>
      </w:r>
    </w:p>
    <w:p w:rsidR="00B77F00" w:rsidRDefault="00B77F00">
      <w:pPr>
        <w:pStyle w:val="Standard"/>
        <w:jc w:val="both"/>
        <w:rPr>
          <w:shd w:val="clear" w:color="auto" w:fill="FFFF66"/>
        </w:rPr>
      </w:pPr>
    </w:p>
    <w:p w:rsidR="00B77F00" w:rsidRDefault="00865FA3">
      <w:pPr>
        <w:pStyle w:val="Standard"/>
        <w:jc w:val="both"/>
        <w:rPr>
          <w:b/>
          <w:bCs/>
        </w:rPr>
      </w:pPr>
      <w:r>
        <w:rPr>
          <w:b/>
          <w:bCs/>
        </w:rPr>
        <w:t>9. PODSTAWA PŁATNOŚCI</w:t>
      </w:r>
    </w:p>
    <w:p w:rsidR="00B77F00" w:rsidRDefault="00865FA3">
      <w:pPr>
        <w:pStyle w:val="Standard"/>
        <w:jc w:val="both"/>
      </w:pPr>
      <w:r>
        <w:t>9.</w:t>
      </w:r>
      <w:r>
        <w:t>1. Ogólne ustalenia dotyczące podstawy płatności.</w:t>
      </w:r>
    </w:p>
    <w:p w:rsidR="00B77F00" w:rsidRDefault="00865FA3">
      <w:pPr>
        <w:pStyle w:val="Standard"/>
        <w:jc w:val="both"/>
      </w:pPr>
      <w:r>
        <w:t>Ogólne ustalenia dotyczące podstawy płatności podano w ST D-M-00.00.00 ”Wymagania ogólne” pkt.9</w:t>
      </w:r>
    </w:p>
    <w:p w:rsidR="00B77F00" w:rsidRDefault="00865FA3">
      <w:pPr>
        <w:pStyle w:val="Standard"/>
        <w:jc w:val="both"/>
      </w:pPr>
      <w:r>
        <w:t>9.2. Cena jednostki obmiarowej.</w:t>
      </w:r>
    </w:p>
    <w:p w:rsidR="00B77F00" w:rsidRDefault="00865FA3">
      <w:pPr>
        <w:pStyle w:val="Standard"/>
        <w:jc w:val="both"/>
      </w:pPr>
      <w:r>
        <w:t>Cena jednostki obmiarowej obejmuje:</w:t>
      </w:r>
    </w:p>
    <w:p w:rsidR="00B77F00" w:rsidRDefault="00865FA3">
      <w:pPr>
        <w:pStyle w:val="Standard"/>
        <w:jc w:val="both"/>
      </w:pPr>
      <w:r>
        <w:t>-zakup, dostawę i magazynowanie materiałów</w:t>
      </w:r>
      <w:r>
        <w:t xml:space="preserve"> stosowanych w robotach,</w:t>
      </w:r>
    </w:p>
    <w:p w:rsidR="00B77F00" w:rsidRDefault="00865FA3">
      <w:pPr>
        <w:pStyle w:val="Standard"/>
        <w:jc w:val="both"/>
      </w:pPr>
      <w:r>
        <w:t>-przygotowanie podłoża do wykonania izolacjo-nawierzchni,</w:t>
      </w:r>
    </w:p>
    <w:p w:rsidR="00B77F00" w:rsidRDefault="00865FA3">
      <w:pPr>
        <w:pStyle w:val="Standard"/>
        <w:jc w:val="both"/>
      </w:pPr>
      <w:r>
        <w:t>-wykonanie izolacjo-nawierzchni,</w:t>
      </w:r>
    </w:p>
    <w:p w:rsidR="00B77F00" w:rsidRDefault="00865FA3">
      <w:pPr>
        <w:pStyle w:val="Standard"/>
        <w:jc w:val="both"/>
      </w:pPr>
      <w:r>
        <w:t>-wykonanie badan,</w:t>
      </w:r>
    </w:p>
    <w:p w:rsidR="00B77F00" w:rsidRDefault="00865FA3">
      <w:pPr>
        <w:pStyle w:val="Standard"/>
        <w:jc w:val="both"/>
      </w:pPr>
      <w:r>
        <w:t>-zapewnienie bezpieczeństwa robót,</w:t>
      </w:r>
    </w:p>
    <w:p w:rsidR="00B77F00" w:rsidRDefault="00865FA3">
      <w:pPr>
        <w:pStyle w:val="Standard"/>
        <w:jc w:val="both"/>
      </w:pPr>
      <w:r>
        <w:t>- m</w:t>
      </w:r>
      <w:r>
        <w:t>ontaż kątownika stalowego 5x5cm,</w:t>
      </w:r>
    </w:p>
    <w:p w:rsidR="00B77F00" w:rsidRDefault="00865FA3">
      <w:pPr>
        <w:pStyle w:val="Standard"/>
        <w:jc w:val="both"/>
      </w:pPr>
      <w:r>
        <w:t>-uporządkowanie strefy robót po ich zakończeniu.</w:t>
      </w:r>
    </w:p>
    <w:p w:rsidR="00B77F00" w:rsidRDefault="00865FA3">
      <w:pPr>
        <w:pStyle w:val="Standard"/>
        <w:jc w:val="both"/>
      </w:pPr>
      <w:r>
        <w:t xml:space="preserve">W </w:t>
      </w:r>
      <w:r>
        <w:t>wycenie pozycji należy ująć wszystkie niezbędne materiały oraz czynniki do wykonania robót.</w:t>
      </w:r>
    </w:p>
    <w:p w:rsidR="00B77F00" w:rsidRDefault="00B77F00">
      <w:pPr>
        <w:pStyle w:val="Standard"/>
        <w:jc w:val="both"/>
      </w:pPr>
    </w:p>
    <w:p w:rsidR="00B77F00" w:rsidRDefault="00865FA3">
      <w:pPr>
        <w:pStyle w:val="Standard"/>
        <w:jc w:val="both"/>
      </w:pPr>
      <w:r>
        <w:t>10. Przepisy związane</w:t>
      </w:r>
    </w:p>
    <w:p w:rsidR="00B77F00" w:rsidRDefault="00865FA3">
      <w:pPr>
        <w:pStyle w:val="Standard"/>
        <w:jc w:val="both"/>
      </w:pPr>
      <w:r>
        <w:t>10.1.Normy:</w:t>
      </w:r>
    </w:p>
    <w:p w:rsidR="00B77F00" w:rsidRDefault="00865FA3">
      <w:pPr>
        <w:pStyle w:val="TableContents"/>
        <w:numPr>
          <w:ilvl w:val="0"/>
          <w:numId w:val="107"/>
        </w:numPr>
        <w:jc w:val="both"/>
      </w:pPr>
      <w:r>
        <w:t>PN-EN 1428:2012 Asfalty i lepiszcza asfaltowe -- Oznaczanie zawartości wody w emulsjach asfaltowych - Metoda destylacji azeotropo</w:t>
      </w:r>
      <w:r>
        <w:t>wej</w:t>
      </w:r>
    </w:p>
    <w:p w:rsidR="00B77F00" w:rsidRDefault="00865FA3">
      <w:pPr>
        <w:pStyle w:val="TableContents"/>
        <w:numPr>
          <w:ilvl w:val="0"/>
          <w:numId w:val="107"/>
        </w:numPr>
        <w:jc w:val="both"/>
      </w:pPr>
      <w:r>
        <w:t>PN-EN 12846-1:2011 Asfalty i lepiszcza asfaltowe -- Oznaczanie czasu wypływu lepkościomierzem wypływowym - Część 1: Emulsje asfaltowe</w:t>
      </w:r>
    </w:p>
    <w:p w:rsidR="00B77F00" w:rsidRDefault="00865FA3">
      <w:pPr>
        <w:pStyle w:val="TableContents"/>
        <w:numPr>
          <w:ilvl w:val="0"/>
          <w:numId w:val="107"/>
        </w:numPr>
        <w:jc w:val="both"/>
      </w:pPr>
      <w:r>
        <w:t>PN-EN 1429:2013 Asfalty i lepiszcza asfaltowe -- Oznaczanie pozostałości na sicie emulsji asfaltowych oraz trwałości p</w:t>
      </w:r>
      <w:r>
        <w:t>odczas magazynowania metodą pozostałości na sicie</w:t>
      </w:r>
    </w:p>
    <w:p w:rsidR="00B77F00" w:rsidRDefault="00865FA3">
      <w:pPr>
        <w:pStyle w:val="TableContents"/>
        <w:numPr>
          <w:ilvl w:val="0"/>
          <w:numId w:val="107"/>
        </w:numPr>
        <w:jc w:val="both"/>
      </w:pPr>
      <w:r>
        <w:t>PN-EN 13075-1:2011 Asfalty i lepiszcza asfaltowe -- Badanie rozpadu -- Część 1: Oznaczanie indeksu rozpadu kationowych emulsji asfaltowych, metoda z wypełniaczem mineralnym</w:t>
      </w:r>
    </w:p>
    <w:p w:rsidR="00B77F00" w:rsidRDefault="00865FA3">
      <w:pPr>
        <w:pStyle w:val="TableContents"/>
        <w:numPr>
          <w:ilvl w:val="0"/>
          <w:numId w:val="107"/>
        </w:numPr>
        <w:jc w:val="both"/>
      </w:pPr>
      <w:r>
        <w:t>PN-EN 1426:2015 Asfalty i lepiszc</w:t>
      </w:r>
      <w:r>
        <w:t>za asfaltowe -- Oznaczanie penetracji igłą</w:t>
      </w:r>
    </w:p>
    <w:p w:rsidR="00B77F00" w:rsidRDefault="00865FA3">
      <w:pPr>
        <w:pStyle w:val="TableContents"/>
        <w:numPr>
          <w:ilvl w:val="0"/>
          <w:numId w:val="107"/>
        </w:numPr>
        <w:jc w:val="both"/>
      </w:pPr>
      <w:r>
        <w:t>PN-EN 1427:2015 Asfalty i lepiszcza asfaltowe -- Oznaczanie temperatury mięknienia -- Metoda Pierścień i Kula</w:t>
      </w:r>
    </w:p>
    <w:p w:rsidR="00B77F00" w:rsidRDefault="00865FA3">
      <w:pPr>
        <w:pStyle w:val="TableContents"/>
        <w:numPr>
          <w:ilvl w:val="0"/>
          <w:numId w:val="107"/>
        </w:numPr>
        <w:jc w:val="both"/>
      </w:pPr>
      <w:r>
        <w:t>PN-EN 12593:2015 Asfalty i lepiszcza asfaltowe -- Oznaczanie temperatury łamliwości metodą Fraassa</w:t>
      </w:r>
    </w:p>
    <w:p w:rsidR="00B77F00" w:rsidRDefault="00865FA3">
      <w:pPr>
        <w:pStyle w:val="TableContents"/>
        <w:numPr>
          <w:ilvl w:val="0"/>
          <w:numId w:val="107"/>
        </w:numPr>
        <w:jc w:val="both"/>
      </w:pPr>
      <w:r>
        <w:t>PN-EN 13398:2012 Asfalty i lepiszcza asfaltowe -- Oznaczanie nawrotu sprężystego asfaltów modyfikowanych</w:t>
      </w:r>
    </w:p>
    <w:p w:rsidR="00B77F00" w:rsidRDefault="00865FA3">
      <w:pPr>
        <w:pStyle w:val="TableContents"/>
        <w:numPr>
          <w:ilvl w:val="0"/>
          <w:numId w:val="107"/>
        </w:numPr>
        <w:jc w:val="both"/>
      </w:pPr>
      <w:r>
        <w:lastRenderedPageBreak/>
        <w:t>PN-EN 13588:2009 Asfalty i lepiszcza asfaltowe -- Oznaczanie kohezji lepiszczy asfaltowych metodą testu wahadłowego</w:t>
      </w:r>
    </w:p>
    <w:p w:rsidR="00B77F00" w:rsidRDefault="00865FA3">
      <w:pPr>
        <w:pStyle w:val="TableContents"/>
        <w:numPr>
          <w:ilvl w:val="0"/>
          <w:numId w:val="107"/>
        </w:numPr>
        <w:jc w:val="both"/>
      </w:pPr>
      <w:r>
        <w:t>PN-EN 1767:2008 Wyroby i systemy do</w:t>
      </w:r>
      <w:r>
        <w:t xml:space="preserve"> ochrony i napraw konstrukcji betonowych -- Metody badań -- Analiza w podczerwieni</w:t>
      </w:r>
    </w:p>
    <w:p w:rsidR="00B77F00" w:rsidRDefault="00865FA3">
      <w:pPr>
        <w:pStyle w:val="TableContents"/>
        <w:numPr>
          <w:ilvl w:val="0"/>
          <w:numId w:val="107"/>
        </w:numPr>
        <w:jc w:val="both"/>
      </w:pPr>
      <w:r>
        <w:t>PN-EN 13043:2004 Kruszywa do mieszanek bitumicznych i powierzchniowych utrwaleń stosowanych na drogach, lotniskach i innych powierzchniach przeznaczonych do ruchu</w:t>
      </w:r>
    </w:p>
    <w:p w:rsidR="00B77F00" w:rsidRDefault="00865FA3">
      <w:pPr>
        <w:pStyle w:val="TableContents"/>
        <w:numPr>
          <w:ilvl w:val="0"/>
          <w:numId w:val="107"/>
        </w:numPr>
        <w:jc w:val="both"/>
      </w:pPr>
      <w:r>
        <w:t>PN-EN 1542</w:t>
      </w:r>
      <w:r>
        <w:t>:2000 Wyroby i systemy do ochrony i napraw konstrukcji betonowych -- Metody badań -- Pomiar przyczepności przez odrywanie</w:t>
      </w:r>
    </w:p>
    <w:p w:rsidR="00B77F00" w:rsidRDefault="00865FA3">
      <w:pPr>
        <w:pStyle w:val="TableContents"/>
        <w:numPr>
          <w:ilvl w:val="0"/>
          <w:numId w:val="107"/>
        </w:numPr>
        <w:jc w:val="both"/>
      </w:pPr>
      <w:r>
        <w:t>PN-EN ISO 9001:2015 Systemy zarządzania jakością -- Wymagania</w:t>
      </w:r>
    </w:p>
    <w:p w:rsidR="00B77F00" w:rsidRDefault="00865FA3">
      <w:pPr>
        <w:pStyle w:val="Standard"/>
        <w:numPr>
          <w:ilvl w:val="0"/>
          <w:numId w:val="107"/>
        </w:numPr>
        <w:jc w:val="both"/>
      </w:pPr>
      <w:r>
        <w:t>normy serii PN-EN1504 Wyroby i systemy do ochrony i napraw konstrukcji b</w:t>
      </w:r>
      <w:r>
        <w:t>etonowych -- Definicje, wymagania, sterowanie jakością i ocena zgodności</w:t>
      </w:r>
    </w:p>
    <w:p w:rsidR="00B77F00" w:rsidRDefault="00865FA3">
      <w:pPr>
        <w:pStyle w:val="Standard"/>
        <w:numPr>
          <w:ilvl w:val="0"/>
          <w:numId w:val="107"/>
        </w:numPr>
        <w:jc w:val="both"/>
      </w:pPr>
      <w:r>
        <w:t>PN-EN ISO 8503-2:2012 Przygotowanie podłoży stalowych przed nakładaniem farb i podobnych produktów -- Charakterystyki chropowatości powierzchni podłoży stalowych po obróbce strumienio</w:t>
      </w:r>
      <w:r>
        <w:t>wo-ściernej -- Część 2: Metoda stopniowania profilu powierzchni stalowych po obróbce strumieniowo-ściernej -- Sposób postępowania z użyciem wzorca</w:t>
      </w:r>
    </w:p>
    <w:p w:rsidR="00B77F00" w:rsidRDefault="00865FA3">
      <w:pPr>
        <w:pStyle w:val="Standard"/>
        <w:numPr>
          <w:ilvl w:val="0"/>
          <w:numId w:val="107"/>
        </w:numPr>
        <w:jc w:val="both"/>
      </w:pPr>
      <w:r>
        <w:t>Atest Higieniczny Nr HK/BOO48/01/2004</w:t>
      </w:r>
    </w:p>
    <w:p w:rsidR="00B77F00" w:rsidRDefault="00865FA3">
      <w:pPr>
        <w:pStyle w:val="Standard"/>
        <w:jc w:val="both"/>
      </w:pPr>
      <w:r>
        <w:t>10.2. Inne dokumenty.</w:t>
      </w:r>
    </w:p>
    <w:p w:rsidR="00B77F00" w:rsidRDefault="00865FA3">
      <w:pPr>
        <w:pStyle w:val="Standard"/>
        <w:numPr>
          <w:ilvl w:val="0"/>
          <w:numId w:val="108"/>
        </w:numPr>
        <w:jc w:val="both"/>
      </w:pPr>
      <w:r>
        <w:t>Katalog zabezpieczeń powierzchniowych drogowych o</w:t>
      </w:r>
      <w:r>
        <w:t>biektów inżynierskich.</w:t>
      </w:r>
    </w:p>
    <w:p w:rsidR="00B77F00" w:rsidRDefault="00865FA3">
      <w:pPr>
        <w:pStyle w:val="Standard"/>
        <w:numPr>
          <w:ilvl w:val="0"/>
          <w:numId w:val="108"/>
        </w:numPr>
        <w:jc w:val="both"/>
      </w:pPr>
      <w:r>
        <w:t>Część I Wymagania. Opracowanie IBDiM 2002.</w:t>
      </w:r>
    </w:p>
    <w:p w:rsidR="00B77F00" w:rsidRDefault="00865FA3">
      <w:pPr>
        <w:pStyle w:val="Standard"/>
        <w:numPr>
          <w:ilvl w:val="0"/>
          <w:numId w:val="108"/>
        </w:numPr>
        <w:jc w:val="both"/>
      </w:pPr>
      <w:r>
        <w:t>Aprobaty Techniczne IBDiM.</w:t>
      </w:r>
    </w:p>
    <w:p w:rsidR="00B77F00" w:rsidRDefault="00865FA3">
      <w:pPr>
        <w:pStyle w:val="Standard"/>
        <w:numPr>
          <w:ilvl w:val="0"/>
          <w:numId w:val="108"/>
        </w:numPr>
        <w:jc w:val="both"/>
      </w:pPr>
      <w:r>
        <w:t>Karty Techniczne materiałów.</w:t>
      </w:r>
    </w:p>
    <w:p w:rsidR="00B77F00" w:rsidRDefault="00B77F00">
      <w:pPr>
        <w:pStyle w:val="Standard"/>
        <w:jc w:val="both"/>
      </w:pPr>
    </w:p>
    <w:p w:rsidR="00B77F00" w:rsidRDefault="00B77F00">
      <w:pPr>
        <w:pStyle w:val="Standard"/>
        <w:jc w:val="both"/>
      </w:pPr>
    </w:p>
    <w:p w:rsidR="00B77F00" w:rsidRDefault="00B77F00">
      <w:pPr>
        <w:pStyle w:val="Standard"/>
        <w:jc w:val="both"/>
      </w:pPr>
    </w:p>
    <w:p w:rsidR="00B77F00" w:rsidRDefault="00B77F00">
      <w:pPr>
        <w:pStyle w:val="Textbody"/>
        <w:tabs>
          <w:tab w:val="left" w:pos="2280"/>
        </w:tabs>
        <w:jc w:val="both"/>
        <w:rPr>
          <w:rFonts w:cs="Arial"/>
        </w:rPr>
      </w:pPr>
    </w:p>
    <w:p w:rsidR="00B77F00" w:rsidRDefault="00B77F00">
      <w:pPr>
        <w:pStyle w:val="Textbody"/>
        <w:tabs>
          <w:tab w:val="left" w:pos="2280"/>
        </w:tabs>
        <w:jc w:val="both"/>
        <w:rPr>
          <w:rFonts w:cs="Arial"/>
        </w:rPr>
      </w:pPr>
    </w:p>
    <w:p w:rsidR="00B77F00" w:rsidRDefault="00B77F00">
      <w:pPr>
        <w:pStyle w:val="Textbody"/>
        <w:tabs>
          <w:tab w:val="left" w:pos="2280"/>
        </w:tabs>
        <w:jc w:val="both"/>
        <w:rPr>
          <w:rFonts w:cs="Arial"/>
        </w:rPr>
      </w:pPr>
    </w:p>
    <w:p w:rsidR="00B77F00" w:rsidRDefault="00B77F00">
      <w:pPr>
        <w:pStyle w:val="Textbody"/>
        <w:tabs>
          <w:tab w:val="left" w:pos="2280"/>
        </w:tabs>
        <w:jc w:val="both"/>
        <w:rPr>
          <w:rFonts w:cs="Arial"/>
        </w:rPr>
      </w:pPr>
    </w:p>
    <w:p w:rsidR="00B77F00" w:rsidRDefault="00B77F00">
      <w:pPr>
        <w:pStyle w:val="Textbody"/>
        <w:tabs>
          <w:tab w:val="left" w:pos="2280"/>
        </w:tabs>
        <w:jc w:val="both"/>
        <w:rPr>
          <w:rFonts w:cs="Arial"/>
        </w:rPr>
      </w:pPr>
    </w:p>
    <w:p w:rsidR="00B77F00" w:rsidRDefault="00B77F00">
      <w:pPr>
        <w:pStyle w:val="Textbody"/>
        <w:tabs>
          <w:tab w:val="left" w:pos="2280"/>
        </w:tabs>
        <w:jc w:val="both"/>
        <w:rPr>
          <w:rFonts w:cs="Arial"/>
        </w:rPr>
      </w:pPr>
    </w:p>
    <w:p w:rsidR="00B77F00" w:rsidRDefault="00B77F00">
      <w:pPr>
        <w:pStyle w:val="Textbody"/>
        <w:tabs>
          <w:tab w:val="left" w:pos="2280"/>
        </w:tabs>
        <w:jc w:val="both"/>
        <w:rPr>
          <w:rFonts w:cs="Arial"/>
        </w:rPr>
      </w:pPr>
    </w:p>
    <w:p w:rsidR="00B77F00" w:rsidRDefault="00B77F00">
      <w:pPr>
        <w:pStyle w:val="Textbody"/>
        <w:tabs>
          <w:tab w:val="left" w:pos="2280"/>
        </w:tabs>
        <w:jc w:val="both"/>
        <w:rPr>
          <w:rFonts w:cs="Arial"/>
        </w:rPr>
      </w:pPr>
    </w:p>
    <w:p w:rsidR="00B77F00" w:rsidRDefault="00B77F00">
      <w:pPr>
        <w:pStyle w:val="Textbody"/>
        <w:tabs>
          <w:tab w:val="left" w:pos="2280"/>
        </w:tabs>
        <w:jc w:val="both"/>
        <w:rPr>
          <w:rFonts w:cs="Arial"/>
        </w:rPr>
      </w:pPr>
    </w:p>
    <w:p w:rsidR="00B77F00" w:rsidRDefault="00B77F00">
      <w:pPr>
        <w:pStyle w:val="Textbody"/>
        <w:tabs>
          <w:tab w:val="left" w:pos="2280"/>
        </w:tabs>
        <w:jc w:val="both"/>
        <w:rPr>
          <w:rFonts w:cs="Arial"/>
        </w:rPr>
      </w:pPr>
    </w:p>
    <w:p w:rsidR="00B77F00" w:rsidRDefault="00B77F00">
      <w:pPr>
        <w:pStyle w:val="Textbody"/>
        <w:tabs>
          <w:tab w:val="left" w:pos="2280"/>
        </w:tabs>
        <w:jc w:val="both"/>
        <w:rPr>
          <w:rFonts w:cs="Arial"/>
        </w:rPr>
      </w:pPr>
    </w:p>
    <w:p w:rsidR="00B77F00" w:rsidRDefault="00B77F00">
      <w:pPr>
        <w:pStyle w:val="Textbody"/>
        <w:tabs>
          <w:tab w:val="left" w:pos="2280"/>
        </w:tabs>
        <w:jc w:val="both"/>
        <w:rPr>
          <w:rFonts w:cs="Arial"/>
        </w:rPr>
      </w:pPr>
    </w:p>
    <w:p w:rsidR="00B77F00" w:rsidRDefault="00B77F00">
      <w:pPr>
        <w:pStyle w:val="Textbody"/>
        <w:tabs>
          <w:tab w:val="left" w:pos="2280"/>
        </w:tabs>
        <w:jc w:val="both"/>
        <w:rPr>
          <w:rFonts w:cs="Arial"/>
        </w:rPr>
      </w:pPr>
    </w:p>
    <w:p w:rsidR="00B77F00" w:rsidRDefault="00B77F00">
      <w:pPr>
        <w:pStyle w:val="Textbody"/>
        <w:tabs>
          <w:tab w:val="left" w:pos="2280"/>
        </w:tabs>
        <w:jc w:val="both"/>
        <w:rPr>
          <w:rFonts w:cs="Arial"/>
        </w:rPr>
      </w:pPr>
    </w:p>
    <w:p w:rsidR="00B77F00" w:rsidRDefault="00B77F00">
      <w:pPr>
        <w:pStyle w:val="Textbody"/>
        <w:tabs>
          <w:tab w:val="left" w:pos="2280"/>
        </w:tabs>
        <w:jc w:val="both"/>
        <w:rPr>
          <w:rFonts w:cs="Arial"/>
        </w:rPr>
      </w:pPr>
    </w:p>
    <w:p w:rsidR="00B77F00" w:rsidRDefault="00865FA3">
      <w:pPr>
        <w:pStyle w:val="Nagwek2"/>
        <w:pageBreakBefore/>
        <w:jc w:val="both"/>
      </w:pPr>
      <w:bookmarkStart w:id="12" w:name="__RefHeading___Toc33333_995285956"/>
      <w:r>
        <w:lastRenderedPageBreak/>
        <w:t>M.15.05.00 Frezowanie nawierzchni</w:t>
      </w:r>
      <w:bookmarkEnd w:id="12"/>
    </w:p>
    <w:p w:rsidR="00B77F00" w:rsidRDefault="00865FA3">
      <w:pPr>
        <w:pStyle w:val="Nagwek2"/>
      </w:pPr>
      <w:bookmarkStart w:id="13" w:name="__RefHeading___Toc379014_469610192"/>
      <w:r>
        <w:t>M.15.05.11   Frezowanie nawierzchni asfaltowych na zimno</w:t>
      </w:r>
      <w:bookmarkEnd w:id="13"/>
    </w:p>
    <w:p w:rsidR="00B77F00" w:rsidRDefault="00B77F00">
      <w:pPr>
        <w:pStyle w:val="Textbody"/>
        <w:spacing w:after="0"/>
        <w:rPr>
          <w:rFonts w:eastAsia="Symbol" w:cs="Arial"/>
        </w:rPr>
      </w:pPr>
    </w:p>
    <w:p w:rsidR="00B77F00" w:rsidRDefault="00865FA3">
      <w:pPr>
        <w:pStyle w:val="Textbody"/>
        <w:spacing w:after="0"/>
        <w:rPr>
          <w:rFonts w:eastAsia="Symbol"/>
          <w:b/>
        </w:rPr>
      </w:pPr>
      <w:r>
        <w:rPr>
          <w:rFonts w:eastAsia="Symbol"/>
          <w:b/>
        </w:rPr>
        <w:t>1. WSTĘP</w:t>
      </w:r>
    </w:p>
    <w:p w:rsidR="00B77F00" w:rsidRDefault="00B77F00">
      <w:pPr>
        <w:pStyle w:val="Textbody"/>
        <w:spacing w:after="0"/>
        <w:rPr>
          <w:rFonts w:eastAsia="Symbol"/>
          <w:b/>
        </w:rPr>
      </w:pPr>
    </w:p>
    <w:p w:rsidR="00B77F00" w:rsidRDefault="00865FA3">
      <w:pPr>
        <w:pStyle w:val="Textbody"/>
        <w:spacing w:after="0"/>
        <w:rPr>
          <w:rFonts w:eastAsia="Symbol"/>
          <w:b/>
        </w:rPr>
      </w:pPr>
      <w:r>
        <w:rPr>
          <w:rFonts w:eastAsia="Symbol"/>
          <w:b/>
        </w:rPr>
        <w:t>1.1. Przedmiot</w:t>
      </w:r>
      <w:r>
        <w:rPr>
          <w:rFonts w:eastAsia="Symbol"/>
          <w:b/>
        </w:rPr>
        <w:t xml:space="preserve"> ST</w:t>
      </w:r>
    </w:p>
    <w:p w:rsidR="00B77F00" w:rsidRDefault="00865FA3">
      <w:pPr>
        <w:pStyle w:val="Textbody"/>
        <w:spacing w:after="0"/>
        <w:ind w:firstLine="709"/>
        <w:jc w:val="both"/>
        <w:rPr>
          <w:rFonts w:eastAsia="Symbol"/>
        </w:rPr>
      </w:pPr>
      <w:r>
        <w:rPr>
          <w:rFonts w:eastAsia="Symbol"/>
        </w:rPr>
        <w:t xml:space="preserve">Przedmiotem niniejszej specyfikacji technicznej (ST) są wymagania dotyczące wykonania i odbioru robót związanych z frezowaniem nawierzchni asfaltowych na zimno objętych Projektem Wykonawczym dla zadania: </w:t>
      </w:r>
      <w:r>
        <w:rPr>
          <w:rStyle w:val="WW-DefaultParagraphFont"/>
          <w:rFonts w:eastAsia="Times New Roman" w:cs="Arial"/>
          <w:color w:val="000000"/>
          <w:spacing w:val="-3"/>
          <w:lang w:val="pl-PL" w:bidi="ar-SA"/>
        </w:rPr>
        <w:t>„Remont mostu na rzece Wiązownica w msc. Wrzos w</w:t>
      </w:r>
      <w:r>
        <w:rPr>
          <w:rStyle w:val="WW-DefaultParagraphFont"/>
          <w:rFonts w:eastAsia="Times New Roman" w:cs="Arial"/>
          <w:color w:val="000000"/>
          <w:spacing w:val="-3"/>
          <w:lang w:val="pl-PL" w:bidi="ar-SA"/>
        </w:rPr>
        <w:t xml:space="preserve"> ciągu drogi powiatowej nr 3501W Wrzeszczów – Wrzos - Domaniów w km 4+206”.</w:t>
      </w:r>
    </w:p>
    <w:p w:rsidR="00B77F00" w:rsidRDefault="00B77F00">
      <w:pPr>
        <w:pStyle w:val="Textbody"/>
        <w:spacing w:after="0"/>
        <w:jc w:val="both"/>
        <w:rPr>
          <w:rFonts w:eastAsia="Symbol"/>
        </w:rPr>
      </w:pPr>
    </w:p>
    <w:p w:rsidR="00B77F00" w:rsidRDefault="00865FA3">
      <w:pPr>
        <w:pStyle w:val="Textbody"/>
        <w:spacing w:after="0"/>
        <w:jc w:val="both"/>
        <w:rPr>
          <w:rFonts w:eastAsia="Symbol"/>
          <w:b/>
        </w:rPr>
      </w:pPr>
      <w:r>
        <w:rPr>
          <w:rFonts w:eastAsia="Symbol"/>
          <w:b/>
        </w:rPr>
        <w:t>1.2. Zakres stosowania ST</w:t>
      </w:r>
    </w:p>
    <w:p w:rsidR="00B77F00" w:rsidRDefault="00865FA3">
      <w:pPr>
        <w:pStyle w:val="Textbody"/>
        <w:spacing w:after="0"/>
        <w:ind w:firstLine="709"/>
        <w:jc w:val="both"/>
        <w:rPr>
          <w:rFonts w:eastAsia="Symbol"/>
        </w:rPr>
      </w:pPr>
      <w:r>
        <w:rPr>
          <w:rFonts w:eastAsia="Symbol"/>
        </w:rPr>
        <w:t>SST jest stosowana jako dokument przetargowy i kontraktowy pr</w:t>
      </w:r>
      <w:r>
        <w:rPr>
          <w:rFonts w:eastAsia="Symbol"/>
        </w:rPr>
        <w:t>zy zlecaniu i realizacji robót wymienionych w pkt. 1.1.</w:t>
      </w:r>
    </w:p>
    <w:p w:rsidR="00B77F00" w:rsidRDefault="00B77F00">
      <w:pPr>
        <w:pStyle w:val="Textbody"/>
        <w:spacing w:after="0"/>
        <w:jc w:val="both"/>
        <w:rPr>
          <w:rFonts w:eastAsia="Symbol"/>
        </w:rPr>
      </w:pPr>
    </w:p>
    <w:p w:rsidR="00B77F00" w:rsidRDefault="00865FA3">
      <w:pPr>
        <w:pStyle w:val="Textbody"/>
        <w:spacing w:after="0"/>
        <w:jc w:val="both"/>
        <w:rPr>
          <w:rFonts w:eastAsia="Symbol"/>
          <w:b/>
        </w:rPr>
      </w:pPr>
      <w:r>
        <w:rPr>
          <w:rFonts w:eastAsia="Symbol"/>
          <w:b/>
        </w:rPr>
        <w:t>1.3. Zakres robót objętych w ST</w:t>
      </w:r>
    </w:p>
    <w:p w:rsidR="00B77F00" w:rsidRDefault="00865FA3">
      <w:pPr>
        <w:pStyle w:val="Textbody"/>
        <w:spacing w:after="0"/>
        <w:ind w:firstLine="709"/>
        <w:jc w:val="both"/>
        <w:rPr>
          <w:rFonts w:eastAsia="Symbol"/>
        </w:rPr>
      </w:pPr>
      <w:r>
        <w:rPr>
          <w:rFonts w:eastAsia="Symbol"/>
        </w:rPr>
        <w:t>Ustalenia zawarte w niniejszej specyfikacji dotyczą zasad prowadzenia robót związanych z wykonaniem frezowania nawierzchni asfaltowych na zimno w celu usunięcia zdefor</w:t>
      </w:r>
      <w:r>
        <w:rPr>
          <w:rFonts w:eastAsia="Symbol"/>
        </w:rPr>
        <w:t>mowanej i zniszczonej nawierzchni, ułożenia w jej miejsce nowej nawierzchni oraz dopasowania projektowanej niwelety do stanu istniejącego na początku i na końcu projektowanego odcinka. Roboty obejmują wykonanie frezowania nawierzchni do grubości 10cm.</w:t>
      </w:r>
    </w:p>
    <w:p w:rsidR="00B77F00" w:rsidRDefault="00B77F00">
      <w:pPr>
        <w:pStyle w:val="Textbody"/>
        <w:spacing w:after="0"/>
        <w:rPr>
          <w:rFonts w:eastAsia="Symbol"/>
        </w:rPr>
      </w:pPr>
    </w:p>
    <w:p w:rsidR="00B77F00" w:rsidRDefault="00865FA3">
      <w:pPr>
        <w:pStyle w:val="Textbody"/>
        <w:spacing w:after="0"/>
        <w:jc w:val="both"/>
        <w:rPr>
          <w:rFonts w:eastAsia="Symbol"/>
          <w:b/>
        </w:rPr>
      </w:pPr>
      <w:r>
        <w:rPr>
          <w:rFonts w:eastAsia="Symbol"/>
          <w:b/>
        </w:rPr>
        <w:t>1.4</w:t>
      </w:r>
      <w:r>
        <w:rPr>
          <w:rFonts w:eastAsia="Symbol"/>
          <w:b/>
        </w:rPr>
        <w:t>. Określenia podstawowe</w:t>
      </w:r>
    </w:p>
    <w:p w:rsidR="00B77F00" w:rsidRDefault="00B77F00">
      <w:pPr>
        <w:pStyle w:val="Textbody"/>
        <w:spacing w:after="0"/>
        <w:jc w:val="both"/>
        <w:rPr>
          <w:rFonts w:eastAsia="Symbol"/>
          <w:b/>
        </w:rPr>
      </w:pPr>
    </w:p>
    <w:p w:rsidR="00B77F00" w:rsidRDefault="00865FA3">
      <w:pPr>
        <w:pStyle w:val="Textbody"/>
        <w:spacing w:after="0"/>
        <w:jc w:val="both"/>
        <w:rPr>
          <w:rFonts w:eastAsia="Symbol"/>
        </w:rPr>
      </w:pPr>
      <w:r>
        <w:rPr>
          <w:rFonts w:eastAsia="Symbol"/>
          <w:b/>
        </w:rPr>
        <w:t>1.4.1.</w:t>
      </w:r>
      <w:r>
        <w:rPr>
          <w:rFonts w:eastAsia="Symbol"/>
        </w:rPr>
        <w:t xml:space="preserve"> </w:t>
      </w:r>
      <w:r>
        <w:rPr>
          <w:rFonts w:eastAsia="Symbol"/>
          <w:b/>
        </w:rPr>
        <w:t>Frezowanie nawierzchni asfaltowej na zimno</w:t>
      </w:r>
      <w:r>
        <w:rPr>
          <w:rFonts w:eastAsia="Symbol"/>
        </w:rPr>
        <w:t xml:space="preserve"> – kontrolowany proces skrawania górnej warstwy nawierzchni asfaltowej, bez je ogrzania, na określoną głębokość.</w:t>
      </w:r>
    </w:p>
    <w:p w:rsidR="00B77F00" w:rsidRDefault="00B77F00">
      <w:pPr>
        <w:pStyle w:val="Textbody"/>
        <w:spacing w:after="0"/>
        <w:jc w:val="both"/>
        <w:rPr>
          <w:rFonts w:eastAsia="Symbol"/>
          <w:b/>
        </w:rPr>
      </w:pPr>
    </w:p>
    <w:p w:rsidR="00B77F00" w:rsidRDefault="00865FA3">
      <w:pPr>
        <w:pStyle w:val="Textbody"/>
        <w:spacing w:after="0"/>
        <w:jc w:val="both"/>
        <w:rPr>
          <w:rFonts w:eastAsia="Symbol"/>
        </w:rPr>
      </w:pPr>
      <w:r>
        <w:rPr>
          <w:rFonts w:eastAsia="Symbol"/>
          <w:b/>
        </w:rPr>
        <w:t>1.4.2.</w:t>
      </w:r>
      <w:r>
        <w:rPr>
          <w:rFonts w:eastAsia="Symbol"/>
        </w:rPr>
        <w:t xml:space="preserve"> </w:t>
      </w:r>
      <w:r>
        <w:rPr>
          <w:rFonts w:eastAsia="Symbol"/>
          <w:b/>
        </w:rPr>
        <w:t>Frezarka drogowa</w:t>
      </w:r>
      <w:r>
        <w:rPr>
          <w:rFonts w:eastAsia="Symbol"/>
        </w:rPr>
        <w:t xml:space="preserve"> – maszyna do frezowania nawierzchni na zimno.</w:t>
      </w:r>
    </w:p>
    <w:p w:rsidR="00B77F00" w:rsidRDefault="00B77F00">
      <w:pPr>
        <w:pStyle w:val="Textbody"/>
        <w:spacing w:after="0"/>
        <w:jc w:val="both"/>
        <w:rPr>
          <w:rFonts w:eastAsia="Symbol"/>
        </w:rPr>
      </w:pPr>
    </w:p>
    <w:p w:rsidR="00B77F00" w:rsidRDefault="00865FA3">
      <w:pPr>
        <w:pStyle w:val="Textbody"/>
        <w:spacing w:after="0"/>
        <w:jc w:val="both"/>
        <w:rPr>
          <w:rFonts w:eastAsia="Symbol"/>
        </w:rPr>
      </w:pPr>
      <w:r>
        <w:rPr>
          <w:rFonts w:eastAsia="Symbol"/>
          <w:b/>
        </w:rPr>
        <w:t>1.4.3.</w:t>
      </w:r>
      <w:r>
        <w:rPr>
          <w:rFonts w:eastAsia="Symbol"/>
        </w:rPr>
        <w:t xml:space="preserve"> Pozostałe określenia podstawowe są zgodne z odpowiednimi normami, wytycznymi </w:t>
      </w:r>
      <w:r>
        <w:rPr>
          <w:rFonts w:eastAsia="Symbol"/>
        </w:rPr>
        <w:br/>
      </w:r>
      <w:r>
        <w:rPr>
          <w:rFonts w:eastAsia="Symbol"/>
        </w:rPr>
        <w:t>i z definicjami podanymi w ST DMU 00.00.00 „Wymagania ogólne” pkt. 1.4.</w:t>
      </w:r>
    </w:p>
    <w:p w:rsidR="00B77F00" w:rsidRDefault="00B77F00">
      <w:pPr>
        <w:pStyle w:val="Textbody"/>
        <w:spacing w:after="0"/>
        <w:jc w:val="both"/>
        <w:rPr>
          <w:rFonts w:eastAsia="Symbol"/>
        </w:rPr>
      </w:pPr>
    </w:p>
    <w:p w:rsidR="00B77F00" w:rsidRDefault="00865FA3">
      <w:pPr>
        <w:pStyle w:val="Textbody"/>
        <w:spacing w:after="0"/>
        <w:jc w:val="both"/>
        <w:rPr>
          <w:rFonts w:eastAsia="Symbol"/>
          <w:b/>
        </w:rPr>
      </w:pPr>
      <w:r>
        <w:rPr>
          <w:rFonts w:eastAsia="Symbol"/>
          <w:b/>
        </w:rPr>
        <w:t xml:space="preserve">1.5. Ogólne wymagania dotyczące </w:t>
      </w:r>
      <w:r>
        <w:rPr>
          <w:rFonts w:eastAsia="Symbol"/>
          <w:b/>
        </w:rPr>
        <w:t>robót</w:t>
      </w:r>
    </w:p>
    <w:p w:rsidR="00B77F00" w:rsidRDefault="00865FA3">
      <w:pPr>
        <w:pStyle w:val="Textbody"/>
        <w:spacing w:after="0"/>
        <w:ind w:firstLine="284"/>
        <w:jc w:val="both"/>
        <w:rPr>
          <w:rFonts w:eastAsia="Symbol"/>
        </w:rPr>
      </w:pPr>
      <w:r>
        <w:rPr>
          <w:rFonts w:eastAsia="Symbol"/>
        </w:rPr>
        <w:t>Ogólne wymagania dotyczące robót podano  w ST DMU 00.00.00 „Wymagania ogólne” pkt. 1.5.</w:t>
      </w:r>
    </w:p>
    <w:p w:rsidR="00B77F00" w:rsidRDefault="00B77F00">
      <w:pPr>
        <w:pStyle w:val="Textbody"/>
        <w:spacing w:after="0"/>
        <w:rPr>
          <w:rFonts w:eastAsia="Symbol"/>
        </w:rPr>
      </w:pPr>
    </w:p>
    <w:p w:rsidR="00B77F00" w:rsidRDefault="00865FA3">
      <w:pPr>
        <w:pStyle w:val="Textbody"/>
        <w:spacing w:after="0"/>
        <w:rPr>
          <w:rFonts w:eastAsia="Symbol"/>
        </w:rPr>
      </w:pPr>
      <w:r>
        <w:rPr>
          <w:rFonts w:eastAsia="Symbol"/>
          <w:b/>
        </w:rPr>
        <w:t>2. MATERIAŁY -</w:t>
      </w:r>
      <w:r>
        <w:rPr>
          <w:rFonts w:eastAsia="Symbol"/>
        </w:rPr>
        <w:t xml:space="preserve"> nie występują.</w:t>
      </w:r>
    </w:p>
    <w:p w:rsidR="00B77F00" w:rsidRDefault="00B77F00">
      <w:pPr>
        <w:pStyle w:val="Textbody"/>
        <w:spacing w:after="0"/>
        <w:rPr>
          <w:rFonts w:eastAsia="Symbol"/>
        </w:rPr>
      </w:pPr>
    </w:p>
    <w:p w:rsidR="00B77F00" w:rsidRDefault="00865FA3">
      <w:pPr>
        <w:pStyle w:val="Textbody"/>
        <w:spacing w:after="0"/>
        <w:rPr>
          <w:rFonts w:eastAsia="Symbol"/>
          <w:b/>
        </w:rPr>
      </w:pPr>
      <w:r>
        <w:rPr>
          <w:rFonts w:eastAsia="Symbol"/>
          <w:b/>
        </w:rPr>
        <w:t>3. SPRZĘT</w:t>
      </w:r>
    </w:p>
    <w:p w:rsidR="00B77F00" w:rsidRDefault="00B77F00">
      <w:pPr>
        <w:pStyle w:val="Textbody"/>
        <w:spacing w:after="0"/>
        <w:rPr>
          <w:rFonts w:eastAsia="Symbol"/>
          <w:b/>
        </w:rPr>
      </w:pPr>
    </w:p>
    <w:p w:rsidR="00B77F00" w:rsidRDefault="00865FA3">
      <w:pPr>
        <w:pStyle w:val="Textbody"/>
        <w:spacing w:after="0"/>
        <w:rPr>
          <w:rFonts w:eastAsia="Symbol"/>
          <w:b/>
        </w:rPr>
      </w:pPr>
      <w:r>
        <w:rPr>
          <w:rFonts w:eastAsia="Symbol"/>
          <w:b/>
        </w:rPr>
        <w:t>3.1. Ogólne wymagania dotyczące sprzętu</w:t>
      </w:r>
    </w:p>
    <w:p w:rsidR="00B77F00" w:rsidRDefault="00865FA3">
      <w:pPr>
        <w:pStyle w:val="Textbody"/>
        <w:spacing w:after="0"/>
        <w:ind w:firstLine="709"/>
        <w:rPr>
          <w:rFonts w:eastAsia="Symbol"/>
        </w:rPr>
      </w:pPr>
      <w:r>
        <w:rPr>
          <w:rFonts w:eastAsia="Symbol"/>
        </w:rPr>
        <w:t>Ogólne wymagania dotyczące sprzętu podano w ST DMU 00.00.00. „Wymagania ogólne”</w:t>
      </w:r>
      <w:r>
        <w:rPr>
          <w:rFonts w:eastAsia="Symbol"/>
        </w:rPr>
        <w:br/>
      </w:r>
      <w:r>
        <w:rPr>
          <w:rFonts w:eastAsia="Symbol"/>
        </w:rPr>
        <w:t>pkt. 3.</w:t>
      </w:r>
    </w:p>
    <w:p w:rsidR="00B77F00" w:rsidRDefault="00B77F00">
      <w:pPr>
        <w:pStyle w:val="Textbody"/>
        <w:spacing w:after="0"/>
        <w:rPr>
          <w:rFonts w:eastAsia="Symbol"/>
        </w:rPr>
      </w:pPr>
    </w:p>
    <w:p w:rsidR="00B77F00" w:rsidRDefault="00865FA3">
      <w:pPr>
        <w:pStyle w:val="Textbody"/>
        <w:spacing w:after="0"/>
        <w:rPr>
          <w:rFonts w:eastAsia="Symbol"/>
          <w:b/>
        </w:rPr>
      </w:pPr>
      <w:r>
        <w:rPr>
          <w:rFonts w:eastAsia="Symbol"/>
          <w:b/>
        </w:rPr>
        <w:t>3.2. Sprzęt do frezowania</w:t>
      </w:r>
    </w:p>
    <w:p w:rsidR="00B77F00" w:rsidRDefault="00865FA3">
      <w:pPr>
        <w:pStyle w:val="Textbody"/>
        <w:spacing w:after="0"/>
        <w:ind w:firstLine="709"/>
        <w:jc w:val="both"/>
        <w:rPr>
          <w:rFonts w:eastAsia="Symbol"/>
        </w:rPr>
      </w:pPr>
      <w:r>
        <w:rPr>
          <w:rFonts w:eastAsia="Symbol"/>
        </w:rPr>
        <w:t>Do frezowania nawierzchni na zimno należy stosować frezarki drogowe umożliwiające frezowanie nawierzchni asfaltowej na zimno na określoną głębokość z dokładnością określoną w pkt. 5 niniejszej SST.</w:t>
      </w:r>
    </w:p>
    <w:p w:rsidR="00B77F00" w:rsidRDefault="00865FA3">
      <w:pPr>
        <w:pStyle w:val="Textbody"/>
        <w:spacing w:after="0"/>
        <w:ind w:firstLine="709"/>
        <w:jc w:val="both"/>
        <w:rPr>
          <w:rFonts w:eastAsia="Symbol"/>
        </w:rPr>
      </w:pPr>
      <w:r>
        <w:rPr>
          <w:rFonts w:eastAsia="Symbol"/>
        </w:rPr>
        <w:t>Frezarka powinna być s</w:t>
      </w:r>
      <w:r>
        <w:rPr>
          <w:rFonts w:eastAsia="Symbol"/>
        </w:rPr>
        <w:t xml:space="preserve">terowana elektronicznie i zapewniać zachowanie wymaganej równości oraz pochyleń poprzecznych i podłużnych powierzchni po frezowaniu. Wymaganą równość określono </w:t>
      </w:r>
      <w:r>
        <w:rPr>
          <w:rFonts w:eastAsia="Symbol"/>
        </w:rPr>
        <w:br/>
      </w:r>
      <w:r>
        <w:rPr>
          <w:rFonts w:eastAsia="Symbol"/>
        </w:rPr>
        <w:t>w pkt. 5 niniejszej ST. Do małych robót (napraw) Inżynier może dopuścić frezarki sterowane mech</w:t>
      </w:r>
      <w:r>
        <w:rPr>
          <w:rFonts w:eastAsia="Symbol"/>
        </w:rPr>
        <w:t>anicznie.</w:t>
      </w:r>
    </w:p>
    <w:p w:rsidR="00B77F00" w:rsidRDefault="00865FA3">
      <w:pPr>
        <w:pStyle w:val="Textbody"/>
        <w:spacing w:after="0"/>
        <w:ind w:firstLine="709"/>
        <w:jc w:val="both"/>
        <w:rPr>
          <w:rFonts w:eastAsia="Symbol"/>
        </w:rPr>
      </w:pPr>
      <w:r>
        <w:rPr>
          <w:rFonts w:eastAsia="Symbol"/>
        </w:rPr>
        <w:t>Szerokość bębna frezującego powinna być dobrana zależnie od zakresu robót. Przy lokalnych naprawach szerokość bębna może być dostosowana do szerokości skrawanych elementów nawierzchni. Przy frezowaniu całej jezdni szerokość bębna skrawającego pow</w:t>
      </w:r>
      <w:r>
        <w:rPr>
          <w:rFonts w:eastAsia="Symbol"/>
        </w:rPr>
        <w:t>inna być co najmniej równa 1200 mm.</w:t>
      </w:r>
    </w:p>
    <w:p w:rsidR="00B77F00" w:rsidRDefault="00865FA3">
      <w:pPr>
        <w:pStyle w:val="Textbody"/>
        <w:spacing w:after="0"/>
        <w:ind w:firstLine="709"/>
        <w:jc w:val="both"/>
        <w:rPr>
          <w:rFonts w:eastAsia="Symbol"/>
        </w:rPr>
      </w:pPr>
      <w:r>
        <w:rPr>
          <w:rFonts w:eastAsia="Symbol"/>
        </w:rPr>
        <w:t>Przy dużych robotach frezarki muszą być wyposażone w przenośnik sfrezowanego materiału, podającego go z jezdni na samochody. Przy pracach prowadzonych na terenie zabudowanym frezarki muszą być zaopatrzone w systemy opyla</w:t>
      </w:r>
      <w:r>
        <w:rPr>
          <w:rFonts w:eastAsia="Symbol"/>
        </w:rPr>
        <w:t>nia. W terenie niezabudowanym frezarki powinny być zaopatrzone w systemy odpylania.</w:t>
      </w:r>
    </w:p>
    <w:p w:rsidR="00B77F00" w:rsidRDefault="00865FA3">
      <w:pPr>
        <w:pStyle w:val="Textbody"/>
        <w:spacing w:after="0"/>
        <w:ind w:firstLine="709"/>
        <w:jc w:val="both"/>
        <w:rPr>
          <w:rFonts w:eastAsia="Symbol"/>
        </w:rPr>
      </w:pPr>
      <w:r>
        <w:rPr>
          <w:rFonts w:eastAsia="Symbol"/>
        </w:rPr>
        <w:lastRenderedPageBreak/>
        <w:t>Sprzęt użyty do frezowania nawierzchni powinien odpowiadać pod względem typu i ilości wymaganiom zawartym w PZJ i być zaakceptowany przez Inżyniera.</w:t>
      </w:r>
    </w:p>
    <w:p w:rsidR="00B77F00" w:rsidRDefault="00865FA3">
      <w:pPr>
        <w:pStyle w:val="Textbody"/>
        <w:spacing w:after="0"/>
        <w:ind w:firstLine="709"/>
        <w:jc w:val="both"/>
        <w:rPr>
          <w:rFonts w:eastAsia="Symbol"/>
        </w:rPr>
      </w:pPr>
      <w:r>
        <w:rPr>
          <w:rFonts w:eastAsia="Symbol"/>
        </w:rPr>
        <w:t>Wydajność frezarek powi</w:t>
      </w:r>
      <w:r>
        <w:rPr>
          <w:rFonts w:eastAsia="Symbol"/>
        </w:rPr>
        <w:t>nna zapewnić wykonanie robót przy jak najmniejszych zakłóceniach ruchu.</w:t>
      </w:r>
    </w:p>
    <w:p w:rsidR="00B77F00" w:rsidRDefault="00B77F00">
      <w:pPr>
        <w:pStyle w:val="Textbody"/>
        <w:spacing w:after="0"/>
        <w:rPr>
          <w:rFonts w:eastAsia="Symbol"/>
        </w:rPr>
      </w:pPr>
    </w:p>
    <w:p w:rsidR="00B77F00" w:rsidRDefault="00B77F00">
      <w:pPr>
        <w:pStyle w:val="Textbody"/>
        <w:spacing w:after="0"/>
        <w:rPr>
          <w:rFonts w:eastAsia="Symbol"/>
        </w:rPr>
      </w:pPr>
    </w:p>
    <w:p w:rsidR="00B77F00" w:rsidRDefault="00865FA3">
      <w:pPr>
        <w:pStyle w:val="Textbody"/>
        <w:spacing w:after="0"/>
        <w:rPr>
          <w:rFonts w:eastAsia="Symbol"/>
          <w:b/>
        </w:rPr>
      </w:pPr>
      <w:r>
        <w:rPr>
          <w:rFonts w:eastAsia="Symbol"/>
          <w:b/>
        </w:rPr>
        <w:t>4. TRANSPORT</w:t>
      </w:r>
    </w:p>
    <w:p w:rsidR="00B77F00" w:rsidRDefault="00B77F00">
      <w:pPr>
        <w:pStyle w:val="Textbody"/>
        <w:spacing w:after="0"/>
        <w:rPr>
          <w:rFonts w:eastAsia="Symbol"/>
          <w:b/>
        </w:rPr>
      </w:pPr>
    </w:p>
    <w:p w:rsidR="00B77F00" w:rsidRDefault="00865FA3">
      <w:pPr>
        <w:pStyle w:val="Textbody"/>
        <w:spacing w:after="0"/>
        <w:rPr>
          <w:rFonts w:eastAsia="Symbol"/>
          <w:b/>
        </w:rPr>
      </w:pPr>
      <w:r>
        <w:rPr>
          <w:rFonts w:eastAsia="Symbol"/>
          <w:b/>
        </w:rPr>
        <w:t>4.1. Ogólne wymagania dotyczące transportu</w:t>
      </w:r>
    </w:p>
    <w:p w:rsidR="00B77F00" w:rsidRDefault="00865FA3">
      <w:pPr>
        <w:pStyle w:val="Textbody"/>
        <w:spacing w:after="0"/>
        <w:ind w:firstLine="709"/>
        <w:rPr>
          <w:rFonts w:eastAsia="Symbol"/>
        </w:rPr>
      </w:pPr>
      <w:r>
        <w:rPr>
          <w:rFonts w:eastAsia="Symbol"/>
        </w:rPr>
        <w:t>Ogólne wymagania dotyczące transportu podano w ST DMU 00.00.00. „Wymagania ogólne” pkt. 4.</w:t>
      </w:r>
    </w:p>
    <w:p w:rsidR="00B77F00" w:rsidRDefault="00B77F00">
      <w:pPr>
        <w:pStyle w:val="Textbody"/>
        <w:spacing w:after="0"/>
        <w:rPr>
          <w:rFonts w:eastAsia="Symbol"/>
        </w:rPr>
      </w:pPr>
    </w:p>
    <w:p w:rsidR="00B77F00" w:rsidRDefault="00865FA3">
      <w:pPr>
        <w:pStyle w:val="Textbody"/>
        <w:spacing w:after="0"/>
        <w:rPr>
          <w:rFonts w:eastAsia="Symbol"/>
          <w:b/>
        </w:rPr>
      </w:pPr>
      <w:r>
        <w:rPr>
          <w:rFonts w:eastAsia="Symbol"/>
          <w:b/>
        </w:rPr>
        <w:t>4.2. Transport</w:t>
      </w:r>
    </w:p>
    <w:p w:rsidR="00B77F00" w:rsidRDefault="00865FA3">
      <w:pPr>
        <w:pStyle w:val="Textbody"/>
        <w:spacing w:after="0"/>
        <w:ind w:firstLine="709"/>
        <w:jc w:val="both"/>
        <w:rPr>
          <w:rFonts w:eastAsia="Symbol"/>
        </w:rPr>
      </w:pPr>
      <w:r>
        <w:rPr>
          <w:rFonts w:eastAsia="Symbol"/>
        </w:rPr>
        <w:t xml:space="preserve">Transport </w:t>
      </w:r>
      <w:r>
        <w:rPr>
          <w:rFonts w:eastAsia="Symbol"/>
        </w:rPr>
        <w:t xml:space="preserve">powinien być tak zorganizowany, aby zapewnić prace frezarek bez postoju. Materiał </w:t>
      </w:r>
      <w:r>
        <w:rPr>
          <w:rFonts w:eastAsia="Symbol"/>
        </w:rPr>
        <w:br/>
      </w:r>
      <w:r>
        <w:rPr>
          <w:rFonts w:eastAsia="Symbol"/>
        </w:rPr>
        <w:t>z frezowania odwieźć na odkład na odległość do 5 km.</w:t>
      </w:r>
    </w:p>
    <w:p w:rsidR="00B77F00" w:rsidRDefault="00B77F00">
      <w:pPr>
        <w:pStyle w:val="Textbody"/>
        <w:spacing w:after="0"/>
        <w:rPr>
          <w:rFonts w:eastAsia="Symbol"/>
        </w:rPr>
      </w:pPr>
    </w:p>
    <w:p w:rsidR="00B77F00" w:rsidRDefault="00865FA3">
      <w:pPr>
        <w:pStyle w:val="Textbody"/>
        <w:spacing w:after="0"/>
        <w:rPr>
          <w:rFonts w:eastAsia="Symbol"/>
          <w:b/>
        </w:rPr>
      </w:pPr>
      <w:r>
        <w:rPr>
          <w:rFonts w:eastAsia="Symbol"/>
          <w:b/>
        </w:rPr>
        <w:t>5. WYKONANIE ROBÓT</w:t>
      </w:r>
    </w:p>
    <w:p w:rsidR="00B77F00" w:rsidRDefault="00B77F00">
      <w:pPr>
        <w:pStyle w:val="Textbody"/>
        <w:spacing w:after="0"/>
        <w:rPr>
          <w:rFonts w:eastAsia="Symbol"/>
          <w:b/>
        </w:rPr>
      </w:pPr>
    </w:p>
    <w:p w:rsidR="00B77F00" w:rsidRDefault="00865FA3">
      <w:pPr>
        <w:pStyle w:val="Textbody"/>
        <w:spacing w:after="0"/>
        <w:rPr>
          <w:rFonts w:eastAsia="Symbol"/>
          <w:b/>
        </w:rPr>
      </w:pPr>
      <w:r>
        <w:rPr>
          <w:rFonts w:eastAsia="Symbol"/>
          <w:b/>
        </w:rPr>
        <w:t>5.1. Ogólne zasady wykonania robót</w:t>
      </w:r>
    </w:p>
    <w:p w:rsidR="00B77F00" w:rsidRDefault="00865FA3">
      <w:pPr>
        <w:pStyle w:val="Textbody"/>
        <w:spacing w:after="0"/>
        <w:ind w:firstLine="709"/>
        <w:rPr>
          <w:rFonts w:eastAsia="Symbol"/>
        </w:rPr>
      </w:pPr>
      <w:r>
        <w:rPr>
          <w:rFonts w:eastAsia="Symbol"/>
        </w:rPr>
        <w:t>Ogólne zasady wykonania robót podano w ST DMU 00.00.00 „Wymagani</w:t>
      </w:r>
      <w:r>
        <w:rPr>
          <w:rFonts w:eastAsia="Symbol"/>
        </w:rPr>
        <w:t>a ogólne” pkt. 5.</w:t>
      </w:r>
    </w:p>
    <w:p w:rsidR="00B77F00" w:rsidRDefault="00B77F00">
      <w:pPr>
        <w:pStyle w:val="Textbody"/>
        <w:spacing w:after="0"/>
        <w:rPr>
          <w:rFonts w:eastAsia="Symbol"/>
        </w:rPr>
      </w:pPr>
    </w:p>
    <w:p w:rsidR="00B77F00" w:rsidRDefault="00865FA3">
      <w:pPr>
        <w:pStyle w:val="Textbody"/>
        <w:spacing w:after="0"/>
        <w:rPr>
          <w:rFonts w:eastAsia="Symbol"/>
          <w:b/>
        </w:rPr>
      </w:pPr>
      <w:r>
        <w:rPr>
          <w:rFonts w:eastAsia="Symbol"/>
          <w:b/>
        </w:rPr>
        <w:t>5.2. Wykonanie frezowania</w:t>
      </w:r>
    </w:p>
    <w:p w:rsidR="00B77F00" w:rsidRDefault="00865FA3">
      <w:pPr>
        <w:pStyle w:val="Textbody"/>
        <w:spacing w:after="0"/>
        <w:ind w:firstLine="709"/>
        <w:jc w:val="both"/>
        <w:rPr>
          <w:rFonts w:eastAsia="Symbol"/>
        </w:rPr>
      </w:pPr>
      <w:r>
        <w:rPr>
          <w:rFonts w:eastAsia="Symbol"/>
        </w:rPr>
        <w:t>Nawierzchnia powinna być frezowana do głębokości, szerokości i pochyleń zgodnych</w:t>
      </w:r>
      <w:r>
        <w:rPr>
          <w:rFonts w:eastAsia="Symbol"/>
        </w:rPr>
        <w:br/>
      </w:r>
      <w:r>
        <w:rPr>
          <w:rFonts w:eastAsia="Symbol"/>
        </w:rPr>
        <w:t>z Dokumentacją Projektową z dokładnością do ± 5 mm.</w:t>
      </w:r>
    </w:p>
    <w:p w:rsidR="00B77F00" w:rsidRDefault="00865FA3">
      <w:pPr>
        <w:pStyle w:val="Textbody"/>
        <w:spacing w:after="0"/>
        <w:ind w:firstLine="709"/>
        <w:jc w:val="both"/>
        <w:rPr>
          <w:rFonts w:eastAsia="Symbol"/>
        </w:rPr>
      </w:pPr>
      <w:r>
        <w:rPr>
          <w:rFonts w:eastAsia="Symbol"/>
        </w:rPr>
        <w:t>Nierówności sfrezowanej powierzchni mierzone łatą 4-metrową zgodnie z BN-68/89</w:t>
      </w:r>
      <w:r>
        <w:rPr>
          <w:rFonts w:eastAsia="Symbol"/>
        </w:rPr>
        <w:t>31-04, przy użyciu klina pomiarowego o szerokości 40 mm,  nie powinny przekraczać 6 mm.</w:t>
      </w:r>
    </w:p>
    <w:p w:rsidR="00B77F00" w:rsidRDefault="00865FA3">
      <w:pPr>
        <w:pStyle w:val="Textbody"/>
        <w:spacing w:after="0"/>
        <w:jc w:val="both"/>
        <w:rPr>
          <w:rFonts w:eastAsia="Symbol"/>
        </w:rPr>
      </w:pPr>
      <w:r>
        <w:rPr>
          <w:rFonts w:eastAsia="Symbol"/>
        </w:rPr>
        <w:t>Jeżeli ruch drogowy ma być dopuszczony po sfrezowanej części jezdni, to wówczas, ze względów bezpieczeństwa należy spełnić następujące warunki :</w:t>
      </w:r>
    </w:p>
    <w:p w:rsidR="00B77F00" w:rsidRDefault="00865FA3">
      <w:pPr>
        <w:pStyle w:val="Textbody"/>
        <w:numPr>
          <w:ilvl w:val="0"/>
          <w:numId w:val="12"/>
        </w:numPr>
        <w:spacing w:after="0"/>
        <w:jc w:val="both"/>
        <w:rPr>
          <w:rFonts w:eastAsia="Symbol"/>
        </w:rPr>
      </w:pPr>
      <w:r>
        <w:rPr>
          <w:rFonts w:eastAsia="Symbol"/>
        </w:rPr>
        <w:t>należy usunąć ścięty ma</w:t>
      </w:r>
      <w:r>
        <w:rPr>
          <w:rFonts w:eastAsia="Symbol"/>
        </w:rPr>
        <w:t>teriał i oczyścić nawierzchnię,</w:t>
      </w:r>
    </w:p>
    <w:p w:rsidR="00B77F00" w:rsidRDefault="00865FA3">
      <w:pPr>
        <w:pStyle w:val="Textbody"/>
        <w:numPr>
          <w:ilvl w:val="0"/>
          <w:numId w:val="12"/>
        </w:numPr>
        <w:spacing w:after="0"/>
        <w:jc w:val="both"/>
        <w:rPr>
          <w:rFonts w:eastAsia="Symbol"/>
        </w:rPr>
      </w:pPr>
      <w:r>
        <w:rPr>
          <w:rFonts w:eastAsia="Symbol"/>
        </w:rPr>
        <w:t>przy frezowaniu poszczególnych pasów ruchu, wysokość podłużnych pionowych krawędzi nie może przekraczać 40 mm,</w:t>
      </w:r>
    </w:p>
    <w:p w:rsidR="00B77F00" w:rsidRDefault="00865FA3">
      <w:pPr>
        <w:pStyle w:val="Textbody"/>
        <w:numPr>
          <w:ilvl w:val="0"/>
          <w:numId w:val="12"/>
        </w:numPr>
        <w:spacing w:after="0"/>
        <w:jc w:val="both"/>
        <w:rPr>
          <w:rFonts w:eastAsia="Symbol"/>
        </w:rPr>
      </w:pPr>
      <w:r>
        <w:rPr>
          <w:rFonts w:eastAsia="Symbol"/>
        </w:rPr>
        <w:t>przy lokalnych naprawach polegających na sfrezowaniu nawierzchni przy linii krawężnika (ścieku) dopuszcza się wię</w:t>
      </w:r>
      <w:r>
        <w:rPr>
          <w:rFonts w:eastAsia="Symbol"/>
        </w:rPr>
        <w:t>kszy uskok niż określono w pkt b), ale przy głębokości większej od 75 mm wymaga on specjalnego oznakowania,</w:t>
      </w:r>
    </w:p>
    <w:p w:rsidR="00B77F00" w:rsidRDefault="00865FA3">
      <w:pPr>
        <w:pStyle w:val="Textbody"/>
        <w:numPr>
          <w:ilvl w:val="0"/>
          <w:numId w:val="12"/>
        </w:numPr>
        <w:spacing w:after="0"/>
        <w:jc w:val="both"/>
        <w:rPr>
          <w:rFonts w:eastAsia="Symbol"/>
        </w:rPr>
      </w:pPr>
      <w:r>
        <w:rPr>
          <w:rFonts w:eastAsia="Symbol"/>
        </w:rPr>
        <w:t>krawędzie poprzeczne na zakończenie dnia roboczego powinny być klinowo ścięte.</w:t>
      </w:r>
    </w:p>
    <w:p w:rsidR="00B77F00" w:rsidRDefault="00B77F00">
      <w:pPr>
        <w:pStyle w:val="Textbody"/>
        <w:spacing w:after="0"/>
        <w:rPr>
          <w:rFonts w:eastAsia="Symbol"/>
        </w:rPr>
      </w:pPr>
    </w:p>
    <w:p w:rsidR="00B77F00" w:rsidRDefault="00B77F00">
      <w:pPr>
        <w:pStyle w:val="Textbody"/>
        <w:spacing w:after="0"/>
        <w:rPr>
          <w:rFonts w:eastAsia="Symbol"/>
        </w:rPr>
      </w:pPr>
    </w:p>
    <w:p w:rsidR="00B77F00" w:rsidRDefault="00865FA3">
      <w:pPr>
        <w:pStyle w:val="Textbody"/>
        <w:spacing w:after="0"/>
        <w:rPr>
          <w:rFonts w:eastAsia="Symbol"/>
          <w:b/>
        </w:rPr>
      </w:pPr>
      <w:r>
        <w:rPr>
          <w:rFonts w:eastAsia="Symbol"/>
          <w:b/>
        </w:rPr>
        <w:t>6. KONTROLA JAKOŚCI ROBÓT</w:t>
      </w:r>
    </w:p>
    <w:p w:rsidR="00B77F00" w:rsidRDefault="00B77F00">
      <w:pPr>
        <w:pStyle w:val="Textbody"/>
        <w:spacing w:after="0"/>
        <w:rPr>
          <w:rFonts w:eastAsia="Symbol"/>
          <w:b/>
        </w:rPr>
      </w:pPr>
    </w:p>
    <w:p w:rsidR="00B77F00" w:rsidRDefault="00865FA3">
      <w:pPr>
        <w:pStyle w:val="Textbody"/>
        <w:spacing w:after="0"/>
        <w:rPr>
          <w:rFonts w:eastAsia="Symbol"/>
          <w:b/>
        </w:rPr>
      </w:pPr>
      <w:r>
        <w:rPr>
          <w:rFonts w:eastAsia="Symbol"/>
          <w:b/>
        </w:rPr>
        <w:t xml:space="preserve">6.1. Ogólne zasady kontroli jakości </w:t>
      </w:r>
      <w:r>
        <w:rPr>
          <w:rFonts w:eastAsia="Symbol"/>
          <w:b/>
        </w:rPr>
        <w:t>robót</w:t>
      </w:r>
    </w:p>
    <w:p w:rsidR="00B77F00" w:rsidRDefault="00865FA3">
      <w:pPr>
        <w:pStyle w:val="Textbody"/>
        <w:spacing w:after="0"/>
        <w:ind w:firstLine="709"/>
        <w:rPr>
          <w:rFonts w:eastAsia="Symbol"/>
        </w:rPr>
      </w:pPr>
      <w:r>
        <w:rPr>
          <w:rFonts w:eastAsia="Symbol"/>
        </w:rPr>
        <w:t>Ogólne zasady kontroli jakości robót podano w ST DMU 00.00.00. „Wymagania ogólne” pkt. 6.</w:t>
      </w:r>
    </w:p>
    <w:p w:rsidR="00B77F00" w:rsidRDefault="00B77F00">
      <w:pPr>
        <w:pStyle w:val="Textbody"/>
        <w:spacing w:after="0"/>
        <w:rPr>
          <w:rFonts w:eastAsia="Symbol"/>
        </w:rPr>
      </w:pPr>
    </w:p>
    <w:p w:rsidR="00B77F00" w:rsidRDefault="00865FA3">
      <w:pPr>
        <w:pStyle w:val="Textbody"/>
        <w:spacing w:after="0"/>
        <w:rPr>
          <w:rFonts w:eastAsia="Symbol"/>
          <w:b/>
        </w:rPr>
      </w:pPr>
      <w:r>
        <w:rPr>
          <w:rFonts w:eastAsia="Symbol"/>
          <w:b/>
        </w:rPr>
        <w:t>6.2. Częstotliwość oraz zakres pomiarów kontrolnych</w:t>
      </w:r>
    </w:p>
    <w:p w:rsidR="00B77F00" w:rsidRDefault="00865FA3">
      <w:pPr>
        <w:pStyle w:val="Textbody"/>
        <w:spacing w:after="0"/>
        <w:ind w:firstLine="709"/>
        <w:rPr>
          <w:rFonts w:eastAsia="Symbol"/>
        </w:rPr>
      </w:pPr>
      <w:r>
        <w:rPr>
          <w:rFonts w:eastAsia="Symbol"/>
        </w:rPr>
        <w:t>Częstotliwość oraz zakres pomiarów dla nawierzchni frezowanej na zimno podano w tablicy 1.</w:t>
      </w:r>
    </w:p>
    <w:p w:rsidR="00B77F00" w:rsidRDefault="00B77F00">
      <w:pPr>
        <w:pStyle w:val="Textbody"/>
        <w:spacing w:after="0"/>
        <w:rPr>
          <w:rFonts w:eastAsia="Symbol"/>
        </w:rPr>
      </w:pPr>
    </w:p>
    <w:p w:rsidR="00B77F00" w:rsidRDefault="00865FA3">
      <w:pPr>
        <w:pStyle w:val="Textbody"/>
        <w:spacing w:after="0"/>
        <w:rPr>
          <w:rFonts w:eastAsia="Symbol"/>
        </w:rPr>
      </w:pPr>
      <w:r>
        <w:rPr>
          <w:rFonts w:eastAsia="Symbol"/>
        </w:rPr>
        <w:t>Tablica 1. Częs</w:t>
      </w:r>
      <w:r>
        <w:rPr>
          <w:rFonts w:eastAsia="Symbol"/>
        </w:rPr>
        <w:t>totliwość oraz zakres pomiarów kontrolnych nawierzchni frezowanej na zimno</w:t>
      </w:r>
    </w:p>
    <w:p w:rsidR="00B77F00" w:rsidRDefault="00B77F00">
      <w:pPr>
        <w:pStyle w:val="Textbody"/>
        <w:spacing w:after="0"/>
        <w:rPr>
          <w:rFonts w:eastAsia="Symbol"/>
        </w:rPr>
      </w:pPr>
    </w:p>
    <w:tbl>
      <w:tblPr>
        <w:tblW w:w="9082" w:type="dxa"/>
        <w:tblLayout w:type="fixed"/>
        <w:tblCellMar>
          <w:left w:w="10" w:type="dxa"/>
          <w:right w:w="10" w:type="dxa"/>
        </w:tblCellMar>
        <w:tblLook w:val="0000" w:firstRow="0" w:lastRow="0" w:firstColumn="0" w:lastColumn="0" w:noHBand="0" w:noVBand="0"/>
      </w:tblPr>
      <w:tblGrid>
        <w:gridCol w:w="587"/>
        <w:gridCol w:w="3949"/>
        <w:gridCol w:w="4546"/>
      </w:tblGrid>
      <w:tr w:rsidR="00B77F00">
        <w:tblPrEx>
          <w:tblCellMar>
            <w:top w:w="0" w:type="dxa"/>
            <w:bottom w:w="0" w:type="dxa"/>
          </w:tblCellMar>
        </w:tblPrEx>
        <w:trPr>
          <w:trHeight w:val="330"/>
        </w:trPr>
        <w:tc>
          <w:tcPr>
            <w:tcW w:w="587" w:type="dxa"/>
            <w:tcBorders>
              <w:top w:val="single" w:sz="4" w:space="0" w:color="000000"/>
              <w:left w:val="single" w:sz="4" w:space="0" w:color="000000"/>
              <w:bottom w:val="double" w:sz="4" w:space="0" w:color="000000"/>
            </w:tcBorders>
            <w:tcMar>
              <w:top w:w="0" w:type="dxa"/>
              <w:left w:w="70" w:type="dxa"/>
              <w:bottom w:w="0" w:type="dxa"/>
              <w:right w:w="70" w:type="dxa"/>
            </w:tcMar>
          </w:tcPr>
          <w:p w:rsidR="00B77F00" w:rsidRDefault="00865FA3">
            <w:pPr>
              <w:pStyle w:val="Textbody"/>
              <w:spacing w:after="0"/>
              <w:jc w:val="center"/>
              <w:rPr>
                <w:rFonts w:eastAsia="Symbol"/>
              </w:rPr>
            </w:pPr>
            <w:r>
              <w:rPr>
                <w:rFonts w:eastAsia="Symbol"/>
              </w:rPr>
              <w:t>Lp.</w:t>
            </w:r>
          </w:p>
        </w:tc>
        <w:tc>
          <w:tcPr>
            <w:tcW w:w="3949" w:type="dxa"/>
            <w:tcBorders>
              <w:top w:val="single" w:sz="4" w:space="0" w:color="000000"/>
              <w:left w:val="single" w:sz="4" w:space="0" w:color="000000"/>
              <w:bottom w:val="double" w:sz="4" w:space="0" w:color="000000"/>
            </w:tcBorders>
            <w:tcMar>
              <w:top w:w="0" w:type="dxa"/>
              <w:left w:w="70" w:type="dxa"/>
              <w:bottom w:w="0" w:type="dxa"/>
              <w:right w:w="70" w:type="dxa"/>
            </w:tcMar>
          </w:tcPr>
          <w:p w:rsidR="00B77F00" w:rsidRDefault="00865FA3">
            <w:pPr>
              <w:pStyle w:val="Textbody"/>
              <w:spacing w:after="0"/>
              <w:jc w:val="center"/>
              <w:rPr>
                <w:rFonts w:eastAsia="Symbol"/>
              </w:rPr>
            </w:pPr>
            <w:r>
              <w:rPr>
                <w:rFonts w:eastAsia="Symbol"/>
              </w:rPr>
              <w:t>Właściwość</w:t>
            </w:r>
          </w:p>
        </w:tc>
        <w:tc>
          <w:tcPr>
            <w:tcW w:w="4546" w:type="dxa"/>
            <w:tcBorders>
              <w:top w:val="single" w:sz="4" w:space="0" w:color="000000"/>
              <w:left w:val="single" w:sz="4" w:space="0" w:color="000000"/>
              <w:bottom w:val="double" w:sz="4" w:space="0" w:color="000000"/>
              <w:right w:val="single" w:sz="4" w:space="0" w:color="000000"/>
            </w:tcBorders>
            <w:tcMar>
              <w:top w:w="0" w:type="dxa"/>
              <w:left w:w="70" w:type="dxa"/>
              <w:bottom w:w="0" w:type="dxa"/>
              <w:right w:w="70" w:type="dxa"/>
            </w:tcMar>
          </w:tcPr>
          <w:p w:rsidR="00B77F00" w:rsidRDefault="00865FA3">
            <w:pPr>
              <w:pStyle w:val="Textbody"/>
              <w:spacing w:after="0"/>
              <w:jc w:val="center"/>
              <w:rPr>
                <w:rFonts w:eastAsia="Symbol"/>
              </w:rPr>
            </w:pPr>
            <w:r>
              <w:rPr>
                <w:rFonts w:eastAsia="Symbol"/>
              </w:rPr>
              <w:t>Częstotliwość badań</w:t>
            </w:r>
          </w:p>
        </w:tc>
      </w:tr>
      <w:tr w:rsidR="00B77F00">
        <w:tblPrEx>
          <w:tblCellMar>
            <w:top w:w="0" w:type="dxa"/>
            <w:bottom w:w="0" w:type="dxa"/>
          </w:tblCellMar>
        </w:tblPrEx>
        <w:trPr>
          <w:trHeight w:val="180"/>
        </w:trPr>
        <w:tc>
          <w:tcPr>
            <w:tcW w:w="587" w:type="dxa"/>
            <w:tcBorders>
              <w:top w:val="doub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Textbody"/>
              <w:spacing w:after="0"/>
              <w:jc w:val="center"/>
              <w:rPr>
                <w:rFonts w:eastAsia="Symbol"/>
              </w:rPr>
            </w:pPr>
            <w:r>
              <w:rPr>
                <w:rFonts w:eastAsia="Symbol"/>
              </w:rPr>
              <w:t>1</w:t>
            </w:r>
          </w:p>
        </w:tc>
        <w:tc>
          <w:tcPr>
            <w:tcW w:w="3949" w:type="dxa"/>
            <w:tcBorders>
              <w:top w:val="doub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Textbody"/>
              <w:spacing w:after="0"/>
              <w:rPr>
                <w:rFonts w:eastAsia="Symbol"/>
              </w:rPr>
            </w:pPr>
            <w:r>
              <w:rPr>
                <w:rFonts w:eastAsia="Symbol"/>
              </w:rPr>
              <w:t>Równość podłużna</w:t>
            </w:r>
          </w:p>
        </w:tc>
        <w:tc>
          <w:tcPr>
            <w:tcW w:w="4546" w:type="dxa"/>
            <w:tcBorders>
              <w:top w:val="doub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B77F00" w:rsidRDefault="00865FA3">
            <w:pPr>
              <w:pStyle w:val="Textbody"/>
              <w:spacing w:after="0"/>
              <w:rPr>
                <w:rFonts w:eastAsia="Symbol"/>
              </w:rPr>
            </w:pPr>
            <w:r>
              <w:rPr>
                <w:rFonts w:eastAsia="Symbol"/>
              </w:rPr>
              <w:t>łatą 4-metrową co 20 m</w:t>
            </w:r>
          </w:p>
        </w:tc>
      </w:tr>
      <w:tr w:rsidR="00B77F00">
        <w:tblPrEx>
          <w:tblCellMar>
            <w:top w:w="0" w:type="dxa"/>
            <w:bottom w:w="0" w:type="dxa"/>
          </w:tblCellMar>
        </w:tblPrEx>
        <w:trPr>
          <w:trHeight w:val="240"/>
        </w:trPr>
        <w:tc>
          <w:tcPr>
            <w:tcW w:w="587"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Textbody"/>
              <w:spacing w:after="0"/>
              <w:jc w:val="center"/>
              <w:rPr>
                <w:rFonts w:eastAsia="Symbol"/>
              </w:rPr>
            </w:pPr>
            <w:r>
              <w:rPr>
                <w:rFonts w:eastAsia="Symbol"/>
              </w:rPr>
              <w:t>2</w:t>
            </w:r>
          </w:p>
        </w:tc>
        <w:tc>
          <w:tcPr>
            <w:tcW w:w="3949"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Textbody"/>
              <w:spacing w:after="0"/>
              <w:rPr>
                <w:rFonts w:eastAsia="Symbol"/>
              </w:rPr>
            </w:pPr>
            <w:r>
              <w:rPr>
                <w:rFonts w:eastAsia="Symbol"/>
              </w:rPr>
              <w:t>Równość poprzeczna</w:t>
            </w:r>
          </w:p>
        </w:tc>
        <w:tc>
          <w:tcPr>
            <w:tcW w:w="4546"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B77F00" w:rsidRDefault="00865FA3">
            <w:pPr>
              <w:pStyle w:val="Textbody"/>
              <w:spacing w:after="0"/>
              <w:rPr>
                <w:rFonts w:eastAsia="Symbol"/>
              </w:rPr>
            </w:pPr>
            <w:r>
              <w:rPr>
                <w:rFonts w:eastAsia="Symbol"/>
              </w:rPr>
              <w:t>łatą 4-metrową co 20 m</w:t>
            </w:r>
          </w:p>
        </w:tc>
      </w:tr>
      <w:tr w:rsidR="00B77F00">
        <w:tblPrEx>
          <w:tblCellMar>
            <w:top w:w="0" w:type="dxa"/>
            <w:bottom w:w="0" w:type="dxa"/>
          </w:tblCellMar>
        </w:tblPrEx>
        <w:trPr>
          <w:cantSplit/>
          <w:trHeight w:val="135"/>
        </w:trPr>
        <w:tc>
          <w:tcPr>
            <w:tcW w:w="587"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Textbody"/>
              <w:spacing w:after="0"/>
              <w:jc w:val="center"/>
              <w:rPr>
                <w:rFonts w:eastAsia="Symbol"/>
              </w:rPr>
            </w:pPr>
            <w:r>
              <w:rPr>
                <w:rFonts w:eastAsia="Symbol"/>
              </w:rPr>
              <w:t>3</w:t>
            </w:r>
          </w:p>
        </w:tc>
        <w:tc>
          <w:tcPr>
            <w:tcW w:w="3949"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Textbody"/>
              <w:spacing w:after="0"/>
              <w:rPr>
                <w:rFonts w:eastAsia="Symbol"/>
              </w:rPr>
            </w:pPr>
            <w:r>
              <w:rPr>
                <w:rFonts w:eastAsia="Symbol"/>
              </w:rPr>
              <w:t>Spadki poprzeczne</w:t>
            </w:r>
          </w:p>
        </w:tc>
        <w:tc>
          <w:tcPr>
            <w:tcW w:w="4546"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B77F00" w:rsidRDefault="00865FA3">
            <w:pPr>
              <w:pStyle w:val="Textbody"/>
              <w:spacing w:after="0"/>
              <w:rPr>
                <w:rFonts w:eastAsia="Symbol"/>
              </w:rPr>
            </w:pPr>
            <w:r>
              <w:rPr>
                <w:rFonts w:eastAsia="Symbol"/>
              </w:rPr>
              <w:t>co 50 m</w:t>
            </w:r>
          </w:p>
        </w:tc>
      </w:tr>
      <w:tr w:rsidR="00B77F00">
        <w:tblPrEx>
          <w:tblCellMar>
            <w:top w:w="0" w:type="dxa"/>
            <w:bottom w:w="0" w:type="dxa"/>
          </w:tblCellMar>
        </w:tblPrEx>
        <w:trPr>
          <w:cantSplit/>
          <w:trHeight w:val="210"/>
        </w:trPr>
        <w:tc>
          <w:tcPr>
            <w:tcW w:w="587"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Textbody"/>
              <w:spacing w:after="0"/>
              <w:jc w:val="center"/>
              <w:rPr>
                <w:rFonts w:eastAsia="Symbol"/>
              </w:rPr>
            </w:pPr>
            <w:r>
              <w:rPr>
                <w:rFonts w:eastAsia="Symbol"/>
              </w:rPr>
              <w:t>4</w:t>
            </w:r>
          </w:p>
        </w:tc>
        <w:tc>
          <w:tcPr>
            <w:tcW w:w="3949"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Textbody"/>
              <w:spacing w:after="0"/>
              <w:rPr>
                <w:rFonts w:eastAsia="Symbol"/>
              </w:rPr>
            </w:pPr>
            <w:r>
              <w:rPr>
                <w:rFonts w:eastAsia="Symbol"/>
              </w:rPr>
              <w:t>Szerokość frezowania</w:t>
            </w:r>
          </w:p>
        </w:tc>
        <w:tc>
          <w:tcPr>
            <w:tcW w:w="4546"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B77F00" w:rsidRDefault="00865FA3">
            <w:pPr>
              <w:pStyle w:val="Textbody"/>
              <w:spacing w:after="0"/>
              <w:rPr>
                <w:rFonts w:eastAsia="Symbol"/>
              </w:rPr>
            </w:pPr>
            <w:r>
              <w:rPr>
                <w:rFonts w:eastAsia="Symbol"/>
              </w:rPr>
              <w:t xml:space="preserve">co </w:t>
            </w:r>
            <w:r>
              <w:rPr>
                <w:rFonts w:eastAsia="Symbol"/>
              </w:rPr>
              <w:t>50 m</w:t>
            </w:r>
          </w:p>
        </w:tc>
      </w:tr>
      <w:tr w:rsidR="00B77F00">
        <w:tblPrEx>
          <w:tblCellMar>
            <w:top w:w="0" w:type="dxa"/>
            <w:bottom w:w="0" w:type="dxa"/>
          </w:tblCellMar>
        </w:tblPrEx>
        <w:trPr>
          <w:cantSplit/>
          <w:trHeight w:val="330"/>
        </w:trPr>
        <w:tc>
          <w:tcPr>
            <w:tcW w:w="587"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Textbody"/>
              <w:spacing w:after="0"/>
              <w:jc w:val="center"/>
              <w:rPr>
                <w:rFonts w:eastAsia="Symbol"/>
              </w:rPr>
            </w:pPr>
            <w:r>
              <w:rPr>
                <w:rFonts w:eastAsia="Symbol"/>
              </w:rPr>
              <w:t>5</w:t>
            </w:r>
          </w:p>
        </w:tc>
        <w:tc>
          <w:tcPr>
            <w:tcW w:w="3949"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Textbody"/>
              <w:spacing w:after="0"/>
              <w:rPr>
                <w:rFonts w:eastAsia="Symbol"/>
              </w:rPr>
            </w:pPr>
            <w:r>
              <w:rPr>
                <w:rFonts w:eastAsia="Symbol"/>
              </w:rPr>
              <w:t>Głębokość frezowania</w:t>
            </w:r>
          </w:p>
        </w:tc>
        <w:tc>
          <w:tcPr>
            <w:tcW w:w="4546"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B77F00" w:rsidRDefault="00865FA3">
            <w:pPr>
              <w:pStyle w:val="Textbody"/>
              <w:spacing w:after="0"/>
              <w:rPr>
                <w:rFonts w:eastAsia="Symbol"/>
              </w:rPr>
            </w:pPr>
            <w:r>
              <w:rPr>
                <w:rFonts w:eastAsia="Symbol"/>
              </w:rPr>
              <w:t>na bieżąco</w:t>
            </w:r>
          </w:p>
        </w:tc>
      </w:tr>
    </w:tbl>
    <w:p w:rsidR="00B77F00" w:rsidRDefault="00B77F00">
      <w:pPr>
        <w:pStyle w:val="Textbody"/>
        <w:spacing w:after="0"/>
        <w:rPr>
          <w:rFonts w:eastAsia="Symbol"/>
        </w:rPr>
      </w:pPr>
    </w:p>
    <w:p w:rsidR="00B77F00" w:rsidRDefault="00B77F00">
      <w:pPr>
        <w:pStyle w:val="Textbody"/>
        <w:spacing w:after="0"/>
        <w:rPr>
          <w:rFonts w:eastAsia="Symbol"/>
        </w:rPr>
      </w:pPr>
    </w:p>
    <w:p w:rsidR="00B77F00" w:rsidRDefault="00865FA3">
      <w:pPr>
        <w:pStyle w:val="Textbody"/>
        <w:spacing w:after="0"/>
        <w:rPr>
          <w:rFonts w:eastAsia="Symbol"/>
          <w:b/>
        </w:rPr>
      </w:pPr>
      <w:r>
        <w:rPr>
          <w:rFonts w:eastAsia="Symbol"/>
          <w:b/>
        </w:rPr>
        <w:t>6.3. Dopuszczalne tolerancje</w:t>
      </w:r>
    </w:p>
    <w:p w:rsidR="00B77F00" w:rsidRDefault="00865FA3">
      <w:pPr>
        <w:pStyle w:val="Textbody"/>
        <w:spacing w:after="0"/>
        <w:ind w:firstLine="360"/>
        <w:rPr>
          <w:rFonts w:eastAsia="Symbol"/>
        </w:rPr>
      </w:pPr>
      <w:r>
        <w:rPr>
          <w:rFonts w:eastAsia="Symbol"/>
        </w:rPr>
        <w:t>Sfrezowana powierzchnia nawierzchni powinna być zgodna z Dokumentacja Projektową,</w:t>
      </w:r>
      <w:r>
        <w:rPr>
          <w:rFonts w:eastAsia="Symbol"/>
        </w:rPr>
        <w:br/>
      </w:r>
      <w:r>
        <w:rPr>
          <w:rFonts w:eastAsia="Symbol"/>
        </w:rPr>
        <w:t>z następującymi tolerancjami:</w:t>
      </w:r>
    </w:p>
    <w:p w:rsidR="00B77F00" w:rsidRDefault="00865FA3">
      <w:pPr>
        <w:pStyle w:val="Textbody"/>
        <w:numPr>
          <w:ilvl w:val="0"/>
          <w:numId w:val="109"/>
        </w:numPr>
        <w:spacing w:after="0"/>
        <w:rPr>
          <w:rFonts w:eastAsia="Symbol"/>
        </w:rPr>
      </w:pPr>
      <w:r>
        <w:rPr>
          <w:rFonts w:eastAsia="Symbol"/>
        </w:rPr>
        <w:t>równość podłużna i poprzeczna jak w pkt 5.2.,</w:t>
      </w:r>
    </w:p>
    <w:p w:rsidR="00B77F00" w:rsidRDefault="00865FA3">
      <w:pPr>
        <w:pStyle w:val="Textbody"/>
        <w:numPr>
          <w:ilvl w:val="0"/>
          <w:numId w:val="28"/>
        </w:numPr>
        <w:spacing w:after="0"/>
        <w:rPr>
          <w:rFonts w:eastAsia="Symbol"/>
        </w:rPr>
      </w:pPr>
      <w:r>
        <w:rPr>
          <w:rFonts w:eastAsia="Symbol"/>
        </w:rPr>
        <w:lastRenderedPageBreak/>
        <w:t>spadek poprzeczny ± 0,5%,</w:t>
      </w:r>
    </w:p>
    <w:p w:rsidR="00B77F00" w:rsidRDefault="00865FA3">
      <w:pPr>
        <w:pStyle w:val="Textbody"/>
        <w:numPr>
          <w:ilvl w:val="0"/>
          <w:numId w:val="28"/>
        </w:numPr>
        <w:spacing w:after="0"/>
        <w:rPr>
          <w:rFonts w:eastAsia="Symbol"/>
        </w:rPr>
      </w:pPr>
      <w:r>
        <w:rPr>
          <w:rFonts w:eastAsia="Symbol"/>
        </w:rPr>
        <w:t>szerokość frezowania ± 5 cm,</w:t>
      </w:r>
    </w:p>
    <w:p w:rsidR="00B77F00" w:rsidRDefault="00865FA3">
      <w:pPr>
        <w:pStyle w:val="Textbody"/>
        <w:numPr>
          <w:ilvl w:val="0"/>
          <w:numId w:val="28"/>
        </w:numPr>
        <w:spacing w:after="0"/>
        <w:rPr>
          <w:rFonts w:eastAsia="Symbol"/>
        </w:rPr>
      </w:pPr>
      <w:r>
        <w:rPr>
          <w:rFonts w:eastAsia="Symbol"/>
        </w:rPr>
        <w:t>głębokość frezowania ± 5 mm.</w:t>
      </w:r>
    </w:p>
    <w:p w:rsidR="00B77F00" w:rsidRDefault="00B77F00">
      <w:pPr>
        <w:pStyle w:val="Textbody"/>
        <w:spacing w:after="0"/>
        <w:rPr>
          <w:rFonts w:eastAsia="Symbol"/>
        </w:rPr>
      </w:pPr>
    </w:p>
    <w:p w:rsidR="00B77F00" w:rsidRDefault="00865FA3">
      <w:pPr>
        <w:pStyle w:val="Textbody"/>
        <w:spacing w:after="0"/>
        <w:rPr>
          <w:rFonts w:eastAsia="Symbol"/>
          <w:b/>
        </w:rPr>
      </w:pPr>
      <w:r>
        <w:rPr>
          <w:rFonts w:eastAsia="Symbol"/>
          <w:b/>
        </w:rPr>
        <w:t>7. OBMIAR ROBÓT</w:t>
      </w:r>
    </w:p>
    <w:p w:rsidR="00B77F00" w:rsidRDefault="00B77F00">
      <w:pPr>
        <w:pStyle w:val="Textbody"/>
        <w:spacing w:after="0"/>
        <w:rPr>
          <w:rFonts w:eastAsia="Symbol"/>
          <w:b/>
        </w:rPr>
      </w:pPr>
    </w:p>
    <w:p w:rsidR="00B77F00" w:rsidRDefault="00865FA3">
      <w:pPr>
        <w:pStyle w:val="Textbody"/>
        <w:spacing w:after="0"/>
        <w:rPr>
          <w:rFonts w:eastAsia="Symbol"/>
          <w:b/>
        </w:rPr>
      </w:pPr>
      <w:r>
        <w:rPr>
          <w:rFonts w:eastAsia="Symbol"/>
          <w:b/>
        </w:rPr>
        <w:t>7.1. Ogólne zasady obmiaru robót</w:t>
      </w:r>
    </w:p>
    <w:p w:rsidR="00B77F00" w:rsidRDefault="00865FA3">
      <w:pPr>
        <w:pStyle w:val="Textbody"/>
        <w:spacing w:after="0"/>
        <w:ind w:firstLine="709"/>
        <w:rPr>
          <w:rFonts w:eastAsia="Symbol"/>
        </w:rPr>
      </w:pPr>
      <w:r>
        <w:rPr>
          <w:rFonts w:eastAsia="Symbol"/>
        </w:rPr>
        <w:t>Ogólne zasady obmiaru robót podano w ST DMU 00.00.00. „Wymagania ogólne" pkt. 7.</w:t>
      </w:r>
    </w:p>
    <w:p w:rsidR="00B77F00" w:rsidRDefault="00B77F00">
      <w:pPr>
        <w:pStyle w:val="Textbody"/>
        <w:spacing w:after="0"/>
        <w:rPr>
          <w:rFonts w:eastAsia="Symbol"/>
        </w:rPr>
      </w:pPr>
    </w:p>
    <w:p w:rsidR="00B77F00" w:rsidRDefault="00865FA3">
      <w:pPr>
        <w:pStyle w:val="Textbody"/>
        <w:spacing w:after="0"/>
        <w:rPr>
          <w:rFonts w:eastAsia="Symbol"/>
          <w:b/>
        </w:rPr>
      </w:pPr>
      <w:r>
        <w:rPr>
          <w:rFonts w:eastAsia="Symbol"/>
          <w:b/>
        </w:rPr>
        <w:t>7.2. Jednostka obmiarowa</w:t>
      </w:r>
    </w:p>
    <w:p w:rsidR="00B77F00" w:rsidRDefault="00865FA3">
      <w:pPr>
        <w:pStyle w:val="Textbody"/>
        <w:spacing w:after="0"/>
        <w:ind w:firstLine="709"/>
        <w:rPr>
          <w:rFonts w:eastAsia="Symbol"/>
        </w:rPr>
      </w:pPr>
      <w:r>
        <w:rPr>
          <w:rFonts w:eastAsia="Symbol"/>
        </w:rPr>
        <w:t>Jednostką obmiarową jest m</w:t>
      </w:r>
      <w:r>
        <w:rPr>
          <w:rFonts w:eastAsia="Symbol"/>
          <w:vertAlign w:val="superscript"/>
        </w:rPr>
        <w:t>2</w:t>
      </w:r>
      <w:r>
        <w:rPr>
          <w:rFonts w:eastAsia="Symbol"/>
        </w:rPr>
        <w:t xml:space="preserve"> (metr kwadratowy).</w:t>
      </w:r>
    </w:p>
    <w:p w:rsidR="00B77F00" w:rsidRDefault="00B77F00">
      <w:pPr>
        <w:pStyle w:val="Textbody"/>
        <w:spacing w:after="0"/>
        <w:rPr>
          <w:rFonts w:eastAsia="Symbol"/>
        </w:rPr>
      </w:pPr>
    </w:p>
    <w:p w:rsidR="00B77F00" w:rsidRDefault="00865FA3">
      <w:pPr>
        <w:pStyle w:val="Textbody"/>
        <w:spacing w:after="0"/>
        <w:rPr>
          <w:rFonts w:eastAsia="Symbol"/>
          <w:b/>
        </w:rPr>
      </w:pPr>
      <w:r>
        <w:rPr>
          <w:rFonts w:eastAsia="Symbol"/>
          <w:b/>
        </w:rPr>
        <w:t>8. ODBIÓR ROBÓT</w:t>
      </w:r>
    </w:p>
    <w:p w:rsidR="00B77F00" w:rsidRDefault="00865FA3">
      <w:pPr>
        <w:pStyle w:val="Textbody"/>
        <w:spacing w:after="0"/>
        <w:ind w:firstLine="709"/>
        <w:rPr>
          <w:rFonts w:eastAsia="Symbol"/>
        </w:rPr>
      </w:pPr>
      <w:r>
        <w:rPr>
          <w:rFonts w:eastAsia="Symbol"/>
        </w:rPr>
        <w:t>Ogólne zasady odbioru robót podano w ST DMU 00.00.00. „Wymagania ogólne” pkt. 8.</w:t>
      </w:r>
    </w:p>
    <w:p w:rsidR="00B77F00" w:rsidRDefault="00B77F00">
      <w:pPr>
        <w:pStyle w:val="Textbody"/>
        <w:spacing w:after="0"/>
        <w:rPr>
          <w:rFonts w:eastAsia="Symbol"/>
        </w:rPr>
      </w:pPr>
    </w:p>
    <w:p w:rsidR="00B77F00" w:rsidRDefault="00865FA3">
      <w:pPr>
        <w:pStyle w:val="Textbody"/>
        <w:spacing w:after="0"/>
        <w:ind w:firstLine="709"/>
        <w:rPr>
          <w:rFonts w:eastAsia="Symbol"/>
        </w:rPr>
      </w:pPr>
      <w:r>
        <w:rPr>
          <w:rFonts w:eastAsia="Symbol"/>
        </w:rPr>
        <w:t xml:space="preserve">Roboty uznaje się za wykonane zgodnie z Dokumentacją Projektową i ST, jeżeli wszystkie pomiary i badania z zachowaniem tolerancji wg pkt </w:t>
      </w:r>
      <w:r>
        <w:rPr>
          <w:rFonts w:eastAsia="Symbol"/>
        </w:rPr>
        <w:t>6 dały wyniki pozytywne.</w:t>
      </w:r>
    </w:p>
    <w:p w:rsidR="00B77F00" w:rsidRDefault="00B77F00">
      <w:pPr>
        <w:pStyle w:val="Textbody"/>
        <w:spacing w:after="0"/>
        <w:rPr>
          <w:rFonts w:eastAsia="Symbol"/>
          <w:b/>
        </w:rPr>
      </w:pPr>
    </w:p>
    <w:p w:rsidR="00B77F00" w:rsidRDefault="00865FA3">
      <w:pPr>
        <w:pStyle w:val="Textbody"/>
        <w:spacing w:after="0"/>
        <w:rPr>
          <w:rFonts w:eastAsia="Symbol"/>
          <w:b/>
        </w:rPr>
      </w:pPr>
      <w:r>
        <w:rPr>
          <w:rFonts w:eastAsia="Symbol"/>
          <w:b/>
        </w:rPr>
        <w:t>9. PODSTAWA PŁATNOŚCI</w:t>
      </w:r>
    </w:p>
    <w:p w:rsidR="00B77F00" w:rsidRDefault="00B77F00">
      <w:pPr>
        <w:pStyle w:val="Textbody"/>
        <w:spacing w:after="0"/>
        <w:rPr>
          <w:rFonts w:eastAsia="Symbol"/>
          <w:b/>
        </w:rPr>
      </w:pPr>
    </w:p>
    <w:p w:rsidR="00B77F00" w:rsidRDefault="00865FA3">
      <w:pPr>
        <w:pStyle w:val="Textbody"/>
        <w:spacing w:after="0"/>
        <w:rPr>
          <w:rFonts w:eastAsia="Symbol"/>
          <w:b/>
        </w:rPr>
      </w:pPr>
      <w:r>
        <w:rPr>
          <w:rFonts w:eastAsia="Symbol"/>
          <w:b/>
        </w:rPr>
        <w:t>9.1. Ogólne ustalenia dotyczące podstawy płatności</w:t>
      </w:r>
    </w:p>
    <w:p w:rsidR="00B77F00" w:rsidRDefault="00865FA3">
      <w:pPr>
        <w:pStyle w:val="Textbody"/>
        <w:spacing w:after="0"/>
        <w:ind w:firstLine="709"/>
        <w:rPr>
          <w:rFonts w:eastAsia="Symbol"/>
        </w:rPr>
      </w:pPr>
      <w:r>
        <w:rPr>
          <w:rFonts w:eastAsia="Symbol"/>
        </w:rPr>
        <w:t>Ogólne ustalenia dotyczące podstawy płatności podano w ST DMU 00.00.00 "Wymagania ogólne" pkt 9.</w:t>
      </w:r>
    </w:p>
    <w:p w:rsidR="00B77F00" w:rsidRDefault="00B77F00">
      <w:pPr>
        <w:pStyle w:val="Textbody"/>
        <w:spacing w:after="0"/>
        <w:rPr>
          <w:rFonts w:eastAsia="Symbol"/>
        </w:rPr>
      </w:pPr>
    </w:p>
    <w:p w:rsidR="00B77F00" w:rsidRDefault="00865FA3">
      <w:pPr>
        <w:pStyle w:val="Textbody"/>
        <w:spacing w:after="0"/>
        <w:rPr>
          <w:rFonts w:eastAsia="Symbol"/>
          <w:b/>
        </w:rPr>
      </w:pPr>
      <w:r>
        <w:rPr>
          <w:rFonts w:eastAsia="Symbol"/>
          <w:b/>
        </w:rPr>
        <w:t>9.2. Cena jednostki obmiarowej</w:t>
      </w:r>
    </w:p>
    <w:p w:rsidR="00B77F00" w:rsidRDefault="00865FA3">
      <w:pPr>
        <w:pStyle w:val="Textbody"/>
        <w:spacing w:after="0"/>
        <w:ind w:firstLine="426"/>
        <w:rPr>
          <w:rFonts w:eastAsia="Symbol"/>
        </w:rPr>
      </w:pPr>
      <w:r>
        <w:rPr>
          <w:rFonts w:eastAsia="Symbol"/>
        </w:rPr>
        <w:t>Podstawą płatności jest 1 m</w:t>
      </w:r>
      <w:r>
        <w:rPr>
          <w:rFonts w:eastAsia="Symbol"/>
          <w:vertAlign w:val="superscript"/>
        </w:rPr>
        <w:t>2</w:t>
      </w:r>
      <w:r>
        <w:rPr>
          <w:rFonts w:eastAsia="Symbol"/>
        </w:rPr>
        <w:t xml:space="preserve"> .</w:t>
      </w:r>
    </w:p>
    <w:p w:rsidR="00B77F00" w:rsidRDefault="00865FA3">
      <w:pPr>
        <w:pStyle w:val="Textbody"/>
        <w:spacing w:after="0"/>
        <w:ind w:firstLine="360"/>
        <w:rPr>
          <w:rFonts w:eastAsia="Symbol"/>
        </w:rPr>
      </w:pPr>
      <w:r>
        <w:rPr>
          <w:rFonts w:eastAsia="Symbol"/>
        </w:rPr>
        <w:t>Cena wykonania 1 m</w:t>
      </w:r>
      <w:r>
        <w:rPr>
          <w:rFonts w:eastAsia="Symbol"/>
          <w:vertAlign w:val="superscript"/>
        </w:rPr>
        <w:t>2</w:t>
      </w:r>
      <w:r>
        <w:rPr>
          <w:rFonts w:eastAsia="Symbol"/>
        </w:rPr>
        <w:t xml:space="preserve"> frezowania na zimno nawierzchni asfaltowej obejmuje:</w:t>
      </w:r>
    </w:p>
    <w:p w:rsidR="00B77F00" w:rsidRDefault="00865FA3">
      <w:pPr>
        <w:pStyle w:val="Textbody"/>
        <w:numPr>
          <w:ilvl w:val="0"/>
          <w:numId w:val="28"/>
        </w:numPr>
        <w:spacing w:after="0"/>
        <w:rPr>
          <w:rFonts w:eastAsia="Symbol"/>
        </w:rPr>
      </w:pPr>
      <w:r>
        <w:rPr>
          <w:rFonts w:eastAsia="Symbol"/>
        </w:rPr>
        <w:t>prace pomiarowe,</w:t>
      </w:r>
    </w:p>
    <w:p w:rsidR="00B77F00" w:rsidRDefault="00865FA3">
      <w:pPr>
        <w:pStyle w:val="Textbody"/>
        <w:numPr>
          <w:ilvl w:val="0"/>
          <w:numId w:val="28"/>
        </w:numPr>
        <w:spacing w:after="0"/>
        <w:rPr>
          <w:rFonts w:eastAsia="Symbol"/>
        </w:rPr>
      </w:pPr>
      <w:r>
        <w:rPr>
          <w:rFonts w:eastAsia="Symbol"/>
        </w:rPr>
        <w:t>oznakowanie robót,</w:t>
      </w:r>
    </w:p>
    <w:p w:rsidR="00B77F00" w:rsidRDefault="00865FA3">
      <w:pPr>
        <w:pStyle w:val="Textbody"/>
        <w:numPr>
          <w:ilvl w:val="0"/>
          <w:numId w:val="28"/>
        </w:numPr>
        <w:spacing w:after="0"/>
        <w:rPr>
          <w:rFonts w:eastAsia="Symbol"/>
        </w:rPr>
      </w:pPr>
      <w:r>
        <w:rPr>
          <w:rFonts w:eastAsia="Symbol"/>
        </w:rPr>
        <w:t>frezowanie (obowiązujący w dniu przetargu koszt zakupu destruktu),</w:t>
      </w:r>
    </w:p>
    <w:p w:rsidR="00B77F00" w:rsidRDefault="00865FA3">
      <w:pPr>
        <w:pStyle w:val="Textbody"/>
        <w:numPr>
          <w:ilvl w:val="0"/>
          <w:numId w:val="28"/>
        </w:numPr>
        <w:spacing w:after="0"/>
        <w:rPr>
          <w:rFonts w:eastAsia="Symbol"/>
        </w:rPr>
      </w:pPr>
      <w:r>
        <w:rPr>
          <w:rFonts w:eastAsia="Symbol"/>
        </w:rPr>
        <w:t xml:space="preserve">ewentualne sortowanie materiału przed ponownym wykożystaniem do utwardzenia </w:t>
      </w:r>
      <w:r>
        <w:rPr>
          <w:rFonts w:eastAsia="Symbol"/>
        </w:rPr>
        <w:t>poboczy dróg dojazdowych</w:t>
      </w:r>
    </w:p>
    <w:p w:rsidR="00B77F00" w:rsidRDefault="00865FA3">
      <w:pPr>
        <w:pStyle w:val="Textbody"/>
        <w:numPr>
          <w:ilvl w:val="0"/>
          <w:numId w:val="28"/>
        </w:numPr>
        <w:spacing w:after="0"/>
        <w:rPr>
          <w:rFonts w:eastAsia="Symbol"/>
        </w:rPr>
      </w:pPr>
      <w:r>
        <w:rPr>
          <w:rFonts w:eastAsia="Symbol"/>
        </w:rPr>
        <w:t>transport sfrezowanego materiału,</w:t>
      </w:r>
    </w:p>
    <w:p w:rsidR="00B77F00" w:rsidRDefault="00865FA3">
      <w:pPr>
        <w:pStyle w:val="Textbody"/>
        <w:numPr>
          <w:ilvl w:val="0"/>
          <w:numId w:val="28"/>
        </w:numPr>
        <w:spacing w:after="0"/>
        <w:rPr>
          <w:rFonts w:eastAsia="Symbol"/>
        </w:rPr>
      </w:pPr>
      <w:r>
        <w:rPr>
          <w:rFonts w:eastAsia="Symbol"/>
        </w:rPr>
        <w:t>przeprowadzenie pomiarów wymaganych w ST.</w:t>
      </w:r>
    </w:p>
    <w:p w:rsidR="00B77F00" w:rsidRDefault="00B77F00">
      <w:pPr>
        <w:pStyle w:val="Textbody"/>
        <w:spacing w:after="0"/>
        <w:rPr>
          <w:rFonts w:eastAsia="Symbol"/>
        </w:rPr>
      </w:pPr>
    </w:p>
    <w:p w:rsidR="00B77F00" w:rsidRDefault="00865FA3">
      <w:pPr>
        <w:pStyle w:val="Textbody"/>
        <w:spacing w:after="0"/>
        <w:rPr>
          <w:rFonts w:eastAsia="Symbol"/>
          <w:b/>
        </w:rPr>
      </w:pPr>
      <w:r>
        <w:rPr>
          <w:rFonts w:eastAsia="Symbol"/>
          <w:b/>
        </w:rPr>
        <w:t>10. PRZEPISY ZWIĄZANE</w:t>
      </w:r>
    </w:p>
    <w:p w:rsidR="00B77F00" w:rsidRDefault="00B77F00">
      <w:pPr>
        <w:pStyle w:val="Textbody"/>
        <w:spacing w:after="0"/>
        <w:rPr>
          <w:rFonts w:eastAsia="Symbol"/>
          <w:b/>
        </w:rPr>
      </w:pPr>
    </w:p>
    <w:p w:rsidR="00B77F00" w:rsidRDefault="00865FA3">
      <w:pPr>
        <w:pStyle w:val="Textbody"/>
        <w:spacing w:after="0"/>
        <w:rPr>
          <w:rFonts w:eastAsia="Symbol"/>
          <w:b/>
        </w:rPr>
      </w:pPr>
      <w:r>
        <w:rPr>
          <w:rFonts w:eastAsia="Symbol"/>
          <w:b/>
        </w:rPr>
        <w:t>10.1. Normy</w:t>
      </w:r>
    </w:p>
    <w:p w:rsidR="00B77F00" w:rsidRDefault="00865FA3">
      <w:pPr>
        <w:pStyle w:val="Textbody"/>
        <w:tabs>
          <w:tab w:val="left" w:pos="3360"/>
        </w:tabs>
        <w:spacing w:after="0"/>
        <w:rPr>
          <w:rFonts w:eastAsia="Symbol"/>
        </w:rPr>
      </w:pPr>
      <w:r>
        <w:rPr>
          <w:rFonts w:eastAsia="Symbol"/>
        </w:rPr>
        <w:tab/>
      </w:r>
    </w:p>
    <w:p w:rsidR="00B77F00" w:rsidRDefault="00865FA3">
      <w:pPr>
        <w:pStyle w:val="Textbody"/>
        <w:tabs>
          <w:tab w:val="left" w:pos="1702"/>
        </w:tabs>
        <w:spacing w:after="0"/>
        <w:ind w:left="851" w:hanging="360"/>
        <w:rPr>
          <w:rFonts w:eastAsia="Symbol"/>
        </w:rPr>
      </w:pPr>
      <w:r>
        <w:rPr>
          <w:rFonts w:eastAsia="Symbol"/>
        </w:rPr>
        <w:t>BN-68/8931-04</w:t>
      </w:r>
      <w:r>
        <w:rPr>
          <w:rFonts w:eastAsia="Symbol"/>
        </w:rPr>
        <w:tab/>
        <w:t>Drogi samochodowe. Pomiar równości nawierzchni planografem i łatą.</w:t>
      </w:r>
    </w:p>
    <w:p w:rsidR="00B77F00" w:rsidRDefault="00B77F00">
      <w:pPr>
        <w:pStyle w:val="Standard"/>
        <w:tabs>
          <w:tab w:val="left" w:pos="2280"/>
        </w:tabs>
        <w:jc w:val="both"/>
        <w:rPr>
          <w:rFonts w:eastAsia="Symbol" w:cs="Arial"/>
        </w:rPr>
      </w:pPr>
    </w:p>
    <w:p w:rsidR="00B77F00" w:rsidRDefault="00865FA3">
      <w:pPr>
        <w:pStyle w:val="Nagwek1"/>
        <w:pageBreakBefore/>
        <w:jc w:val="both"/>
      </w:pPr>
      <w:bookmarkStart w:id="14" w:name="__RefHeading___Toc75026_1434920481"/>
      <w:r>
        <w:lastRenderedPageBreak/>
        <w:t>M.18.00.00 URZĄDZENIA DYLATACYJNE</w:t>
      </w:r>
      <w:bookmarkEnd w:id="14"/>
    </w:p>
    <w:p w:rsidR="00B77F00" w:rsidRDefault="00865FA3">
      <w:pPr>
        <w:pStyle w:val="Nagwek3"/>
        <w:jc w:val="both"/>
      </w:pPr>
      <w:bookmarkStart w:id="15" w:name="__RefHeading___Toc74268_1504666804"/>
      <w:r>
        <w:t>M.18.01.01 Szczelne bitumiczne przekrycie dylatacyjne</w:t>
      </w:r>
      <w:bookmarkEnd w:id="15"/>
    </w:p>
    <w:p w:rsidR="00B77F00" w:rsidRDefault="00865FA3">
      <w:pPr>
        <w:pStyle w:val="Standard"/>
        <w:jc w:val="both"/>
        <w:rPr>
          <w:rFonts w:cs="Arial"/>
          <w:b/>
          <w:bCs/>
          <w:szCs w:val="20"/>
        </w:rPr>
      </w:pPr>
      <w:r>
        <w:rPr>
          <w:rFonts w:cs="Arial"/>
          <w:b/>
          <w:bCs/>
          <w:szCs w:val="20"/>
        </w:rPr>
        <w:t>1. WSTĘP</w:t>
      </w:r>
    </w:p>
    <w:p w:rsidR="00B77F00" w:rsidRDefault="00865FA3">
      <w:pPr>
        <w:pStyle w:val="Standard"/>
        <w:jc w:val="both"/>
        <w:rPr>
          <w:rFonts w:cs="Calibri"/>
          <w:szCs w:val="20"/>
        </w:rPr>
      </w:pPr>
      <w:r>
        <w:rPr>
          <w:rFonts w:cs="Calibri"/>
          <w:szCs w:val="20"/>
        </w:rPr>
        <w:t>1.1. Przedmiot ST</w:t>
      </w:r>
    </w:p>
    <w:p w:rsidR="00B77F00" w:rsidRDefault="00865FA3">
      <w:pPr>
        <w:pStyle w:val="Standard"/>
        <w:jc w:val="both"/>
        <w:rPr>
          <w:rFonts w:cs="Calibri"/>
          <w:szCs w:val="20"/>
        </w:rPr>
      </w:pPr>
      <w:r>
        <w:rPr>
          <w:rFonts w:cs="Calibri"/>
          <w:szCs w:val="20"/>
        </w:rPr>
        <w:t>Przedmiotem niniejszej Specyfikacji Technicznej są wymagania dotyczące zainstalowania szczelnych urządzeń dylatacyjnych bitumicznych dla obiektów objętych niniejszym kontrakte</w:t>
      </w:r>
      <w:r>
        <w:rPr>
          <w:rFonts w:cs="Calibri"/>
          <w:szCs w:val="20"/>
        </w:rPr>
        <w:t xml:space="preserve">m dla zamierzenia budowlanego: </w:t>
      </w:r>
      <w:r>
        <w:rPr>
          <w:rStyle w:val="WW-DefaultParagraphFont"/>
          <w:rFonts w:eastAsia="Times New Roman" w:cs="Arial"/>
          <w:color w:val="000000"/>
          <w:spacing w:val="-3"/>
          <w:lang w:val="pl-PL" w:bidi="ar-SA"/>
        </w:rPr>
        <w:t>„Remont mostu na rzece Wiązownica w msc. Wrzos w ciągu drogi powiatowej nr 3501W Wrzeszczów – Wrzos - Domaniów w km 4+206”.</w:t>
      </w:r>
    </w:p>
    <w:p w:rsidR="00B77F00" w:rsidRDefault="00865FA3">
      <w:pPr>
        <w:pStyle w:val="Standard"/>
        <w:jc w:val="both"/>
        <w:rPr>
          <w:rFonts w:cs="Calibri"/>
          <w:szCs w:val="20"/>
        </w:rPr>
      </w:pPr>
      <w:r>
        <w:rPr>
          <w:rFonts w:cs="Calibri"/>
          <w:szCs w:val="20"/>
        </w:rPr>
        <w:t>1.2. Zakres stosowan</w:t>
      </w:r>
      <w:r>
        <w:rPr>
          <w:rFonts w:cs="Calibri"/>
          <w:szCs w:val="20"/>
        </w:rPr>
        <w:t>ia ST</w:t>
      </w:r>
    </w:p>
    <w:p w:rsidR="00B77F00" w:rsidRDefault="00865FA3">
      <w:pPr>
        <w:pStyle w:val="Standard"/>
        <w:jc w:val="both"/>
        <w:rPr>
          <w:rFonts w:cs="Calibri"/>
          <w:szCs w:val="20"/>
        </w:rPr>
      </w:pPr>
      <w:r>
        <w:rPr>
          <w:rFonts w:cs="Calibri"/>
          <w:szCs w:val="20"/>
        </w:rPr>
        <w:t>Specyfikacja Techniczna jest stosowana jako dokument przetargowy i kontraktowy przy zlecaniu i realizacji robót wymienionych w punkcie 1.1.</w:t>
      </w:r>
    </w:p>
    <w:p w:rsidR="00B77F00" w:rsidRDefault="00865FA3">
      <w:pPr>
        <w:pStyle w:val="Standard"/>
        <w:jc w:val="both"/>
        <w:rPr>
          <w:rFonts w:cs="Calibri"/>
          <w:szCs w:val="20"/>
        </w:rPr>
      </w:pPr>
      <w:r>
        <w:rPr>
          <w:rFonts w:cs="Calibri"/>
          <w:szCs w:val="20"/>
        </w:rPr>
        <w:t>1.3. Zakres robót objętych ST</w:t>
      </w:r>
    </w:p>
    <w:p w:rsidR="00B77F00" w:rsidRDefault="00865FA3">
      <w:pPr>
        <w:pStyle w:val="Standard"/>
        <w:jc w:val="both"/>
        <w:rPr>
          <w:rFonts w:cs="Calibri"/>
          <w:szCs w:val="20"/>
        </w:rPr>
      </w:pPr>
      <w:r>
        <w:rPr>
          <w:rFonts w:cs="Calibri"/>
          <w:szCs w:val="20"/>
        </w:rPr>
        <w:t>Roboty, których dotyczy Specyfikacja Techniczna, obejmują wszystkie czynności um</w:t>
      </w:r>
      <w:r>
        <w:rPr>
          <w:rFonts w:cs="Calibri"/>
          <w:szCs w:val="20"/>
        </w:rPr>
        <w:t>ożliwiające i mające na celu wykonanie przekrycia dylatacyjnego szczelnego z masy spoinowej na styku obiektu mostowego z korpusem drogowym lub pomiędzy konstrukcjami niosącymi przęseł .</w:t>
      </w:r>
    </w:p>
    <w:p w:rsidR="00B77F00" w:rsidRDefault="00865FA3">
      <w:pPr>
        <w:pStyle w:val="Standard"/>
        <w:jc w:val="both"/>
        <w:rPr>
          <w:rFonts w:cs="Calibri"/>
          <w:szCs w:val="20"/>
        </w:rPr>
      </w:pPr>
      <w:r>
        <w:rPr>
          <w:rFonts w:cs="Calibri"/>
          <w:szCs w:val="20"/>
        </w:rPr>
        <w:t>W zakres robót wchodzi również przygotowanie wnęk dylatacyjnych na ist</w:t>
      </w:r>
      <w:r>
        <w:rPr>
          <w:rFonts w:cs="Calibri"/>
          <w:szCs w:val="20"/>
        </w:rPr>
        <w:t>niejących obiektach, w tym usunięcie istniejących dylatacji ukrytych pod nawierzchnią.</w:t>
      </w:r>
    </w:p>
    <w:p w:rsidR="00B77F00" w:rsidRDefault="00865FA3">
      <w:pPr>
        <w:pStyle w:val="Standard"/>
        <w:jc w:val="both"/>
        <w:rPr>
          <w:rFonts w:cs="Calibri"/>
          <w:szCs w:val="20"/>
        </w:rPr>
      </w:pPr>
      <w:r>
        <w:rPr>
          <w:rFonts w:cs="Calibri"/>
          <w:szCs w:val="20"/>
        </w:rPr>
        <w:t>W zakres robót wchodzi również przygotowanie fundamentu żelbetowego o wymiarach 35x25cm, który stanowi oparcie dla dylatacji od strony zasypki przyczółk</w:t>
      </w:r>
    </w:p>
    <w:p w:rsidR="00B77F00" w:rsidRDefault="00865FA3">
      <w:pPr>
        <w:pStyle w:val="Standard"/>
        <w:jc w:val="both"/>
        <w:rPr>
          <w:rFonts w:cs="Calibri"/>
          <w:szCs w:val="20"/>
        </w:rPr>
      </w:pPr>
      <w:r>
        <w:rPr>
          <w:rFonts w:cs="Calibri"/>
          <w:szCs w:val="20"/>
        </w:rPr>
        <w:t>1.4. Określenia</w:t>
      </w:r>
      <w:r>
        <w:rPr>
          <w:rFonts w:cs="Calibri"/>
          <w:szCs w:val="20"/>
        </w:rPr>
        <w:t xml:space="preserve"> podstawowe</w:t>
      </w:r>
    </w:p>
    <w:p w:rsidR="00B77F00" w:rsidRDefault="00865FA3">
      <w:pPr>
        <w:pStyle w:val="Standard"/>
        <w:jc w:val="both"/>
        <w:rPr>
          <w:rFonts w:cs="Calibri"/>
          <w:szCs w:val="20"/>
        </w:rPr>
      </w:pPr>
      <w:r>
        <w:rPr>
          <w:rFonts w:cs="Calibri"/>
          <w:szCs w:val="20"/>
        </w:rPr>
        <w:t>Określenia podstawowe podane w niniejszej Specyfikacji Technicznej są zgodne z obowiązującymi odpowiednimi normami oraz określeniami podanymi w ST DM.00.00.00 “Wymagania ogólne”.</w:t>
      </w:r>
    </w:p>
    <w:p w:rsidR="00B77F00" w:rsidRDefault="00865FA3">
      <w:pPr>
        <w:pStyle w:val="Standard"/>
        <w:jc w:val="both"/>
        <w:rPr>
          <w:rFonts w:cs="Calibri"/>
          <w:szCs w:val="20"/>
        </w:rPr>
      </w:pPr>
      <w:r>
        <w:rPr>
          <w:rFonts w:cs="Calibri"/>
          <w:szCs w:val="20"/>
          <w:u w:val="single"/>
        </w:rPr>
        <w:t xml:space="preserve">Szczelina dylatacyjna </w:t>
      </w:r>
      <w:r>
        <w:rPr>
          <w:rFonts w:cs="Calibri"/>
          <w:szCs w:val="20"/>
        </w:rPr>
        <w:t>– przestrzeń między konstrukcją niosącą obi</w:t>
      </w:r>
      <w:r>
        <w:rPr>
          <w:rFonts w:cs="Calibri"/>
          <w:szCs w:val="20"/>
        </w:rPr>
        <w:t>ektu mostowego a korpusem drogowym (przyczółkiem) lub między konstrukcjami niosącymi przęseł, przeznaczona do zamontowania urządzenia dylatacyjnego.</w:t>
      </w:r>
    </w:p>
    <w:p w:rsidR="00B77F00" w:rsidRDefault="00865FA3">
      <w:pPr>
        <w:pStyle w:val="Standard"/>
        <w:jc w:val="both"/>
        <w:rPr>
          <w:rFonts w:cs="Calibri"/>
          <w:szCs w:val="20"/>
        </w:rPr>
      </w:pPr>
      <w:r>
        <w:rPr>
          <w:rFonts w:cs="Calibri"/>
          <w:szCs w:val="20"/>
          <w:u w:val="single"/>
        </w:rPr>
        <w:t>Urządzenie dylatacyjne</w:t>
      </w:r>
      <w:r>
        <w:rPr>
          <w:rFonts w:cs="Calibri"/>
          <w:szCs w:val="20"/>
        </w:rPr>
        <w:t xml:space="preserve"> - urządzenie umożliwiające swobodne odkształcenia przęseł obiektu mostowego przy </w:t>
      </w:r>
      <w:r>
        <w:rPr>
          <w:rFonts w:cs="Calibri"/>
          <w:szCs w:val="20"/>
        </w:rPr>
        <w:t>jednoczesnym zapewnieniu ciągłości nawierzchni nad szczeliną dylatacyjną celem niezakłóconego ruchu pojazdów lub pieszych.</w:t>
      </w:r>
    </w:p>
    <w:p w:rsidR="00B77F00" w:rsidRDefault="00865FA3">
      <w:pPr>
        <w:pStyle w:val="Standard"/>
        <w:jc w:val="both"/>
        <w:rPr>
          <w:rFonts w:cs="Calibri"/>
          <w:szCs w:val="20"/>
        </w:rPr>
      </w:pPr>
      <w:r>
        <w:rPr>
          <w:rFonts w:cs="Calibri"/>
          <w:szCs w:val="20"/>
        </w:rPr>
        <w:t>1.5. Ogólne wymagania dotyczące robót</w:t>
      </w:r>
    </w:p>
    <w:p w:rsidR="00B77F00" w:rsidRDefault="00865FA3">
      <w:pPr>
        <w:pStyle w:val="Standard"/>
        <w:jc w:val="both"/>
        <w:rPr>
          <w:rFonts w:cs="Calibri"/>
          <w:szCs w:val="20"/>
        </w:rPr>
      </w:pPr>
      <w:r>
        <w:rPr>
          <w:rFonts w:cs="Calibri"/>
          <w:szCs w:val="20"/>
        </w:rPr>
        <w:t>Wykonawca robót jest odpowiedzialny za jakość ich wykonania oraz za zgodność z Dokumentacją Pro</w:t>
      </w:r>
      <w:r>
        <w:rPr>
          <w:rFonts w:cs="Calibri"/>
          <w:szCs w:val="20"/>
        </w:rPr>
        <w:t>jektową, Specyfikacjami Technicznymi i poleceniami Inżyniera.</w:t>
      </w:r>
    </w:p>
    <w:p w:rsidR="00B77F00" w:rsidRDefault="00865FA3">
      <w:pPr>
        <w:pStyle w:val="Standard"/>
        <w:jc w:val="both"/>
        <w:rPr>
          <w:rFonts w:cs="Calibri"/>
          <w:szCs w:val="20"/>
        </w:rPr>
      </w:pPr>
      <w:r>
        <w:rPr>
          <w:rFonts w:cs="Calibri"/>
          <w:szCs w:val="20"/>
        </w:rPr>
        <w:t>Ogólne wymagania dotyczące robót podano w ST DM.00.00.00 “Wymagania ogólne”.</w:t>
      </w:r>
    </w:p>
    <w:p w:rsidR="00B77F00" w:rsidRDefault="00B77F00">
      <w:pPr>
        <w:pStyle w:val="Standard"/>
        <w:jc w:val="both"/>
        <w:rPr>
          <w:rFonts w:cs="Calibri"/>
          <w:szCs w:val="20"/>
        </w:rPr>
      </w:pPr>
    </w:p>
    <w:p w:rsidR="00B77F00" w:rsidRDefault="00865FA3">
      <w:pPr>
        <w:pStyle w:val="Standard"/>
        <w:jc w:val="both"/>
        <w:rPr>
          <w:rFonts w:cs="Arial"/>
          <w:b/>
          <w:bCs/>
          <w:szCs w:val="20"/>
        </w:rPr>
      </w:pPr>
      <w:r>
        <w:rPr>
          <w:rFonts w:cs="Arial"/>
          <w:b/>
          <w:bCs/>
          <w:szCs w:val="20"/>
        </w:rPr>
        <w:t>2. MATERIAŁY</w:t>
      </w:r>
    </w:p>
    <w:p w:rsidR="00B77F00" w:rsidRDefault="00865FA3">
      <w:pPr>
        <w:pStyle w:val="Standard"/>
        <w:jc w:val="both"/>
        <w:rPr>
          <w:rFonts w:cs="Calibri"/>
          <w:szCs w:val="20"/>
        </w:rPr>
      </w:pPr>
      <w:r>
        <w:rPr>
          <w:rFonts w:cs="Calibri"/>
          <w:szCs w:val="20"/>
        </w:rPr>
        <w:t>2.1. Ogólne wymagania dotyczące materiałów</w:t>
      </w:r>
    </w:p>
    <w:p w:rsidR="00B77F00" w:rsidRDefault="00865FA3">
      <w:pPr>
        <w:pStyle w:val="Standard"/>
        <w:jc w:val="both"/>
        <w:rPr>
          <w:rFonts w:cs="Calibri"/>
          <w:szCs w:val="20"/>
        </w:rPr>
      </w:pPr>
      <w:r>
        <w:rPr>
          <w:rFonts w:cs="Calibri"/>
          <w:szCs w:val="20"/>
        </w:rPr>
        <w:t>Doboru zastosowanego typu przekrycia dylatacyjnego dokonuje</w:t>
      </w:r>
      <w:r>
        <w:rPr>
          <w:rFonts w:cs="Calibri"/>
          <w:szCs w:val="20"/>
        </w:rPr>
        <w:t xml:space="preserve"> Wykonawca.</w:t>
      </w:r>
    </w:p>
    <w:p w:rsidR="00B77F00" w:rsidRDefault="00865FA3">
      <w:pPr>
        <w:pStyle w:val="Standard"/>
        <w:jc w:val="both"/>
        <w:rPr>
          <w:rFonts w:cs="Calibri"/>
          <w:szCs w:val="20"/>
        </w:rPr>
      </w:pPr>
      <w:r>
        <w:rPr>
          <w:rFonts w:cs="Calibri"/>
          <w:szCs w:val="20"/>
        </w:rPr>
        <w:t>Dobrany typ przekrycia dylatacyjnego musi posiadać Aprobatę Techniczną.</w:t>
      </w:r>
    </w:p>
    <w:p w:rsidR="00B77F00" w:rsidRDefault="00865FA3">
      <w:pPr>
        <w:pStyle w:val="Standard"/>
        <w:jc w:val="both"/>
        <w:rPr>
          <w:rFonts w:cs="Calibri"/>
          <w:szCs w:val="20"/>
        </w:rPr>
      </w:pPr>
      <w:r>
        <w:rPr>
          <w:rFonts w:cs="Calibri"/>
          <w:szCs w:val="20"/>
        </w:rPr>
        <w:t>Do przekrycia dylatacyjnego należy zastosować materiały zgodne z warunkami Aprobaty Technicznej dla wybranego typu dylatacji.</w:t>
      </w:r>
    </w:p>
    <w:p w:rsidR="00B77F00" w:rsidRDefault="00865FA3">
      <w:pPr>
        <w:pStyle w:val="Standard"/>
        <w:jc w:val="both"/>
        <w:rPr>
          <w:rFonts w:cs="Calibri"/>
          <w:szCs w:val="20"/>
        </w:rPr>
      </w:pPr>
      <w:r>
        <w:rPr>
          <w:rFonts w:cs="Calibri"/>
          <w:szCs w:val="20"/>
        </w:rPr>
        <w:t>Dla podstawowych materiałów spełnione muszą by</w:t>
      </w:r>
      <w:r>
        <w:rPr>
          <w:rFonts w:cs="Calibri"/>
          <w:szCs w:val="20"/>
        </w:rPr>
        <w:t>ć warunki podane w pkt. 2.2. niniejszej Specyfikacji Technicznej.</w:t>
      </w:r>
    </w:p>
    <w:p w:rsidR="00B77F00" w:rsidRDefault="00865FA3">
      <w:pPr>
        <w:pStyle w:val="Standard"/>
        <w:jc w:val="both"/>
        <w:rPr>
          <w:rFonts w:cs="Calibri"/>
          <w:szCs w:val="20"/>
        </w:rPr>
      </w:pPr>
      <w:r>
        <w:rPr>
          <w:rFonts w:cs="Calibri"/>
          <w:szCs w:val="20"/>
        </w:rPr>
        <w:t>Ogólne wymagania dotyczące materiałów podano w ST DM.00.00.00 “Wymagania ogólne”.</w:t>
      </w:r>
    </w:p>
    <w:p w:rsidR="00B77F00" w:rsidRDefault="00865FA3">
      <w:pPr>
        <w:pStyle w:val="Standard"/>
        <w:jc w:val="both"/>
        <w:rPr>
          <w:rFonts w:cs="Calibri"/>
          <w:szCs w:val="20"/>
        </w:rPr>
      </w:pPr>
      <w:r>
        <w:rPr>
          <w:rFonts w:cs="Calibri"/>
          <w:szCs w:val="20"/>
        </w:rPr>
        <w:t>2.2. Szczegółowe wymagania dotyczące materiałów</w:t>
      </w:r>
    </w:p>
    <w:p w:rsidR="00B77F00" w:rsidRDefault="00865FA3">
      <w:pPr>
        <w:pStyle w:val="Standard"/>
        <w:jc w:val="both"/>
        <w:rPr>
          <w:rFonts w:cs="Calibri"/>
          <w:szCs w:val="20"/>
        </w:rPr>
      </w:pPr>
      <w:r>
        <w:rPr>
          <w:rFonts w:cs="Calibri"/>
          <w:szCs w:val="20"/>
        </w:rPr>
        <w:t>2.2.1. Materiały składowe przykrycia dylatacyjnego szczelneg</w:t>
      </w:r>
      <w:r>
        <w:rPr>
          <w:rFonts w:cs="Calibri"/>
          <w:szCs w:val="20"/>
        </w:rPr>
        <w:t>o z masy spoinowej</w:t>
      </w:r>
    </w:p>
    <w:p w:rsidR="00B77F00" w:rsidRDefault="00865FA3">
      <w:pPr>
        <w:pStyle w:val="Standard"/>
        <w:jc w:val="both"/>
        <w:rPr>
          <w:rFonts w:cs="Calibri"/>
          <w:szCs w:val="20"/>
        </w:rPr>
      </w:pPr>
      <w:r>
        <w:rPr>
          <w:rFonts w:cs="Calibri"/>
          <w:szCs w:val="20"/>
        </w:rPr>
        <w:t>a)</w:t>
      </w:r>
      <w:r>
        <w:rPr>
          <w:rFonts w:cs="Calibri"/>
          <w:szCs w:val="20"/>
        </w:rPr>
        <w:tab/>
        <w:t>Stabilizator</w:t>
      </w:r>
    </w:p>
    <w:p w:rsidR="00B77F00" w:rsidRDefault="00865FA3">
      <w:pPr>
        <w:pStyle w:val="Standard"/>
        <w:jc w:val="both"/>
        <w:rPr>
          <w:rFonts w:cs="Calibri"/>
          <w:szCs w:val="20"/>
        </w:rPr>
      </w:pPr>
      <w:r>
        <w:rPr>
          <w:rFonts w:cs="Calibri"/>
          <w:szCs w:val="20"/>
        </w:rPr>
        <w:t xml:space="preserve">Stabilizator może być wykonany z blachy aluminiowej, z blachy stalowej nierdzewnej lub blachy ze stali S355. Rodzaj stabilizatora zależy od szerokości szczeliny dylatacyjnej i powinien być określony w rysunkach roboczych </w:t>
      </w:r>
      <w:r>
        <w:rPr>
          <w:rFonts w:cs="Calibri"/>
          <w:szCs w:val="20"/>
        </w:rPr>
        <w:t>dylatacji. W przypadku zastosowania stabilizatora ze stali S355 należy zabezpieczyć go antykorozyjnie przez oczyszczenie powierzchni (piaskowanie) i pokrycie go masą spoinową.</w:t>
      </w:r>
    </w:p>
    <w:p w:rsidR="00B77F00" w:rsidRDefault="00865FA3">
      <w:pPr>
        <w:pStyle w:val="Standard"/>
        <w:jc w:val="both"/>
        <w:rPr>
          <w:rFonts w:cs="Calibri"/>
          <w:szCs w:val="20"/>
        </w:rPr>
      </w:pPr>
      <w:r>
        <w:rPr>
          <w:rFonts w:cs="Calibri"/>
          <w:szCs w:val="20"/>
        </w:rPr>
        <w:t>b)</w:t>
      </w:r>
      <w:r>
        <w:rPr>
          <w:rFonts w:cs="Calibri"/>
          <w:szCs w:val="20"/>
        </w:rPr>
        <w:tab/>
        <w:t>Membrana</w:t>
      </w:r>
    </w:p>
    <w:p w:rsidR="00B77F00" w:rsidRDefault="00865FA3">
      <w:pPr>
        <w:pStyle w:val="Standard"/>
        <w:jc w:val="both"/>
        <w:rPr>
          <w:rFonts w:cs="Calibri"/>
          <w:szCs w:val="20"/>
        </w:rPr>
      </w:pPr>
      <w:r>
        <w:rPr>
          <w:rFonts w:cs="Calibri"/>
          <w:szCs w:val="20"/>
        </w:rPr>
        <w:t>Membrana winna być wykonana z tworzywa sztucznego (np. PCV) charakte</w:t>
      </w:r>
      <w:r>
        <w:rPr>
          <w:rFonts w:cs="Calibri"/>
          <w:szCs w:val="20"/>
        </w:rPr>
        <w:t>ryzującego się małym współczynnikiem tarcia i odpornością na temperaturę do 200ºC. Szerokość membrany powinna być określona w rysunkach roboczych dylatacji.</w:t>
      </w:r>
    </w:p>
    <w:p w:rsidR="00B77F00" w:rsidRDefault="00865FA3">
      <w:pPr>
        <w:pStyle w:val="Standard"/>
        <w:jc w:val="both"/>
        <w:rPr>
          <w:rFonts w:cs="Calibri"/>
          <w:szCs w:val="20"/>
        </w:rPr>
      </w:pPr>
      <w:r>
        <w:rPr>
          <w:rFonts w:cs="Calibri"/>
          <w:szCs w:val="20"/>
        </w:rPr>
        <w:t>c)</w:t>
      </w:r>
      <w:r>
        <w:rPr>
          <w:rFonts w:cs="Calibri"/>
          <w:szCs w:val="20"/>
        </w:rPr>
        <w:tab/>
        <w:t>Kruszywo</w:t>
      </w:r>
    </w:p>
    <w:p w:rsidR="00B77F00" w:rsidRDefault="00865FA3">
      <w:pPr>
        <w:pStyle w:val="Standard"/>
        <w:jc w:val="both"/>
        <w:rPr>
          <w:rFonts w:cs="Calibri"/>
          <w:szCs w:val="20"/>
        </w:rPr>
      </w:pPr>
      <w:r>
        <w:rPr>
          <w:rFonts w:cs="Calibri"/>
          <w:szCs w:val="20"/>
        </w:rPr>
        <w:t>Należy stosować grysy łamane z bazaltu lub granitu spełniające wymogi zawarte w tablic</w:t>
      </w:r>
      <w:r>
        <w:rPr>
          <w:rFonts w:cs="Calibri"/>
          <w:szCs w:val="20"/>
        </w:rPr>
        <w:t>y 1.</w:t>
      </w:r>
    </w:p>
    <w:p w:rsidR="00B77F00" w:rsidRDefault="00B77F00">
      <w:pPr>
        <w:pStyle w:val="Standard"/>
        <w:jc w:val="both"/>
        <w:rPr>
          <w:rFonts w:cs="Calibri"/>
          <w:szCs w:val="20"/>
        </w:rPr>
      </w:pPr>
    </w:p>
    <w:p w:rsidR="00B77F00" w:rsidRDefault="00865FA3">
      <w:pPr>
        <w:pStyle w:val="Standard"/>
        <w:jc w:val="both"/>
        <w:rPr>
          <w:rFonts w:cs="Calibri"/>
          <w:szCs w:val="20"/>
        </w:rPr>
      </w:pPr>
      <w:r>
        <w:rPr>
          <w:rFonts w:cs="Calibri"/>
          <w:noProof/>
          <w:szCs w:val="20"/>
        </w:rPr>
        <w:drawing>
          <wp:anchor distT="0" distB="0" distL="114300" distR="114300" simplePos="0" relativeHeight="6" behindDoc="0" locked="0" layoutInCell="1" allowOverlap="1">
            <wp:simplePos x="0" y="0"/>
            <wp:positionH relativeFrom="column">
              <wp:posOffset>5760</wp:posOffset>
            </wp:positionH>
            <wp:positionV relativeFrom="paragraph">
              <wp:posOffset>175320</wp:posOffset>
            </wp:positionV>
            <wp:extent cx="6084719" cy="3860279"/>
            <wp:effectExtent l="0" t="0" r="0" b="6871"/>
            <wp:wrapTopAndBottom/>
            <wp:docPr id="10" name="grafika9"/>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lum/>
                      <a:alphaModFix/>
                    </a:blip>
                    <a:srcRect/>
                    <a:stretch>
                      <a:fillRect/>
                    </a:stretch>
                  </pic:blipFill>
                  <pic:spPr>
                    <a:xfrm>
                      <a:off x="0" y="0"/>
                      <a:ext cx="6084719" cy="3860279"/>
                    </a:xfrm>
                    <a:prstGeom prst="rect">
                      <a:avLst/>
                    </a:prstGeom>
                    <a:ln>
                      <a:noFill/>
                      <a:prstDash/>
                    </a:ln>
                  </pic:spPr>
                </pic:pic>
              </a:graphicData>
            </a:graphic>
          </wp:anchor>
        </w:drawing>
      </w:r>
      <w:r>
        <w:rPr>
          <w:rFonts w:cs="Calibri"/>
          <w:szCs w:val="20"/>
        </w:rPr>
        <w:t>Tablica 1</w:t>
      </w:r>
    </w:p>
    <w:p w:rsidR="00B77F00" w:rsidRDefault="00B77F00">
      <w:pPr>
        <w:pStyle w:val="Standard"/>
        <w:jc w:val="both"/>
        <w:rPr>
          <w:rFonts w:cs="Calibri"/>
          <w:szCs w:val="20"/>
        </w:rPr>
      </w:pPr>
    </w:p>
    <w:p w:rsidR="00B77F00" w:rsidRDefault="00865FA3">
      <w:pPr>
        <w:pStyle w:val="Standard"/>
        <w:jc w:val="both"/>
        <w:rPr>
          <w:rFonts w:cs="Calibri"/>
          <w:szCs w:val="20"/>
        </w:rPr>
      </w:pPr>
      <w:r>
        <w:rPr>
          <w:rFonts w:cs="Calibri"/>
          <w:szCs w:val="20"/>
        </w:rPr>
        <w:t>d)</w:t>
      </w:r>
      <w:r>
        <w:rPr>
          <w:rFonts w:cs="Calibri"/>
          <w:szCs w:val="20"/>
        </w:rPr>
        <w:tab/>
        <w:t>Lepiszcze</w:t>
      </w:r>
    </w:p>
    <w:p w:rsidR="00B77F00" w:rsidRDefault="00865FA3">
      <w:pPr>
        <w:pStyle w:val="Standard"/>
        <w:jc w:val="both"/>
        <w:rPr>
          <w:rFonts w:cs="Calibri"/>
          <w:szCs w:val="20"/>
        </w:rPr>
      </w:pPr>
      <w:r>
        <w:rPr>
          <w:rFonts w:cs="Calibri"/>
          <w:szCs w:val="20"/>
        </w:rPr>
        <w:t>Należy stosować lepiszcze wykonane na bazie asfaltu modyfikowanego z dodatkiem polimerów, wypełniaczy oraz substancji powierzchniowo czynnych, spełniające wymogi zawarte w tablicy 2.</w:t>
      </w:r>
    </w:p>
    <w:p w:rsidR="00B77F00" w:rsidRDefault="00B77F00">
      <w:pPr>
        <w:pStyle w:val="Standard"/>
        <w:jc w:val="both"/>
        <w:rPr>
          <w:rFonts w:cs="Calibri"/>
          <w:szCs w:val="20"/>
        </w:rPr>
      </w:pPr>
    </w:p>
    <w:p w:rsidR="00B77F00" w:rsidRDefault="00865FA3">
      <w:pPr>
        <w:pStyle w:val="Standard"/>
        <w:jc w:val="both"/>
        <w:rPr>
          <w:rFonts w:cs="Calibri"/>
          <w:szCs w:val="20"/>
        </w:rPr>
      </w:pPr>
      <w:r>
        <w:rPr>
          <w:rFonts w:cs="Calibri"/>
          <w:szCs w:val="20"/>
        </w:rPr>
        <w:t>Tablica 2</w:t>
      </w:r>
    </w:p>
    <w:tbl>
      <w:tblPr>
        <w:tblW w:w="9991" w:type="dxa"/>
        <w:tblLayout w:type="fixed"/>
        <w:tblCellMar>
          <w:left w:w="10" w:type="dxa"/>
          <w:right w:w="10" w:type="dxa"/>
        </w:tblCellMar>
        <w:tblLook w:val="0000" w:firstRow="0" w:lastRow="0" w:firstColumn="0" w:lastColumn="0" w:noHBand="0" w:noVBand="0"/>
      </w:tblPr>
      <w:tblGrid>
        <w:gridCol w:w="496"/>
        <w:gridCol w:w="3969"/>
        <w:gridCol w:w="1418"/>
        <w:gridCol w:w="1418"/>
        <w:gridCol w:w="2690"/>
      </w:tblGrid>
      <w:tr w:rsidR="00B77F00">
        <w:tblPrEx>
          <w:tblCellMar>
            <w:top w:w="0" w:type="dxa"/>
            <w:bottom w:w="0" w:type="dxa"/>
          </w:tblCellMar>
        </w:tblPrEx>
        <w:tc>
          <w:tcPr>
            <w:tcW w:w="496" w:type="dxa"/>
            <w:tcBorders>
              <w:top w:val="single" w:sz="4" w:space="0" w:color="000000"/>
              <w:left w:val="single" w:sz="4" w:space="0" w:color="000000"/>
              <w:bottom w:val="single" w:sz="4" w:space="0" w:color="000000"/>
            </w:tcBorders>
            <w:shd w:val="clear" w:color="auto" w:fill="FFFFFF"/>
            <w:tcMar>
              <w:top w:w="0" w:type="dxa"/>
              <w:left w:w="71" w:type="dxa"/>
              <w:bottom w:w="0" w:type="dxa"/>
              <w:right w:w="71" w:type="dxa"/>
            </w:tcMar>
          </w:tcPr>
          <w:p w:rsidR="00B77F00" w:rsidRDefault="00865FA3">
            <w:pPr>
              <w:pStyle w:val="Standard"/>
              <w:snapToGrid w:val="0"/>
              <w:jc w:val="both"/>
              <w:rPr>
                <w:rFonts w:cs="Arial"/>
                <w:color w:val="000000"/>
                <w:szCs w:val="20"/>
              </w:rPr>
            </w:pPr>
            <w:r>
              <w:rPr>
                <w:rFonts w:cs="Arial"/>
                <w:color w:val="000000"/>
                <w:szCs w:val="20"/>
              </w:rPr>
              <w:t>Lp</w:t>
            </w:r>
          </w:p>
        </w:tc>
        <w:tc>
          <w:tcPr>
            <w:tcW w:w="3969" w:type="dxa"/>
            <w:tcBorders>
              <w:top w:val="single" w:sz="4" w:space="0" w:color="000000"/>
              <w:left w:val="single" w:sz="4" w:space="0" w:color="000000"/>
              <w:bottom w:val="single" w:sz="4" w:space="0" w:color="000000"/>
            </w:tcBorders>
            <w:shd w:val="clear" w:color="auto" w:fill="FFFFFF"/>
            <w:tcMar>
              <w:top w:w="0" w:type="dxa"/>
              <w:left w:w="71" w:type="dxa"/>
              <w:bottom w:w="0" w:type="dxa"/>
              <w:right w:w="71" w:type="dxa"/>
            </w:tcMar>
          </w:tcPr>
          <w:p w:rsidR="00B77F00" w:rsidRDefault="00865FA3">
            <w:pPr>
              <w:pStyle w:val="Standard"/>
              <w:snapToGrid w:val="0"/>
              <w:jc w:val="both"/>
              <w:rPr>
                <w:rFonts w:cs="Arial"/>
                <w:color w:val="000000"/>
                <w:szCs w:val="20"/>
              </w:rPr>
            </w:pPr>
            <w:r>
              <w:rPr>
                <w:rFonts w:cs="Arial"/>
                <w:color w:val="000000"/>
                <w:szCs w:val="20"/>
              </w:rPr>
              <w:t>Właściwości lepiszcza</w:t>
            </w:r>
          </w:p>
        </w:tc>
        <w:tc>
          <w:tcPr>
            <w:tcW w:w="1418" w:type="dxa"/>
            <w:tcBorders>
              <w:top w:val="single" w:sz="4" w:space="0" w:color="000000"/>
              <w:left w:val="single" w:sz="4" w:space="0" w:color="000000"/>
              <w:bottom w:val="single" w:sz="4" w:space="0" w:color="000000"/>
            </w:tcBorders>
            <w:shd w:val="clear" w:color="auto" w:fill="FFFFFF"/>
            <w:tcMar>
              <w:top w:w="0" w:type="dxa"/>
              <w:left w:w="71" w:type="dxa"/>
              <w:bottom w:w="0" w:type="dxa"/>
              <w:right w:w="71" w:type="dxa"/>
            </w:tcMar>
          </w:tcPr>
          <w:p w:rsidR="00B77F00" w:rsidRDefault="00865FA3">
            <w:pPr>
              <w:pStyle w:val="Standard"/>
              <w:snapToGrid w:val="0"/>
              <w:jc w:val="both"/>
              <w:rPr>
                <w:rFonts w:cs="Arial"/>
                <w:color w:val="000000"/>
                <w:szCs w:val="20"/>
              </w:rPr>
            </w:pPr>
            <w:r>
              <w:rPr>
                <w:rFonts w:cs="Arial"/>
                <w:color w:val="000000"/>
                <w:szCs w:val="20"/>
              </w:rPr>
              <w:t>Jednostka</w:t>
            </w:r>
          </w:p>
        </w:tc>
        <w:tc>
          <w:tcPr>
            <w:tcW w:w="1418" w:type="dxa"/>
            <w:tcBorders>
              <w:top w:val="single" w:sz="4" w:space="0" w:color="000000"/>
              <w:left w:val="single" w:sz="4" w:space="0" w:color="000000"/>
              <w:bottom w:val="single" w:sz="4" w:space="0" w:color="000000"/>
            </w:tcBorders>
            <w:shd w:val="clear" w:color="auto" w:fill="FFFFFF"/>
            <w:tcMar>
              <w:top w:w="0" w:type="dxa"/>
              <w:left w:w="71" w:type="dxa"/>
              <w:bottom w:w="0" w:type="dxa"/>
              <w:right w:w="71" w:type="dxa"/>
            </w:tcMar>
          </w:tcPr>
          <w:p w:rsidR="00B77F00" w:rsidRDefault="00865FA3">
            <w:pPr>
              <w:pStyle w:val="Standard"/>
              <w:snapToGrid w:val="0"/>
              <w:jc w:val="both"/>
              <w:rPr>
                <w:rFonts w:cs="Arial"/>
                <w:color w:val="000000"/>
                <w:szCs w:val="20"/>
              </w:rPr>
            </w:pPr>
            <w:r>
              <w:rPr>
                <w:rFonts w:cs="Arial"/>
                <w:color w:val="000000"/>
                <w:szCs w:val="20"/>
              </w:rPr>
              <w:t>Wymagana wartość</w:t>
            </w:r>
          </w:p>
        </w:tc>
        <w:tc>
          <w:tcPr>
            <w:tcW w:w="2690" w:type="dxa"/>
            <w:tcBorders>
              <w:top w:val="single" w:sz="4" w:space="0" w:color="000000"/>
              <w:left w:val="single" w:sz="4" w:space="0" w:color="000000"/>
              <w:bottom w:val="single" w:sz="4" w:space="0" w:color="000000"/>
              <w:right w:val="single" w:sz="4" w:space="0" w:color="000000"/>
            </w:tcBorders>
            <w:shd w:val="clear" w:color="auto" w:fill="FFFFFF"/>
            <w:tcMar>
              <w:top w:w="0" w:type="dxa"/>
              <w:left w:w="71" w:type="dxa"/>
              <w:bottom w:w="0" w:type="dxa"/>
              <w:right w:w="71" w:type="dxa"/>
            </w:tcMar>
          </w:tcPr>
          <w:p w:rsidR="00B77F00" w:rsidRDefault="00865FA3">
            <w:pPr>
              <w:pStyle w:val="Standard"/>
              <w:snapToGrid w:val="0"/>
              <w:jc w:val="both"/>
              <w:rPr>
                <w:rFonts w:cs="Arial"/>
                <w:color w:val="000000"/>
                <w:szCs w:val="20"/>
              </w:rPr>
            </w:pPr>
            <w:r>
              <w:rPr>
                <w:rFonts w:cs="Arial"/>
                <w:color w:val="000000"/>
                <w:szCs w:val="20"/>
              </w:rPr>
              <w:t>Badanie wg</w:t>
            </w:r>
          </w:p>
        </w:tc>
      </w:tr>
      <w:tr w:rsidR="00B77F00">
        <w:tblPrEx>
          <w:tblCellMar>
            <w:top w:w="0" w:type="dxa"/>
            <w:bottom w:w="0" w:type="dxa"/>
          </w:tblCellMar>
        </w:tblPrEx>
        <w:tc>
          <w:tcPr>
            <w:tcW w:w="496" w:type="dxa"/>
            <w:tcBorders>
              <w:top w:val="single" w:sz="4" w:space="0" w:color="000000"/>
              <w:left w:val="single" w:sz="4" w:space="0" w:color="000000"/>
              <w:bottom w:val="single" w:sz="4" w:space="0" w:color="000000"/>
            </w:tcBorders>
            <w:tcMar>
              <w:top w:w="0" w:type="dxa"/>
              <w:left w:w="71" w:type="dxa"/>
              <w:bottom w:w="0" w:type="dxa"/>
              <w:right w:w="71" w:type="dxa"/>
            </w:tcMar>
          </w:tcPr>
          <w:p w:rsidR="00B77F00" w:rsidRDefault="00865FA3">
            <w:pPr>
              <w:pStyle w:val="Standard"/>
              <w:snapToGrid w:val="0"/>
              <w:jc w:val="both"/>
              <w:rPr>
                <w:rFonts w:cs="Arial"/>
                <w:color w:val="000000"/>
                <w:szCs w:val="20"/>
              </w:rPr>
            </w:pPr>
            <w:r>
              <w:rPr>
                <w:rFonts w:cs="Arial"/>
                <w:color w:val="000000"/>
                <w:szCs w:val="20"/>
              </w:rPr>
              <w:t>1</w:t>
            </w:r>
          </w:p>
        </w:tc>
        <w:tc>
          <w:tcPr>
            <w:tcW w:w="3969" w:type="dxa"/>
            <w:tcBorders>
              <w:top w:val="single" w:sz="4" w:space="0" w:color="000000"/>
              <w:left w:val="single" w:sz="4" w:space="0" w:color="000000"/>
              <w:bottom w:val="single" w:sz="4" w:space="0" w:color="000000"/>
            </w:tcBorders>
            <w:tcMar>
              <w:top w:w="0" w:type="dxa"/>
              <w:left w:w="71" w:type="dxa"/>
              <w:bottom w:w="0" w:type="dxa"/>
              <w:right w:w="71" w:type="dxa"/>
            </w:tcMar>
          </w:tcPr>
          <w:p w:rsidR="00B77F00" w:rsidRDefault="00865FA3">
            <w:pPr>
              <w:pStyle w:val="Standard"/>
              <w:snapToGrid w:val="0"/>
              <w:jc w:val="both"/>
              <w:rPr>
                <w:rFonts w:cs="Arial"/>
                <w:color w:val="000000"/>
                <w:szCs w:val="20"/>
              </w:rPr>
            </w:pPr>
            <w:r>
              <w:rPr>
                <w:rFonts w:cs="Arial"/>
                <w:color w:val="000000"/>
                <w:szCs w:val="20"/>
              </w:rPr>
              <w:t>Temperatura mięknienia wg metody PiK</w:t>
            </w:r>
          </w:p>
        </w:tc>
        <w:tc>
          <w:tcPr>
            <w:tcW w:w="1418" w:type="dxa"/>
            <w:tcBorders>
              <w:top w:val="single" w:sz="4" w:space="0" w:color="000000"/>
              <w:left w:val="single" w:sz="4" w:space="0" w:color="000000"/>
              <w:bottom w:val="single" w:sz="4" w:space="0" w:color="000000"/>
            </w:tcBorders>
            <w:tcMar>
              <w:top w:w="0" w:type="dxa"/>
              <w:left w:w="71" w:type="dxa"/>
              <w:bottom w:w="0" w:type="dxa"/>
              <w:right w:w="71" w:type="dxa"/>
            </w:tcMar>
          </w:tcPr>
          <w:p w:rsidR="00B77F00" w:rsidRDefault="00865FA3">
            <w:pPr>
              <w:pStyle w:val="Standard"/>
              <w:snapToGrid w:val="0"/>
              <w:jc w:val="both"/>
            </w:pPr>
            <w:r>
              <w:rPr>
                <w:rFonts w:eastAsia="Times New Roman" w:cs="Arial"/>
                <w:color w:val="000000"/>
                <w:szCs w:val="20"/>
              </w:rPr>
              <w:t>º</w:t>
            </w:r>
            <w:r>
              <w:rPr>
                <w:rFonts w:cs="Arial"/>
                <w:color w:val="000000"/>
                <w:szCs w:val="20"/>
              </w:rPr>
              <w:t>C</w:t>
            </w:r>
          </w:p>
        </w:tc>
        <w:tc>
          <w:tcPr>
            <w:tcW w:w="1418" w:type="dxa"/>
            <w:tcBorders>
              <w:top w:val="single" w:sz="4" w:space="0" w:color="000000"/>
              <w:left w:val="single" w:sz="4" w:space="0" w:color="000000"/>
              <w:bottom w:val="single" w:sz="4" w:space="0" w:color="000000"/>
            </w:tcBorders>
            <w:tcMar>
              <w:top w:w="0" w:type="dxa"/>
              <w:left w:w="71" w:type="dxa"/>
              <w:bottom w:w="0" w:type="dxa"/>
              <w:right w:w="71" w:type="dxa"/>
            </w:tcMar>
          </w:tcPr>
          <w:p w:rsidR="00B77F00" w:rsidRDefault="00865FA3">
            <w:pPr>
              <w:pStyle w:val="Standard"/>
              <w:snapToGrid w:val="0"/>
              <w:jc w:val="both"/>
              <w:rPr>
                <w:rFonts w:cs="Arial"/>
                <w:color w:val="000000"/>
                <w:szCs w:val="20"/>
              </w:rPr>
            </w:pPr>
            <w:r>
              <w:rPr>
                <w:rFonts w:cs="Arial"/>
                <w:color w:val="000000"/>
                <w:szCs w:val="20"/>
              </w:rPr>
              <w:t>&gt; 70</w:t>
            </w:r>
          </w:p>
        </w:tc>
        <w:tc>
          <w:tcPr>
            <w:tcW w:w="2690" w:type="dxa"/>
            <w:tcBorders>
              <w:top w:val="single" w:sz="4" w:space="0" w:color="000000"/>
              <w:left w:val="single" w:sz="4" w:space="0" w:color="000000"/>
              <w:bottom w:val="single" w:sz="4" w:space="0" w:color="000000"/>
              <w:right w:val="single" w:sz="4" w:space="0" w:color="000000"/>
            </w:tcBorders>
            <w:tcMar>
              <w:top w:w="0" w:type="dxa"/>
              <w:left w:w="71" w:type="dxa"/>
              <w:bottom w:w="0" w:type="dxa"/>
              <w:right w:w="71" w:type="dxa"/>
            </w:tcMar>
          </w:tcPr>
          <w:p w:rsidR="00B77F00" w:rsidRDefault="00865FA3">
            <w:pPr>
              <w:pStyle w:val="Standard"/>
              <w:snapToGrid w:val="0"/>
              <w:jc w:val="both"/>
              <w:rPr>
                <w:rFonts w:cs="Arial"/>
                <w:color w:val="000000"/>
                <w:szCs w:val="20"/>
              </w:rPr>
            </w:pPr>
            <w:r>
              <w:rPr>
                <w:rFonts w:cs="Arial"/>
                <w:color w:val="000000"/>
                <w:szCs w:val="20"/>
              </w:rPr>
              <w:t>PN-EN 1427:2001</w:t>
            </w:r>
          </w:p>
        </w:tc>
      </w:tr>
      <w:tr w:rsidR="00B77F00">
        <w:tblPrEx>
          <w:tblCellMar>
            <w:top w:w="0" w:type="dxa"/>
            <w:bottom w:w="0" w:type="dxa"/>
          </w:tblCellMar>
        </w:tblPrEx>
        <w:tc>
          <w:tcPr>
            <w:tcW w:w="496" w:type="dxa"/>
            <w:tcBorders>
              <w:top w:val="single" w:sz="4" w:space="0" w:color="000000"/>
              <w:left w:val="single" w:sz="4" w:space="0" w:color="000000"/>
              <w:bottom w:val="single" w:sz="4" w:space="0" w:color="000000"/>
            </w:tcBorders>
            <w:tcMar>
              <w:top w:w="0" w:type="dxa"/>
              <w:left w:w="71" w:type="dxa"/>
              <w:bottom w:w="0" w:type="dxa"/>
              <w:right w:w="71" w:type="dxa"/>
            </w:tcMar>
          </w:tcPr>
          <w:p w:rsidR="00B77F00" w:rsidRDefault="00865FA3">
            <w:pPr>
              <w:pStyle w:val="Standard"/>
              <w:snapToGrid w:val="0"/>
              <w:jc w:val="both"/>
              <w:rPr>
                <w:rFonts w:cs="Arial"/>
                <w:color w:val="000000"/>
                <w:szCs w:val="20"/>
              </w:rPr>
            </w:pPr>
            <w:r>
              <w:rPr>
                <w:rFonts w:cs="Arial"/>
                <w:color w:val="000000"/>
                <w:szCs w:val="20"/>
              </w:rPr>
              <w:t>2</w:t>
            </w:r>
          </w:p>
        </w:tc>
        <w:tc>
          <w:tcPr>
            <w:tcW w:w="3969" w:type="dxa"/>
            <w:tcBorders>
              <w:top w:val="single" w:sz="4" w:space="0" w:color="000000"/>
              <w:left w:val="single" w:sz="4" w:space="0" w:color="000000"/>
              <w:bottom w:val="single" w:sz="4" w:space="0" w:color="000000"/>
            </w:tcBorders>
            <w:tcMar>
              <w:top w:w="0" w:type="dxa"/>
              <w:left w:w="71" w:type="dxa"/>
              <w:bottom w:w="0" w:type="dxa"/>
              <w:right w:w="71" w:type="dxa"/>
            </w:tcMar>
          </w:tcPr>
          <w:p w:rsidR="00B77F00" w:rsidRDefault="00865FA3">
            <w:pPr>
              <w:pStyle w:val="Standard"/>
              <w:snapToGrid w:val="0"/>
              <w:jc w:val="both"/>
            </w:pPr>
            <w:r>
              <w:rPr>
                <w:rFonts w:cs="Arial"/>
                <w:color w:val="000000"/>
                <w:szCs w:val="20"/>
              </w:rPr>
              <w:t>Spływność, w temperaturze +60</w:t>
            </w:r>
            <w:r>
              <w:rPr>
                <w:rFonts w:eastAsia="Times New Roman" w:cs="Arial"/>
                <w:color w:val="000000"/>
                <w:szCs w:val="20"/>
              </w:rPr>
              <w:t>º</w:t>
            </w:r>
            <w:r>
              <w:rPr>
                <w:rFonts w:cs="Arial"/>
                <w:color w:val="000000"/>
                <w:szCs w:val="20"/>
              </w:rPr>
              <w:t>C</w:t>
            </w:r>
          </w:p>
        </w:tc>
        <w:tc>
          <w:tcPr>
            <w:tcW w:w="1418" w:type="dxa"/>
            <w:tcBorders>
              <w:top w:val="single" w:sz="4" w:space="0" w:color="000000"/>
              <w:left w:val="single" w:sz="4" w:space="0" w:color="000000"/>
              <w:bottom w:val="single" w:sz="4" w:space="0" w:color="000000"/>
            </w:tcBorders>
            <w:tcMar>
              <w:top w:w="0" w:type="dxa"/>
              <w:left w:w="71" w:type="dxa"/>
              <w:bottom w:w="0" w:type="dxa"/>
              <w:right w:w="71" w:type="dxa"/>
            </w:tcMar>
          </w:tcPr>
          <w:p w:rsidR="00B77F00" w:rsidRDefault="00865FA3">
            <w:pPr>
              <w:pStyle w:val="Standard"/>
              <w:snapToGrid w:val="0"/>
              <w:jc w:val="both"/>
              <w:rPr>
                <w:rFonts w:cs="Arial"/>
                <w:color w:val="000000"/>
                <w:szCs w:val="20"/>
              </w:rPr>
            </w:pPr>
            <w:r>
              <w:rPr>
                <w:rFonts w:cs="Arial"/>
                <w:color w:val="000000"/>
                <w:szCs w:val="20"/>
              </w:rPr>
              <w:t>mm</w:t>
            </w:r>
          </w:p>
        </w:tc>
        <w:tc>
          <w:tcPr>
            <w:tcW w:w="1418" w:type="dxa"/>
            <w:tcBorders>
              <w:top w:val="single" w:sz="4" w:space="0" w:color="000000"/>
              <w:left w:val="single" w:sz="4" w:space="0" w:color="000000"/>
              <w:bottom w:val="single" w:sz="4" w:space="0" w:color="000000"/>
            </w:tcBorders>
            <w:tcMar>
              <w:top w:w="0" w:type="dxa"/>
              <w:left w:w="71" w:type="dxa"/>
              <w:bottom w:w="0" w:type="dxa"/>
              <w:right w:w="71" w:type="dxa"/>
            </w:tcMar>
          </w:tcPr>
          <w:p w:rsidR="00B77F00" w:rsidRDefault="00865FA3">
            <w:pPr>
              <w:pStyle w:val="Standard"/>
              <w:snapToGrid w:val="0"/>
              <w:jc w:val="both"/>
              <w:rPr>
                <w:rFonts w:cs="Arial"/>
                <w:color w:val="000000"/>
                <w:szCs w:val="20"/>
              </w:rPr>
            </w:pPr>
            <w:r>
              <w:rPr>
                <w:rFonts w:cs="Arial"/>
                <w:color w:val="000000"/>
                <w:szCs w:val="20"/>
              </w:rPr>
              <w:t>&lt; 5</w:t>
            </w:r>
          </w:p>
        </w:tc>
        <w:tc>
          <w:tcPr>
            <w:tcW w:w="2690" w:type="dxa"/>
            <w:tcBorders>
              <w:top w:val="single" w:sz="4" w:space="0" w:color="000000"/>
              <w:left w:val="single" w:sz="4" w:space="0" w:color="000000"/>
              <w:bottom w:val="single" w:sz="4" w:space="0" w:color="000000"/>
              <w:right w:val="single" w:sz="4" w:space="0" w:color="000000"/>
            </w:tcBorders>
            <w:tcMar>
              <w:top w:w="0" w:type="dxa"/>
              <w:left w:w="71" w:type="dxa"/>
              <w:bottom w:w="0" w:type="dxa"/>
              <w:right w:w="71" w:type="dxa"/>
            </w:tcMar>
          </w:tcPr>
          <w:p w:rsidR="00B77F00" w:rsidRDefault="00865FA3">
            <w:pPr>
              <w:pStyle w:val="Standard"/>
              <w:snapToGrid w:val="0"/>
              <w:jc w:val="both"/>
              <w:rPr>
                <w:rFonts w:cs="Arial"/>
                <w:color w:val="000000"/>
                <w:szCs w:val="20"/>
              </w:rPr>
            </w:pPr>
            <w:r>
              <w:rPr>
                <w:rFonts w:cs="Arial"/>
                <w:color w:val="000000"/>
                <w:szCs w:val="20"/>
              </w:rPr>
              <w:t>PN-B-24005:1997</w:t>
            </w:r>
          </w:p>
        </w:tc>
      </w:tr>
    </w:tbl>
    <w:p w:rsidR="00B77F00" w:rsidRDefault="00B77F00">
      <w:pPr>
        <w:pStyle w:val="Standard"/>
        <w:jc w:val="both"/>
        <w:rPr>
          <w:rFonts w:cs="Calibri"/>
          <w:szCs w:val="20"/>
        </w:rPr>
      </w:pPr>
    </w:p>
    <w:p w:rsidR="00B77F00" w:rsidRDefault="00865FA3">
      <w:pPr>
        <w:pStyle w:val="Standard"/>
        <w:jc w:val="both"/>
        <w:rPr>
          <w:rFonts w:cs="Calibri"/>
          <w:szCs w:val="20"/>
        </w:rPr>
      </w:pPr>
      <w:r>
        <w:rPr>
          <w:rFonts w:cs="Calibri"/>
          <w:szCs w:val="20"/>
        </w:rPr>
        <w:t>e)</w:t>
      </w:r>
      <w:r>
        <w:rPr>
          <w:rFonts w:cs="Calibri"/>
          <w:szCs w:val="20"/>
        </w:rPr>
        <w:tab/>
        <w:t>Środek gruntujący</w:t>
      </w:r>
    </w:p>
    <w:p w:rsidR="00B77F00" w:rsidRDefault="00865FA3">
      <w:pPr>
        <w:pStyle w:val="Standard"/>
        <w:jc w:val="both"/>
        <w:rPr>
          <w:rFonts w:cs="Calibri"/>
          <w:szCs w:val="20"/>
        </w:rPr>
      </w:pPr>
      <w:r>
        <w:rPr>
          <w:rFonts w:cs="Calibri"/>
          <w:szCs w:val="20"/>
        </w:rPr>
        <w:t xml:space="preserve">Należy stosować środek gruntujący w celu zwiększenia przyczepności </w:t>
      </w:r>
      <w:r>
        <w:rPr>
          <w:rFonts w:cs="Calibri"/>
          <w:szCs w:val="20"/>
        </w:rPr>
        <w:t>materiału konstrukcji i nawierzchni z wypełnieniem.</w:t>
      </w:r>
    </w:p>
    <w:p w:rsidR="00B77F00" w:rsidRDefault="00865FA3">
      <w:pPr>
        <w:pStyle w:val="Standard"/>
        <w:jc w:val="both"/>
        <w:rPr>
          <w:rFonts w:cs="Calibri"/>
          <w:szCs w:val="20"/>
        </w:rPr>
      </w:pPr>
      <w:r>
        <w:rPr>
          <w:rFonts w:cs="Calibri"/>
          <w:szCs w:val="20"/>
        </w:rPr>
        <w:t>f)</w:t>
      </w:r>
      <w:r>
        <w:rPr>
          <w:rFonts w:cs="Calibri"/>
          <w:szCs w:val="20"/>
        </w:rPr>
        <w:tab/>
        <w:t>Wkładka uszczelniająca</w:t>
      </w:r>
    </w:p>
    <w:p w:rsidR="00B77F00" w:rsidRDefault="00865FA3">
      <w:pPr>
        <w:pStyle w:val="Standard"/>
        <w:jc w:val="both"/>
        <w:rPr>
          <w:rFonts w:cs="Calibri"/>
          <w:szCs w:val="20"/>
        </w:rPr>
      </w:pPr>
      <w:r>
        <w:rPr>
          <w:rFonts w:cs="Calibri"/>
          <w:szCs w:val="20"/>
        </w:rPr>
        <w:t>Wg Aprobaty Technicznej.</w:t>
      </w:r>
    </w:p>
    <w:p w:rsidR="00B77F00" w:rsidRDefault="00865FA3">
      <w:pPr>
        <w:pStyle w:val="Standard"/>
        <w:jc w:val="both"/>
        <w:rPr>
          <w:rFonts w:cs="Calibri"/>
          <w:szCs w:val="20"/>
        </w:rPr>
      </w:pPr>
      <w:r>
        <w:rPr>
          <w:rFonts w:cs="Calibri"/>
          <w:szCs w:val="20"/>
        </w:rPr>
        <w:t xml:space="preserve">g). </w:t>
      </w:r>
      <w:r>
        <w:rPr>
          <w:rFonts w:cs="Calibri"/>
          <w:szCs w:val="20"/>
        </w:rPr>
        <w:t>Stal zbrojeniowa fundamentu</w:t>
      </w:r>
    </w:p>
    <w:p w:rsidR="00B77F00" w:rsidRDefault="00865FA3">
      <w:pPr>
        <w:pStyle w:val="Standard"/>
      </w:pPr>
      <w:r>
        <w:t>Stal klasy A-IIIN wg normy PN-89/H-84023/06:</w:t>
      </w:r>
    </w:p>
    <w:p w:rsidR="00B77F00" w:rsidRDefault="00865FA3">
      <w:pPr>
        <w:pStyle w:val="Standard"/>
      </w:pPr>
      <w:r>
        <w:t>gatunek: BSt 500S,</w:t>
      </w:r>
    </w:p>
    <w:p w:rsidR="00B77F00" w:rsidRDefault="00865FA3">
      <w:pPr>
        <w:pStyle w:val="Standard"/>
      </w:pPr>
      <w:r>
        <w:t>rodzaj: okrągła żebrowana dwuskośnie,</w:t>
      </w:r>
    </w:p>
    <w:p w:rsidR="00B77F00" w:rsidRDefault="00865FA3">
      <w:pPr>
        <w:pStyle w:val="Standard"/>
      </w:pPr>
      <w:r>
        <w:t xml:space="preserve">średnice: 6 - 32 </w:t>
      </w:r>
      <w:r>
        <w:t>mm,</w:t>
      </w:r>
    </w:p>
    <w:p w:rsidR="00B77F00" w:rsidRDefault="00865FA3">
      <w:pPr>
        <w:pStyle w:val="Standard"/>
      </w:pPr>
      <w:r>
        <w:t>granica plastyczności: min. 500 MPa, wytrzymałość na rozciąganie: 550 MPa, wydłużalność: min. 16 %,</w:t>
      </w:r>
    </w:p>
    <w:p w:rsidR="00B77F00" w:rsidRDefault="00865FA3">
      <w:pPr>
        <w:pStyle w:val="Standard"/>
      </w:pPr>
      <w:r>
        <w:t>próba na zginanie wg aprobaty Technicznej IBDiM AT/2001-04-1115 – brak pęknięć,</w:t>
      </w:r>
    </w:p>
    <w:p w:rsidR="00B77F00" w:rsidRDefault="00865FA3">
      <w:pPr>
        <w:pStyle w:val="Standard"/>
        <w:jc w:val="both"/>
      </w:pPr>
      <w:r>
        <w:t xml:space="preserve">wytrzymałość charakterystyczna: 490 MPa, wytrzymałość obliczeniowa: 375 </w:t>
      </w:r>
      <w:r>
        <w:t>Mpa.</w:t>
      </w:r>
    </w:p>
    <w:p w:rsidR="00B77F00" w:rsidRDefault="00865FA3">
      <w:pPr>
        <w:pStyle w:val="Standard"/>
        <w:jc w:val="both"/>
      </w:pPr>
      <w:r>
        <w:t>h). Beton fundamentu – C30/37</w:t>
      </w:r>
    </w:p>
    <w:p w:rsidR="00B77F00" w:rsidRDefault="00B77F00">
      <w:pPr>
        <w:pStyle w:val="Standard"/>
        <w:jc w:val="both"/>
      </w:pPr>
    </w:p>
    <w:p w:rsidR="00B77F00" w:rsidRDefault="00B77F00">
      <w:pPr>
        <w:pStyle w:val="Standard"/>
        <w:jc w:val="both"/>
      </w:pPr>
    </w:p>
    <w:p w:rsidR="00B77F00" w:rsidRDefault="00B77F00">
      <w:pPr>
        <w:pStyle w:val="Standard"/>
        <w:jc w:val="both"/>
        <w:rPr>
          <w:rFonts w:cs="Calibri"/>
          <w:szCs w:val="20"/>
        </w:rPr>
      </w:pPr>
    </w:p>
    <w:p w:rsidR="00B77F00" w:rsidRDefault="00865FA3">
      <w:pPr>
        <w:pStyle w:val="Standard"/>
        <w:jc w:val="both"/>
        <w:rPr>
          <w:rFonts w:cs="Calibri"/>
          <w:b/>
          <w:bCs/>
          <w:szCs w:val="20"/>
        </w:rPr>
      </w:pPr>
      <w:r>
        <w:rPr>
          <w:rFonts w:cs="Calibri"/>
          <w:b/>
          <w:bCs/>
          <w:szCs w:val="20"/>
        </w:rPr>
        <w:t>3. SPRZĘT</w:t>
      </w:r>
    </w:p>
    <w:p w:rsidR="00B77F00" w:rsidRDefault="00865FA3">
      <w:pPr>
        <w:pStyle w:val="Standard"/>
        <w:jc w:val="both"/>
        <w:rPr>
          <w:rFonts w:cs="Calibri"/>
          <w:szCs w:val="20"/>
        </w:rPr>
      </w:pPr>
      <w:r>
        <w:rPr>
          <w:rFonts w:cs="Calibri"/>
          <w:szCs w:val="20"/>
        </w:rPr>
        <w:lastRenderedPageBreak/>
        <w:t>3.1. Ogólne wymagania dotyczące sprzętu</w:t>
      </w:r>
    </w:p>
    <w:p w:rsidR="00B77F00" w:rsidRDefault="00865FA3">
      <w:pPr>
        <w:pStyle w:val="Standard"/>
        <w:jc w:val="both"/>
        <w:rPr>
          <w:rFonts w:cs="Calibri"/>
          <w:szCs w:val="20"/>
        </w:rPr>
      </w:pPr>
      <w:r>
        <w:rPr>
          <w:rFonts w:cs="Calibri"/>
          <w:szCs w:val="20"/>
        </w:rPr>
        <w:t>Ogólne wymagania dotyczące sprzętu podano w ST DM.00.00.00 “Wymagania ogólne”.</w:t>
      </w:r>
    </w:p>
    <w:p w:rsidR="00B77F00" w:rsidRDefault="00865FA3">
      <w:pPr>
        <w:pStyle w:val="Standard"/>
        <w:jc w:val="both"/>
        <w:rPr>
          <w:rFonts w:cs="Calibri"/>
          <w:szCs w:val="20"/>
        </w:rPr>
      </w:pPr>
      <w:r>
        <w:rPr>
          <w:rFonts w:cs="Calibri"/>
          <w:szCs w:val="20"/>
        </w:rPr>
        <w:t>3.2. Szczegółowe wymagania dotyczące sprzętu</w:t>
      </w:r>
    </w:p>
    <w:p w:rsidR="00B77F00" w:rsidRDefault="00865FA3">
      <w:pPr>
        <w:pStyle w:val="Standard"/>
        <w:jc w:val="both"/>
        <w:rPr>
          <w:rFonts w:cs="Calibri"/>
          <w:szCs w:val="20"/>
        </w:rPr>
      </w:pPr>
      <w:r>
        <w:rPr>
          <w:rFonts w:cs="Calibri"/>
          <w:szCs w:val="20"/>
        </w:rPr>
        <w:t>Do wykonania dylatacji należy użyć odpowiedn</w:t>
      </w:r>
      <w:r>
        <w:rPr>
          <w:rFonts w:cs="Calibri"/>
          <w:szCs w:val="20"/>
        </w:rPr>
        <w:t>iego sprzętu, zapewniającego spełnienie wymagań technologicznych.</w:t>
      </w:r>
    </w:p>
    <w:p w:rsidR="00B77F00" w:rsidRDefault="00865FA3">
      <w:pPr>
        <w:pStyle w:val="Standard"/>
        <w:jc w:val="both"/>
        <w:rPr>
          <w:rFonts w:cs="Calibri"/>
          <w:szCs w:val="20"/>
        </w:rPr>
      </w:pPr>
      <w:r>
        <w:rPr>
          <w:rFonts w:cs="Calibri"/>
          <w:szCs w:val="20"/>
        </w:rPr>
        <w:t>Są to m.in.:</w:t>
      </w:r>
    </w:p>
    <w:p w:rsidR="00B77F00" w:rsidRDefault="00865FA3">
      <w:pPr>
        <w:pStyle w:val="Standard"/>
        <w:jc w:val="both"/>
        <w:rPr>
          <w:rFonts w:cs="Calibri"/>
          <w:szCs w:val="20"/>
        </w:rPr>
      </w:pPr>
      <w:r>
        <w:rPr>
          <w:rFonts w:cs="Calibri"/>
          <w:szCs w:val="20"/>
        </w:rPr>
        <w:t>-piła do cięcia betonu,</w:t>
      </w:r>
    </w:p>
    <w:p w:rsidR="00B77F00" w:rsidRDefault="00865FA3">
      <w:pPr>
        <w:pStyle w:val="Standard"/>
        <w:jc w:val="both"/>
        <w:rPr>
          <w:rFonts w:cs="Calibri"/>
          <w:szCs w:val="20"/>
        </w:rPr>
      </w:pPr>
      <w:r>
        <w:rPr>
          <w:rFonts w:cs="Calibri"/>
          <w:szCs w:val="20"/>
        </w:rPr>
        <w:t>-młotki pneumatyczne,</w:t>
      </w:r>
    </w:p>
    <w:p w:rsidR="00B77F00" w:rsidRDefault="00865FA3">
      <w:pPr>
        <w:pStyle w:val="Standard"/>
        <w:jc w:val="both"/>
        <w:rPr>
          <w:rFonts w:cs="Calibri"/>
          <w:szCs w:val="20"/>
        </w:rPr>
      </w:pPr>
      <w:r>
        <w:rPr>
          <w:rFonts w:cs="Calibri"/>
          <w:szCs w:val="20"/>
        </w:rPr>
        <w:t>-sprężarka,</w:t>
      </w:r>
    </w:p>
    <w:p w:rsidR="00B77F00" w:rsidRDefault="00865FA3">
      <w:pPr>
        <w:pStyle w:val="Standard"/>
        <w:jc w:val="both"/>
        <w:rPr>
          <w:rFonts w:cs="Calibri"/>
          <w:szCs w:val="20"/>
        </w:rPr>
      </w:pPr>
      <w:r>
        <w:rPr>
          <w:rFonts w:cs="Calibri"/>
          <w:szCs w:val="20"/>
        </w:rPr>
        <w:t>-piaskarka,</w:t>
      </w:r>
    </w:p>
    <w:p w:rsidR="00B77F00" w:rsidRDefault="00865FA3">
      <w:pPr>
        <w:pStyle w:val="Standard"/>
        <w:jc w:val="both"/>
        <w:rPr>
          <w:rFonts w:cs="Calibri"/>
          <w:szCs w:val="20"/>
        </w:rPr>
      </w:pPr>
      <w:r>
        <w:rPr>
          <w:rFonts w:cs="Calibri"/>
          <w:szCs w:val="20"/>
        </w:rPr>
        <w:t>-kotły dostosowane do podgrzewania masy bitumicznej i kruszywa do wymaganej temperatury,</w:t>
      </w:r>
    </w:p>
    <w:p w:rsidR="00B77F00" w:rsidRDefault="00865FA3">
      <w:pPr>
        <w:pStyle w:val="Standard"/>
        <w:jc w:val="both"/>
        <w:rPr>
          <w:rFonts w:cs="Calibri"/>
          <w:szCs w:val="20"/>
        </w:rPr>
      </w:pPr>
      <w:r>
        <w:rPr>
          <w:rFonts w:cs="Calibri"/>
          <w:szCs w:val="20"/>
        </w:rPr>
        <w:t>-termos do przewoż</w:t>
      </w:r>
      <w:r>
        <w:rPr>
          <w:rFonts w:cs="Calibri"/>
          <w:szCs w:val="20"/>
        </w:rPr>
        <w:t>enia gorącego kruszywa,</w:t>
      </w:r>
    </w:p>
    <w:p w:rsidR="00B77F00" w:rsidRDefault="00865FA3">
      <w:pPr>
        <w:pStyle w:val="Standard"/>
        <w:jc w:val="both"/>
        <w:rPr>
          <w:rFonts w:cs="Calibri"/>
          <w:szCs w:val="20"/>
        </w:rPr>
      </w:pPr>
      <w:r>
        <w:rPr>
          <w:rFonts w:cs="Calibri"/>
          <w:szCs w:val="20"/>
        </w:rPr>
        <w:t>-szczotki, walce ręczne i ubijaki.</w:t>
      </w:r>
    </w:p>
    <w:p w:rsidR="00B77F00" w:rsidRDefault="00B77F00">
      <w:pPr>
        <w:pStyle w:val="Standard"/>
        <w:jc w:val="both"/>
        <w:rPr>
          <w:rFonts w:cs="Calibri"/>
          <w:szCs w:val="20"/>
        </w:rPr>
      </w:pPr>
    </w:p>
    <w:p w:rsidR="00B77F00" w:rsidRDefault="00865FA3">
      <w:pPr>
        <w:pStyle w:val="Standard"/>
        <w:jc w:val="both"/>
        <w:rPr>
          <w:rFonts w:cs="Calibri"/>
          <w:b/>
          <w:bCs/>
          <w:szCs w:val="20"/>
        </w:rPr>
      </w:pPr>
      <w:r>
        <w:rPr>
          <w:rFonts w:cs="Calibri"/>
          <w:b/>
          <w:bCs/>
          <w:szCs w:val="20"/>
        </w:rPr>
        <w:t>4. TRANSPORT</w:t>
      </w:r>
    </w:p>
    <w:p w:rsidR="00B77F00" w:rsidRDefault="00865FA3">
      <w:pPr>
        <w:pStyle w:val="Standard"/>
        <w:jc w:val="both"/>
        <w:rPr>
          <w:rFonts w:cs="Calibri"/>
          <w:szCs w:val="20"/>
        </w:rPr>
      </w:pPr>
      <w:r>
        <w:rPr>
          <w:rFonts w:cs="Calibri"/>
          <w:szCs w:val="20"/>
        </w:rPr>
        <w:t>4.1. Ogólne wymagania dotyczące transportu</w:t>
      </w:r>
    </w:p>
    <w:p w:rsidR="00B77F00" w:rsidRDefault="00865FA3">
      <w:pPr>
        <w:pStyle w:val="Standard"/>
        <w:jc w:val="both"/>
        <w:rPr>
          <w:rFonts w:cs="Calibri"/>
          <w:szCs w:val="20"/>
        </w:rPr>
      </w:pPr>
      <w:r>
        <w:rPr>
          <w:rFonts w:cs="Calibri"/>
          <w:szCs w:val="20"/>
        </w:rPr>
        <w:t>Transport materiałów i sprzętu dowolnymi środkami zaakceptowanymi przez Inżyniera.</w:t>
      </w:r>
    </w:p>
    <w:p w:rsidR="00B77F00" w:rsidRDefault="00865FA3">
      <w:pPr>
        <w:pStyle w:val="Standard"/>
        <w:jc w:val="both"/>
        <w:rPr>
          <w:rFonts w:cs="Calibri"/>
          <w:szCs w:val="20"/>
        </w:rPr>
      </w:pPr>
      <w:r>
        <w:rPr>
          <w:rFonts w:cs="Calibri"/>
          <w:szCs w:val="20"/>
        </w:rPr>
        <w:t>Ogólne wymagania dotyczące transportu podano w ST DM.00.0</w:t>
      </w:r>
      <w:r>
        <w:rPr>
          <w:rFonts w:cs="Calibri"/>
          <w:szCs w:val="20"/>
        </w:rPr>
        <w:t>0.00 “Wymagania ogólne”.</w:t>
      </w:r>
    </w:p>
    <w:p w:rsidR="00B77F00" w:rsidRDefault="00B77F00">
      <w:pPr>
        <w:pStyle w:val="Standard"/>
        <w:jc w:val="both"/>
        <w:rPr>
          <w:rFonts w:cs="Calibri"/>
          <w:szCs w:val="20"/>
        </w:rPr>
      </w:pPr>
    </w:p>
    <w:p w:rsidR="00B77F00" w:rsidRDefault="00865FA3">
      <w:pPr>
        <w:pStyle w:val="Standard"/>
        <w:jc w:val="both"/>
        <w:rPr>
          <w:rFonts w:cs="Calibri"/>
          <w:b/>
          <w:bCs/>
          <w:szCs w:val="20"/>
        </w:rPr>
      </w:pPr>
      <w:r>
        <w:rPr>
          <w:rFonts w:cs="Calibri"/>
          <w:b/>
          <w:bCs/>
          <w:szCs w:val="20"/>
        </w:rPr>
        <w:t>5. WYKONANIE ROBÓT</w:t>
      </w:r>
    </w:p>
    <w:p w:rsidR="00B77F00" w:rsidRDefault="00865FA3">
      <w:pPr>
        <w:pStyle w:val="Standard"/>
        <w:jc w:val="both"/>
        <w:rPr>
          <w:rFonts w:cs="Calibri"/>
          <w:szCs w:val="20"/>
        </w:rPr>
      </w:pPr>
      <w:r>
        <w:rPr>
          <w:rFonts w:cs="Calibri"/>
          <w:szCs w:val="20"/>
        </w:rPr>
        <w:t>5.1. Ogólne wymagania dotyczące wykonania robót</w:t>
      </w:r>
    </w:p>
    <w:p w:rsidR="00B77F00" w:rsidRDefault="00865FA3">
      <w:pPr>
        <w:pStyle w:val="Standard"/>
        <w:jc w:val="both"/>
        <w:rPr>
          <w:rFonts w:cs="Calibri"/>
          <w:szCs w:val="20"/>
        </w:rPr>
      </w:pPr>
      <w:r>
        <w:rPr>
          <w:rFonts w:cs="Calibri"/>
          <w:szCs w:val="20"/>
        </w:rPr>
        <w:t>Wykonawca przedstawi Inżynierowi do akceptacji Projekt organizacji robót i harmonogram robót, uwzględniający wszystkie  warunki, w jakich będą wykonywane roboty.</w:t>
      </w:r>
    </w:p>
    <w:p w:rsidR="00B77F00" w:rsidRDefault="00865FA3">
      <w:pPr>
        <w:pStyle w:val="Standard"/>
        <w:jc w:val="both"/>
        <w:rPr>
          <w:rFonts w:cs="Calibri"/>
          <w:szCs w:val="20"/>
        </w:rPr>
      </w:pPr>
      <w:r>
        <w:rPr>
          <w:rFonts w:cs="Calibri"/>
          <w:szCs w:val="20"/>
        </w:rPr>
        <w:t>Wykonanie urządzenia dylatacyjnego powierzone może być tylko doświadczonemu w prowadzeniu tego typu robót Wykonawcy, posiadającemu licencję jego wykonania.</w:t>
      </w:r>
    </w:p>
    <w:p w:rsidR="00B77F00" w:rsidRDefault="00865FA3">
      <w:pPr>
        <w:pStyle w:val="Standard"/>
        <w:jc w:val="both"/>
        <w:rPr>
          <w:rFonts w:cs="Calibri"/>
          <w:szCs w:val="20"/>
        </w:rPr>
      </w:pPr>
      <w:r>
        <w:rPr>
          <w:rFonts w:cs="Calibri"/>
          <w:szCs w:val="20"/>
        </w:rPr>
        <w:t xml:space="preserve">Na Wykonawcy urządzenia dylatacyjnego spoczywa obowiązek dostarczenia na koszt własny rysunków </w:t>
      </w:r>
      <w:r>
        <w:rPr>
          <w:rFonts w:cs="Calibri"/>
          <w:szCs w:val="20"/>
        </w:rPr>
        <w:t>roboczych konstrukcji dylatacji, podlegających zatwierdzeniu przez Inżyniera.</w:t>
      </w:r>
    </w:p>
    <w:p w:rsidR="00B77F00" w:rsidRDefault="00865FA3">
      <w:pPr>
        <w:pStyle w:val="Standard"/>
        <w:jc w:val="both"/>
        <w:rPr>
          <w:rFonts w:cs="Calibri"/>
          <w:szCs w:val="20"/>
        </w:rPr>
      </w:pPr>
      <w:r>
        <w:rPr>
          <w:rFonts w:cs="Calibri"/>
          <w:szCs w:val="20"/>
        </w:rPr>
        <w:t>Wykonawca zobowiązany jest do sporządzenia, w oparciu o wymagania Aprobaty Technicznej, “Wytycznych technicznych wykonania dylatacji”. Wytyczne te podlegają akceptacji przez Inży</w:t>
      </w:r>
      <w:r>
        <w:rPr>
          <w:rFonts w:cs="Calibri"/>
          <w:szCs w:val="20"/>
        </w:rPr>
        <w:t>niera.</w:t>
      </w:r>
    </w:p>
    <w:p w:rsidR="00B77F00" w:rsidRDefault="00865FA3">
      <w:pPr>
        <w:pStyle w:val="Standard"/>
        <w:jc w:val="both"/>
        <w:rPr>
          <w:rFonts w:cs="Calibri"/>
          <w:szCs w:val="20"/>
        </w:rPr>
      </w:pPr>
      <w:r>
        <w:rPr>
          <w:rFonts w:cs="Calibri"/>
          <w:szCs w:val="20"/>
        </w:rPr>
        <w:t>Ogólne wymagania dotyczące wykonania robót podano w ST DM.00.00.00 “Wymagania ogólne”.</w:t>
      </w:r>
    </w:p>
    <w:p w:rsidR="00B77F00" w:rsidRDefault="00865FA3">
      <w:pPr>
        <w:pStyle w:val="Standard"/>
        <w:jc w:val="both"/>
        <w:rPr>
          <w:rFonts w:cs="Calibri"/>
          <w:szCs w:val="20"/>
        </w:rPr>
      </w:pPr>
      <w:r>
        <w:rPr>
          <w:rFonts w:cs="Calibri"/>
          <w:szCs w:val="20"/>
        </w:rPr>
        <w:t>5.2. Szczegółowe wymagania dotyczące wykonania robót</w:t>
      </w:r>
    </w:p>
    <w:p w:rsidR="00B77F00" w:rsidRDefault="00865FA3">
      <w:pPr>
        <w:pStyle w:val="Standard"/>
        <w:jc w:val="both"/>
        <w:rPr>
          <w:rFonts w:cs="Calibri"/>
          <w:szCs w:val="20"/>
        </w:rPr>
      </w:pPr>
      <w:r>
        <w:rPr>
          <w:rFonts w:cs="Calibri"/>
          <w:szCs w:val="20"/>
        </w:rPr>
        <w:t>5.2.1. Rysunki robocze konstrukcji dylatacji</w:t>
      </w:r>
    </w:p>
    <w:p w:rsidR="00B77F00" w:rsidRDefault="00865FA3">
      <w:pPr>
        <w:pStyle w:val="Standard"/>
        <w:jc w:val="both"/>
        <w:rPr>
          <w:rFonts w:cs="Calibri"/>
          <w:szCs w:val="20"/>
        </w:rPr>
      </w:pPr>
      <w:r>
        <w:rPr>
          <w:rFonts w:cs="Calibri"/>
          <w:szCs w:val="20"/>
        </w:rPr>
        <w:t>Rysunki robocze konstrukcji dylatacji winny zawierać:</w:t>
      </w:r>
    </w:p>
    <w:p w:rsidR="00B77F00" w:rsidRDefault="00865FA3">
      <w:pPr>
        <w:pStyle w:val="Standard"/>
        <w:jc w:val="both"/>
        <w:rPr>
          <w:rFonts w:cs="Calibri"/>
          <w:szCs w:val="20"/>
        </w:rPr>
      </w:pPr>
      <w:r>
        <w:rPr>
          <w:rFonts w:cs="Calibri"/>
          <w:szCs w:val="20"/>
        </w:rPr>
        <w:t>-określeni</w:t>
      </w:r>
      <w:r>
        <w:rPr>
          <w:rFonts w:cs="Calibri"/>
          <w:szCs w:val="20"/>
        </w:rPr>
        <w:t>e przesuwów wynikających ze schematu statycznego ustroju niosącego oraz założonego sposobu jego ułożyskowania,</w:t>
      </w:r>
    </w:p>
    <w:p w:rsidR="00B77F00" w:rsidRDefault="00865FA3">
      <w:pPr>
        <w:pStyle w:val="Standard"/>
        <w:jc w:val="both"/>
        <w:rPr>
          <w:rFonts w:cs="Calibri"/>
          <w:szCs w:val="20"/>
        </w:rPr>
      </w:pPr>
      <w:r>
        <w:rPr>
          <w:rFonts w:cs="Calibri"/>
          <w:szCs w:val="20"/>
        </w:rPr>
        <w:t>-dostosowanie wymiarów dylatacji do określonych przesuwów,</w:t>
      </w:r>
    </w:p>
    <w:p w:rsidR="00B77F00" w:rsidRDefault="00865FA3">
      <w:pPr>
        <w:pStyle w:val="Standard"/>
        <w:jc w:val="both"/>
        <w:rPr>
          <w:rFonts w:cs="Calibri"/>
          <w:szCs w:val="20"/>
        </w:rPr>
      </w:pPr>
      <w:r>
        <w:rPr>
          <w:rFonts w:cs="Calibri"/>
          <w:szCs w:val="20"/>
        </w:rPr>
        <w:t>-dostosowanie dylatacji do przekroju poprzecznego ustroju niosącego,</w:t>
      </w:r>
    </w:p>
    <w:p w:rsidR="00B77F00" w:rsidRDefault="00865FA3">
      <w:pPr>
        <w:pStyle w:val="Standard"/>
        <w:jc w:val="both"/>
        <w:rPr>
          <w:rFonts w:cs="Calibri"/>
          <w:szCs w:val="20"/>
        </w:rPr>
      </w:pPr>
      <w:r>
        <w:rPr>
          <w:rFonts w:cs="Calibri"/>
          <w:szCs w:val="20"/>
        </w:rPr>
        <w:t>dla obiektów istn</w:t>
      </w:r>
      <w:r>
        <w:rPr>
          <w:rFonts w:cs="Calibri"/>
          <w:szCs w:val="20"/>
        </w:rPr>
        <w:t>iejących:</w:t>
      </w:r>
    </w:p>
    <w:p w:rsidR="00B77F00" w:rsidRDefault="00865FA3">
      <w:pPr>
        <w:pStyle w:val="Standard"/>
        <w:jc w:val="both"/>
        <w:rPr>
          <w:rFonts w:cs="Calibri"/>
          <w:szCs w:val="20"/>
        </w:rPr>
      </w:pPr>
      <w:r>
        <w:rPr>
          <w:rFonts w:cs="Calibri"/>
          <w:szCs w:val="20"/>
        </w:rPr>
        <w:t>-opracowanie sposobu wykształcenia wnęki dylatacyjnej i szczelin dylatacyjnych w dostosowaniu do stanu istniejącego w obrębie przerwy dylatacyjnej, stwierdzonego na podstawie inwentaryzacji dokonanej po rozbiórce nawierzchni i izolacji,</w:t>
      </w:r>
    </w:p>
    <w:p w:rsidR="00B77F00" w:rsidRDefault="00865FA3">
      <w:pPr>
        <w:pStyle w:val="Standard"/>
        <w:jc w:val="both"/>
        <w:rPr>
          <w:rFonts w:cs="Calibri"/>
          <w:szCs w:val="20"/>
        </w:rPr>
      </w:pPr>
      <w:r>
        <w:rPr>
          <w:rFonts w:cs="Calibri"/>
          <w:szCs w:val="20"/>
        </w:rPr>
        <w:t>-szczegó</w:t>
      </w:r>
      <w:r>
        <w:rPr>
          <w:rFonts w:cs="Calibri"/>
          <w:szCs w:val="20"/>
        </w:rPr>
        <w:t>ły odwodnienia izolacji w strefie przylegającej do dylatacji i odprowadzenia wody,</w:t>
      </w:r>
    </w:p>
    <w:p w:rsidR="00B77F00" w:rsidRDefault="00865FA3">
      <w:pPr>
        <w:pStyle w:val="Standard"/>
        <w:jc w:val="both"/>
        <w:rPr>
          <w:rFonts w:cs="Calibri"/>
          <w:szCs w:val="20"/>
        </w:rPr>
      </w:pPr>
      <w:r>
        <w:rPr>
          <w:rFonts w:cs="Calibri"/>
          <w:szCs w:val="20"/>
        </w:rPr>
        <w:t>-szczegóły osłon szczeliny dylatacyjnej na gzymsach i ewentualnych barierach betonowych oraz ich zabezpieczenia antykorozyjnego,</w:t>
      </w:r>
    </w:p>
    <w:p w:rsidR="00B77F00" w:rsidRDefault="00865FA3">
      <w:pPr>
        <w:pStyle w:val="Standard"/>
        <w:jc w:val="both"/>
        <w:rPr>
          <w:rFonts w:cs="Calibri"/>
          <w:szCs w:val="20"/>
        </w:rPr>
      </w:pPr>
      <w:r>
        <w:rPr>
          <w:rFonts w:cs="Calibri"/>
          <w:szCs w:val="20"/>
        </w:rPr>
        <w:t>-szczegóły konstrukcji dylatacji.</w:t>
      </w:r>
    </w:p>
    <w:p w:rsidR="00B77F00" w:rsidRDefault="00865FA3">
      <w:pPr>
        <w:pStyle w:val="Standard"/>
        <w:jc w:val="both"/>
        <w:rPr>
          <w:rFonts w:cs="Calibri"/>
          <w:szCs w:val="20"/>
        </w:rPr>
      </w:pPr>
      <w:r>
        <w:rPr>
          <w:rFonts w:cs="Calibri"/>
          <w:szCs w:val="20"/>
        </w:rPr>
        <w:t>5.2.2. Wyk</w:t>
      </w:r>
      <w:r>
        <w:rPr>
          <w:rFonts w:cs="Calibri"/>
          <w:szCs w:val="20"/>
        </w:rPr>
        <w:t>onanie koryta i szczelin dylatacyjnych</w:t>
      </w:r>
    </w:p>
    <w:p w:rsidR="00B77F00" w:rsidRDefault="00865FA3">
      <w:pPr>
        <w:pStyle w:val="Standard"/>
        <w:jc w:val="both"/>
        <w:rPr>
          <w:rFonts w:cs="Calibri"/>
          <w:szCs w:val="20"/>
        </w:rPr>
      </w:pPr>
      <w:r>
        <w:rPr>
          <w:rFonts w:cs="Calibri"/>
          <w:szCs w:val="20"/>
        </w:rPr>
        <w:t>Koryto pod dylatację oraz szczeliny dylatacyjne winny być wykonane zgodnie z rysunkami roboczymi dylatacji wg pkt. 5.2.1. niniejszej Specyfikacji Technicznej.</w:t>
      </w:r>
    </w:p>
    <w:p w:rsidR="00B77F00" w:rsidRDefault="00865FA3">
      <w:pPr>
        <w:pStyle w:val="Standard"/>
        <w:jc w:val="both"/>
        <w:rPr>
          <w:rFonts w:cs="Calibri"/>
          <w:szCs w:val="20"/>
        </w:rPr>
      </w:pPr>
      <w:r>
        <w:rPr>
          <w:rFonts w:cs="Calibri"/>
          <w:szCs w:val="20"/>
        </w:rPr>
        <w:t>5.2.3. Przygotowanie koryta do wykonania wypełnienia</w:t>
      </w:r>
    </w:p>
    <w:p w:rsidR="00B77F00" w:rsidRDefault="00865FA3">
      <w:pPr>
        <w:pStyle w:val="Standard"/>
        <w:jc w:val="both"/>
        <w:rPr>
          <w:rFonts w:cs="Calibri"/>
          <w:szCs w:val="20"/>
        </w:rPr>
      </w:pPr>
      <w:r>
        <w:rPr>
          <w:rFonts w:cs="Calibri"/>
          <w:szCs w:val="20"/>
        </w:rPr>
        <w:t>Koryt</w:t>
      </w:r>
      <w:r>
        <w:rPr>
          <w:rFonts w:cs="Calibri"/>
          <w:szCs w:val="20"/>
        </w:rPr>
        <w:t>o należy osuszyć przez przedmuchanie gorącym sprężonym powietrzem. Koryto należy wypiaskować w celu oczyszczenia i usunięcia luźnych fragmentów. Ściany koryta należy posmarować cienką warstwą środka gruntującego. Szczeliny dylatacyjne należy uszczelnić gąb</w:t>
      </w:r>
      <w:r>
        <w:rPr>
          <w:rFonts w:cs="Calibri"/>
          <w:szCs w:val="20"/>
        </w:rPr>
        <w:t>czastą wkładką neoprenową.</w:t>
      </w:r>
    </w:p>
    <w:p w:rsidR="00B77F00" w:rsidRDefault="00865FA3">
      <w:pPr>
        <w:pStyle w:val="Standard"/>
        <w:jc w:val="both"/>
        <w:rPr>
          <w:rFonts w:cs="Calibri"/>
          <w:szCs w:val="20"/>
        </w:rPr>
      </w:pPr>
      <w:r>
        <w:rPr>
          <w:rFonts w:cs="Calibri"/>
          <w:szCs w:val="20"/>
        </w:rPr>
        <w:t>5.2.4. Warunki atmosferyczne</w:t>
      </w:r>
    </w:p>
    <w:p w:rsidR="00B77F00" w:rsidRDefault="00865FA3">
      <w:pPr>
        <w:pStyle w:val="Standard"/>
        <w:jc w:val="both"/>
        <w:rPr>
          <w:rFonts w:cs="Calibri"/>
          <w:szCs w:val="20"/>
        </w:rPr>
      </w:pPr>
      <w:r>
        <w:rPr>
          <w:rFonts w:cs="Calibri"/>
          <w:szCs w:val="20"/>
        </w:rPr>
        <w:t>Wypełnienia bitumiczne z masy spoinowej można wykonywać przy temperaturze otoczenia powyżej 0oC w dni bezdeszczowe.</w:t>
      </w:r>
    </w:p>
    <w:p w:rsidR="00B77F00" w:rsidRDefault="00865FA3">
      <w:pPr>
        <w:pStyle w:val="Standard"/>
        <w:jc w:val="both"/>
        <w:rPr>
          <w:rFonts w:cs="Calibri"/>
          <w:szCs w:val="20"/>
        </w:rPr>
      </w:pPr>
      <w:r>
        <w:rPr>
          <w:rFonts w:cs="Calibri"/>
          <w:szCs w:val="20"/>
        </w:rPr>
        <w:t>5.2.5. Przygotowanie materiałów i wbudowanie przekrycia dylatacyjnego</w:t>
      </w:r>
    </w:p>
    <w:p w:rsidR="00B77F00" w:rsidRDefault="00865FA3">
      <w:pPr>
        <w:pStyle w:val="Standard"/>
        <w:jc w:val="both"/>
        <w:rPr>
          <w:rFonts w:cs="Calibri"/>
          <w:szCs w:val="20"/>
        </w:rPr>
      </w:pPr>
      <w:r>
        <w:rPr>
          <w:rFonts w:cs="Calibri"/>
          <w:szCs w:val="20"/>
        </w:rPr>
        <w:t>Odbywać się mu</w:t>
      </w:r>
      <w:r>
        <w:rPr>
          <w:rFonts w:cs="Calibri"/>
          <w:szCs w:val="20"/>
        </w:rPr>
        <w:t>si ściśle wg “Wytycznych technicznych wykonania dylatacji”.</w:t>
      </w:r>
    </w:p>
    <w:p w:rsidR="00B77F00" w:rsidRDefault="00B77F00">
      <w:pPr>
        <w:pStyle w:val="Standard"/>
        <w:jc w:val="both"/>
        <w:rPr>
          <w:rFonts w:cs="Calibri"/>
          <w:szCs w:val="20"/>
        </w:rPr>
      </w:pPr>
    </w:p>
    <w:p w:rsidR="00B77F00" w:rsidRDefault="00865FA3">
      <w:pPr>
        <w:pStyle w:val="Standard"/>
        <w:jc w:val="both"/>
        <w:rPr>
          <w:rFonts w:cs="Calibri"/>
          <w:b/>
          <w:bCs/>
          <w:szCs w:val="20"/>
        </w:rPr>
      </w:pPr>
      <w:r>
        <w:rPr>
          <w:rFonts w:cs="Calibri"/>
          <w:b/>
          <w:bCs/>
          <w:szCs w:val="20"/>
        </w:rPr>
        <w:lastRenderedPageBreak/>
        <w:t>6. KONTROLA JAKOŚCI ROBÓT</w:t>
      </w:r>
    </w:p>
    <w:p w:rsidR="00B77F00" w:rsidRDefault="00865FA3">
      <w:pPr>
        <w:pStyle w:val="Standard"/>
        <w:jc w:val="both"/>
        <w:rPr>
          <w:rFonts w:cs="Calibri"/>
          <w:szCs w:val="20"/>
        </w:rPr>
      </w:pPr>
      <w:r>
        <w:rPr>
          <w:rFonts w:cs="Calibri"/>
          <w:szCs w:val="20"/>
        </w:rPr>
        <w:t>6.1. Ogólne zasady kontroli jakości robót</w:t>
      </w:r>
    </w:p>
    <w:p w:rsidR="00B77F00" w:rsidRDefault="00865FA3">
      <w:pPr>
        <w:pStyle w:val="Standard"/>
        <w:jc w:val="both"/>
        <w:rPr>
          <w:rFonts w:cs="Calibri"/>
          <w:szCs w:val="20"/>
        </w:rPr>
      </w:pPr>
      <w:r>
        <w:rPr>
          <w:rFonts w:cs="Calibri"/>
          <w:szCs w:val="20"/>
        </w:rPr>
        <w:t>Ogólne zasady kontroli jakości robót podano w ST DM.00.00.00 “Wymagania ogólne”.</w:t>
      </w:r>
    </w:p>
    <w:p w:rsidR="00B77F00" w:rsidRDefault="00865FA3">
      <w:pPr>
        <w:pStyle w:val="Standard"/>
        <w:jc w:val="both"/>
        <w:rPr>
          <w:rFonts w:cs="Calibri"/>
          <w:szCs w:val="20"/>
        </w:rPr>
      </w:pPr>
      <w:r>
        <w:rPr>
          <w:rFonts w:cs="Calibri"/>
          <w:szCs w:val="20"/>
        </w:rPr>
        <w:t>6.2. Szczegółowe zasady kontroli jakości robót</w:t>
      </w:r>
    </w:p>
    <w:p w:rsidR="00B77F00" w:rsidRDefault="00865FA3">
      <w:pPr>
        <w:pStyle w:val="Standard"/>
        <w:jc w:val="both"/>
        <w:rPr>
          <w:rFonts w:cs="Calibri"/>
          <w:szCs w:val="20"/>
        </w:rPr>
      </w:pPr>
      <w:r>
        <w:rPr>
          <w:rFonts w:cs="Calibri"/>
          <w:szCs w:val="20"/>
        </w:rPr>
        <w:t>6.2.1. Przygotowanie koryta do wykonania wypełnienia</w:t>
      </w:r>
    </w:p>
    <w:p w:rsidR="00B77F00" w:rsidRDefault="00865FA3">
      <w:pPr>
        <w:pStyle w:val="Standard"/>
        <w:jc w:val="both"/>
        <w:rPr>
          <w:rFonts w:cs="Calibri"/>
          <w:szCs w:val="20"/>
        </w:rPr>
      </w:pPr>
      <w:r>
        <w:rPr>
          <w:rFonts w:cs="Calibri"/>
          <w:szCs w:val="20"/>
        </w:rPr>
        <w:t>Sprawdza się:</w:t>
      </w:r>
    </w:p>
    <w:p w:rsidR="00B77F00" w:rsidRDefault="00865FA3">
      <w:pPr>
        <w:pStyle w:val="Standard"/>
        <w:jc w:val="both"/>
        <w:rPr>
          <w:rFonts w:cs="Calibri"/>
          <w:szCs w:val="20"/>
        </w:rPr>
      </w:pPr>
      <w:r>
        <w:rPr>
          <w:rFonts w:cs="Calibri"/>
          <w:szCs w:val="20"/>
        </w:rPr>
        <w:t>zgodność przygotowania szczeliny dylatacyjnej z rysunkami roboczymi dylatacji,</w:t>
      </w:r>
    </w:p>
    <w:p w:rsidR="00B77F00" w:rsidRDefault="00865FA3">
      <w:pPr>
        <w:pStyle w:val="Standard"/>
        <w:jc w:val="both"/>
        <w:rPr>
          <w:rFonts w:cs="Calibri"/>
          <w:szCs w:val="20"/>
        </w:rPr>
      </w:pPr>
      <w:r>
        <w:rPr>
          <w:rFonts w:cs="Calibri"/>
          <w:szCs w:val="20"/>
        </w:rPr>
        <w:t>zgodność wymiarów koryta z rysunkami roboczymi dylatacji (dopuszczalna odchyłka szerokości koryta wynosi 5%),</w:t>
      </w:r>
    </w:p>
    <w:p w:rsidR="00B77F00" w:rsidRDefault="00865FA3">
      <w:pPr>
        <w:pStyle w:val="Standard"/>
        <w:jc w:val="both"/>
        <w:rPr>
          <w:rFonts w:cs="Calibri"/>
          <w:szCs w:val="20"/>
        </w:rPr>
      </w:pPr>
      <w:r>
        <w:rPr>
          <w:rFonts w:cs="Calibri"/>
          <w:szCs w:val="20"/>
        </w:rPr>
        <w:t>zgodność osuszenia i oczyszczenia koryta z wymogami niniejszej Specyfikacji Technicznej.</w:t>
      </w:r>
    </w:p>
    <w:p w:rsidR="00B77F00" w:rsidRDefault="00865FA3">
      <w:pPr>
        <w:pStyle w:val="Standard"/>
        <w:jc w:val="both"/>
        <w:rPr>
          <w:rFonts w:cs="Calibri"/>
          <w:szCs w:val="20"/>
        </w:rPr>
      </w:pPr>
      <w:r>
        <w:rPr>
          <w:rFonts w:cs="Calibri"/>
          <w:szCs w:val="20"/>
        </w:rPr>
        <w:t>6.2.2. Kontrola jakości użytych materiałów</w:t>
      </w:r>
    </w:p>
    <w:p w:rsidR="00B77F00" w:rsidRDefault="00865FA3">
      <w:pPr>
        <w:pStyle w:val="Standard"/>
        <w:jc w:val="both"/>
        <w:rPr>
          <w:rFonts w:cs="Calibri"/>
          <w:szCs w:val="20"/>
        </w:rPr>
      </w:pPr>
      <w:r>
        <w:rPr>
          <w:rFonts w:cs="Calibri"/>
          <w:szCs w:val="20"/>
        </w:rPr>
        <w:t>Przed przystąpieniem do wykonania dylatacji należy wykonać badania kruszywa i lepiszcza w zakresie podanym w pkt. 2.2.1.c i</w:t>
      </w:r>
      <w:r>
        <w:rPr>
          <w:rFonts w:cs="Calibri"/>
          <w:szCs w:val="20"/>
        </w:rPr>
        <w:t xml:space="preserve"> 2.2.1.d niniejszej Specyfikacji Technicznej.</w:t>
      </w:r>
    </w:p>
    <w:p w:rsidR="00B77F00" w:rsidRDefault="00865FA3">
      <w:pPr>
        <w:pStyle w:val="Standard"/>
        <w:jc w:val="both"/>
        <w:rPr>
          <w:rFonts w:cs="Calibri"/>
          <w:szCs w:val="20"/>
        </w:rPr>
      </w:pPr>
      <w:r>
        <w:rPr>
          <w:rFonts w:cs="Calibri"/>
          <w:szCs w:val="20"/>
        </w:rPr>
        <w:t>Badania te wykonuje Wykonawca i potwierdza atestem.</w:t>
      </w:r>
    </w:p>
    <w:p w:rsidR="00B77F00" w:rsidRDefault="00865FA3">
      <w:pPr>
        <w:pStyle w:val="Standard"/>
        <w:jc w:val="both"/>
        <w:rPr>
          <w:rFonts w:cs="Calibri"/>
          <w:szCs w:val="20"/>
        </w:rPr>
      </w:pPr>
      <w:r>
        <w:rPr>
          <w:rFonts w:cs="Calibri"/>
          <w:szCs w:val="20"/>
        </w:rPr>
        <w:t>Inżynier ma prawo zażądania, aby badania materiałów dokonywane były w jego obecności.</w:t>
      </w:r>
    </w:p>
    <w:p w:rsidR="00B77F00" w:rsidRDefault="00865FA3">
      <w:pPr>
        <w:pStyle w:val="Standard"/>
        <w:jc w:val="both"/>
        <w:rPr>
          <w:rFonts w:cs="Calibri"/>
          <w:szCs w:val="20"/>
        </w:rPr>
      </w:pPr>
      <w:r>
        <w:rPr>
          <w:rFonts w:cs="Calibri"/>
          <w:szCs w:val="20"/>
        </w:rPr>
        <w:t>6.2.4. Badanie odporności przekrycia dylatacyjnego na koleinowanie</w:t>
      </w:r>
    </w:p>
    <w:p w:rsidR="00B77F00" w:rsidRDefault="00865FA3">
      <w:pPr>
        <w:pStyle w:val="Standard"/>
        <w:jc w:val="both"/>
        <w:rPr>
          <w:rFonts w:cs="Calibri"/>
          <w:szCs w:val="20"/>
        </w:rPr>
      </w:pPr>
      <w:r>
        <w:rPr>
          <w:rFonts w:cs="Calibri"/>
          <w:szCs w:val="20"/>
        </w:rPr>
        <w:t>Badan</w:t>
      </w:r>
      <w:r>
        <w:rPr>
          <w:rFonts w:cs="Calibri"/>
          <w:szCs w:val="20"/>
        </w:rPr>
        <w:t>ia dokonuje się w symulatorze ruchu typu LCPC (Laboratoire Central de Pont et Chaussées) wg procedury opracowanej przez IBDiM.</w:t>
      </w:r>
    </w:p>
    <w:p w:rsidR="00B77F00" w:rsidRDefault="00865FA3">
      <w:pPr>
        <w:pStyle w:val="Standard"/>
        <w:jc w:val="both"/>
        <w:rPr>
          <w:rFonts w:cs="Calibri"/>
          <w:szCs w:val="20"/>
        </w:rPr>
      </w:pPr>
      <w:r>
        <w:rPr>
          <w:rFonts w:cs="Calibri"/>
          <w:szCs w:val="20"/>
        </w:rPr>
        <w:t>Parametry badań j.w.:</w:t>
      </w:r>
    </w:p>
    <w:p w:rsidR="00B77F00" w:rsidRDefault="00865FA3">
      <w:pPr>
        <w:pStyle w:val="Standard"/>
        <w:jc w:val="both"/>
        <w:rPr>
          <w:rFonts w:cs="Calibri"/>
          <w:szCs w:val="20"/>
        </w:rPr>
      </w:pPr>
      <w:r>
        <w:rPr>
          <w:rFonts w:cs="Calibri"/>
          <w:szCs w:val="20"/>
        </w:rPr>
        <w:t>temperatura badania:</w:t>
      </w:r>
      <w:r>
        <w:rPr>
          <w:rFonts w:cs="Calibri"/>
          <w:szCs w:val="20"/>
        </w:rPr>
        <w:tab/>
      </w:r>
      <w:r>
        <w:rPr>
          <w:rFonts w:cs="Calibri"/>
          <w:szCs w:val="20"/>
        </w:rPr>
        <w:tab/>
        <w:t>45 ± 2ºC,</w:t>
      </w:r>
    </w:p>
    <w:p w:rsidR="00B77F00" w:rsidRDefault="00865FA3">
      <w:pPr>
        <w:pStyle w:val="Standard"/>
        <w:jc w:val="both"/>
        <w:rPr>
          <w:rFonts w:cs="Calibri"/>
          <w:szCs w:val="20"/>
        </w:rPr>
      </w:pPr>
      <w:r>
        <w:rPr>
          <w:rFonts w:cs="Calibri"/>
          <w:szCs w:val="20"/>
        </w:rPr>
        <w:t>ciśnienie kontaktowe w oponie:</w:t>
      </w:r>
      <w:r>
        <w:rPr>
          <w:rFonts w:cs="Calibri"/>
          <w:szCs w:val="20"/>
        </w:rPr>
        <w:tab/>
        <w:t>0.6 MPa,</w:t>
      </w:r>
    </w:p>
    <w:p w:rsidR="00B77F00" w:rsidRDefault="00865FA3">
      <w:pPr>
        <w:pStyle w:val="Standard"/>
        <w:jc w:val="both"/>
        <w:rPr>
          <w:rFonts w:cs="Calibri"/>
          <w:szCs w:val="20"/>
        </w:rPr>
      </w:pPr>
      <w:r>
        <w:rPr>
          <w:rFonts w:cs="Calibri"/>
          <w:szCs w:val="20"/>
        </w:rPr>
        <w:t>nacisk koła na próbkę:</w:t>
      </w:r>
      <w:r>
        <w:rPr>
          <w:rFonts w:cs="Calibri"/>
          <w:szCs w:val="20"/>
        </w:rPr>
        <w:tab/>
      </w:r>
      <w:r>
        <w:rPr>
          <w:rFonts w:cs="Calibri"/>
          <w:szCs w:val="20"/>
        </w:rPr>
        <w:tab/>
        <w:t>5 kN.</w:t>
      </w:r>
    </w:p>
    <w:p w:rsidR="00B77F00" w:rsidRDefault="00865FA3">
      <w:pPr>
        <w:pStyle w:val="Standard"/>
        <w:jc w:val="both"/>
        <w:rPr>
          <w:rFonts w:cs="Calibri"/>
          <w:szCs w:val="20"/>
        </w:rPr>
      </w:pPr>
      <w:r>
        <w:rPr>
          <w:rFonts w:cs="Calibri"/>
          <w:szCs w:val="20"/>
        </w:rPr>
        <w:t>Ocena</w:t>
      </w:r>
      <w:r>
        <w:rPr>
          <w:rFonts w:cs="Calibri"/>
          <w:szCs w:val="20"/>
        </w:rPr>
        <w:t xml:space="preserve"> wyników badania odporności:</w:t>
      </w:r>
    </w:p>
    <w:p w:rsidR="00B77F00" w:rsidRDefault="00865FA3">
      <w:pPr>
        <w:pStyle w:val="Standard"/>
        <w:jc w:val="both"/>
        <w:rPr>
          <w:rFonts w:cs="Calibri"/>
          <w:szCs w:val="20"/>
        </w:rPr>
      </w:pPr>
      <w:r>
        <w:rPr>
          <w:rFonts w:cs="Calibri"/>
          <w:szCs w:val="20"/>
        </w:rPr>
        <w:t>Jeżeli na żadnej z dwóch badanych próbek nie powstanie koleina o głębokości większej od 14 mm w czasie co najmniej 800 przejść koła, konstrukcja przekrycia dylatacyjnego spełnia wymagania odporności na koleinowanie.</w:t>
      </w:r>
    </w:p>
    <w:p w:rsidR="00B77F00" w:rsidRDefault="00865FA3">
      <w:pPr>
        <w:pStyle w:val="Standard"/>
        <w:jc w:val="both"/>
        <w:rPr>
          <w:rFonts w:cs="Calibri"/>
          <w:szCs w:val="20"/>
        </w:rPr>
      </w:pPr>
      <w:r>
        <w:rPr>
          <w:rFonts w:cs="Calibri"/>
          <w:szCs w:val="20"/>
        </w:rPr>
        <w:t>Badanie odp</w:t>
      </w:r>
      <w:r>
        <w:rPr>
          <w:rFonts w:cs="Calibri"/>
          <w:szCs w:val="20"/>
        </w:rPr>
        <w:t>orności wykonuje Wykonawca i potwierdza atestem.</w:t>
      </w:r>
    </w:p>
    <w:p w:rsidR="00B77F00" w:rsidRDefault="00865FA3">
      <w:pPr>
        <w:pStyle w:val="Standard"/>
        <w:jc w:val="both"/>
        <w:rPr>
          <w:rFonts w:cs="Calibri"/>
          <w:szCs w:val="20"/>
        </w:rPr>
      </w:pPr>
      <w:r>
        <w:rPr>
          <w:rFonts w:cs="Calibri"/>
          <w:szCs w:val="20"/>
        </w:rPr>
        <w:t>Inżynier ma prawo zażądania, aby badanie powyższe dokonane zostało w jego obecności.</w:t>
      </w:r>
    </w:p>
    <w:p w:rsidR="00B77F00" w:rsidRDefault="00865FA3">
      <w:pPr>
        <w:pStyle w:val="Standard"/>
        <w:jc w:val="both"/>
        <w:rPr>
          <w:rFonts w:cs="Calibri"/>
          <w:szCs w:val="20"/>
        </w:rPr>
      </w:pPr>
      <w:r>
        <w:rPr>
          <w:rFonts w:cs="Calibri"/>
          <w:szCs w:val="20"/>
        </w:rPr>
        <w:t>6.2.5. Kontrola w trakcie prowadzenia robót</w:t>
      </w:r>
    </w:p>
    <w:p w:rsidR="00B77F00" w:rsidRDefault="00865FA3">
      <w:pPr>
        <w:pStyle w:val="Standard"/>
        <w:jc w:val="both"/>
        <w:rPr>
          <w:rFonts w:cs="Calibri"/>
          <w:szCs w:val="20"/>
        </w:rPr>
      </w:pPr>
      <w:r>
        <w:rPr>
          <w:rFonts w:cs="Calibri"/>
          <w:szCs w:val="20"/>
        </w:rPr>
        <w:t>Należy kontrolować:</w:t>
      </w:r>
    </w:p>
    <w:p w:rsidR="00B77F00" w:rsidRDefault="00865FA3">
      <w:pPr>
        <w:pStyle w:val="Standard"/>
        <w:jc w:val="both"/>
        <w:rPr>
          <w:rFonts w:cs="Calibri"/>
          <w:szCs w:val="20"/>
        </w:rPr>
      </w:pPr>
      <w:r>
        <w:rPr>
          <w:rFonts w:cs="Calibri"/>
          <w:szCs w:val="20"/>
        </w:rPr>
        <w:t>temperaturę grysów, która powinna wynosić 150 - 190ºC,</w:t>
      </w:r>
    </w:p>
    <w:p w:rsidR="00B77F00" w:rsidRDefault="00865FA3">
      <w:pPr>
        <w:pStyle w:val="Standard"/>
        <w:jc w:val="both"/>
        <w:rPr>
          <w:rFonts w:cs="Calibri"/>
          <w:szCs w:val="20"/>
        </w:rPr>
      </w:pPr>
      <w:r>
        <w:rPr>
          <w:rFonts w:cs="Calibri"/>
          <w:szCs w:val="20"/>
        </w:rPr>
        <w:t>tem</w:t>
      </w:r>
      <w:r>
        <w:rPr>
          <w:rFonts w:cs="Calibri"/>
          <w:szCs w:val="20"/>
        </w:rPr>
        <w:t>peraturę lepiszcza, która powinna wynosić 170 – 190ºC.</w:t>
      </w:r>
    </w:p>
    <w:p w:rsidR="00B77F00" w:rsidRDefault="00B77F00">
      <w:pPr>
        <w:pStyle w:val="Standard"/>
        <w:jc w:val="both"/>
        <w:rPr>
          <w:rFonts w:cs="Calibri"/>
          <w:szCs w:val="20"/>
        </w:rPr>
      </w:pPr>
    </w:p>
    <w:p w:rsidR="00B77F00" w:rsidRDefault="00865FA3">
      <w:pPr>
        <w:pStyle w:val="Standard"/>
        <w:jc w:val="both"/>
        <w:rPr>
          <w:rFonts w:cs="Calibri"/>
          <w:b/>
          <w:bCs/>
          <w:szCs w:val="20"/>
        </w:rPr>
      </w:pPr>
      <w:r>
        <w:rPr>
          <w:rFonts w:cs="Calibri"/>
          <w:b/>
          <w:bCs/>
          <w:szCs w:val="20"/>
        </w:rPr>
        <w:t>7. OBMIAR ROBÓT</w:t>
      </w:r>
    </w:p>
    <w:p w:rsidR="00B77F00" w:rsidRDefault="00865FA3">
      <w:pPr>
        <w:pStyle w:val="Standard"/>
        <w:jc w:val="both"/>
        <w:rPr>
          <w:rFonts w:cs="Calibri"/>
          <w:szCs w:val="20"/>
        </w:rPr>
      </w:pPr>
      <w:r>
        <w:rPr>
          <w:rFonts w:cs="Calibri"/>
          <w:szCs w:val="20"/>
        </w:rPr>
        <w:t>7.1. Ogólne zasady obmiaru robót</w:t>
      </w:r>
    </w:p>
    <w:p w:rsidR="00B77F00" w:rsidRDefault="00865FA3">
      <w:pPr>
        <w:pStyle w:val="Standard"/>
        <w:jc w:val="both"/>
        <w:rPr>
          <w:rFonts w:cs="Calibri"/>
          <w:szCs w:val="20"/>
        </w:rPr>
      </w:pPr>
      <w:r>
        <w:rPr>
          <w:rFonts w:cs="Calibri"/>
          <w:szCs w:val="20"/>
        </w:rPr>
        <w:t>Ogólne zasady obmiaru robót podano w ST DM.00.00.00 “Wymagania ogólne”.</w:t>
      </w:r>
    </w:p>
    <w:p w:rsidR="00B77F00" w:rsidRDefault="00865FA3">
      <w:pPr>
        <w:pStyle w:val="Standard"/>
        <w:jc w:val="both"/>
        <w:rPr>
          <w:rFonts w:cs="Calibri"/>
          <w:szCs w:val="20"/>
        </w:rPr>
      </w:pPr>
      <w:r>
        <w:rPr>
          <w:rFonts w:cs="Calibri"/>
          <w:szCs w:val="20"/>
        </w:rPr>
        <w:t>7.2. Jednostka obmiarowa</w:t>
      </w:r>
    </w:p>
    <w:p w:rsidR="00B77F00" w:rsidRDefault="00865FA3">
      <w:pPr>
        <w:pStyle w:val="Standard"/>
        <w:jc w:val="both"/>
        <w:rPr>
          <w:rFonts w:cs="Calibri"/>
          <w:szCs w:val="20"/>
        </w:rPr>
      </w:pPr>
      <w:r>
        <w:rPr>
          <w:rFonts w:cs="Calibri"/>
          <w:szCs w:val="20"/>
        </w:rPr>
        <w:t xml:space="preserve">Jednostką obmiaru jest 1 m długości dylatacji o </w:t>
      </w:r>
      <w:r>
        <w:rPr>
          <w:rFonts w:cs="Calibri"/>
          <w:szCs w:val="20"/>
        </w:rPr>
        <w:t>wielkości przesuwu określonej w Dokumentacji Projektowej.</w:t>
      </w:r>
    </w:p>
    <w:p w:rsidR="00B77F00" w:rsidRDefault="00865FA3">
      <w:pPr>
        <w:pStyle w:val="Standard"/>
        <w:jc w:val="both"/>
        <w:rPr>
          <w:rFonts w:cs="Calibri"/>
          <w:szCs w:val="20"/>
        </w:rPr>
      </w:pPr>
      <w:r>
        <w:rPr>
          <w:rFonts w:cs="Calibri"/>
          <w:szCs w:val="20"/>
        </w:rPr>
        <w:t>Długość przekryć mierzy się w świetle zewnętrznych końców gzymsów ustroju niosącego. Mierzona jest ona po linii równoległej do krawędzi konstrukcji ustroju niosącego.</w:t>
      </w:r>
    </w:p>
    <w:p w:rsidR="00B77F00" w:rsidRDefault="00B77F00">
      <w:pPr>
        <w:pStyle w:val="Standard"/>
        <w:jc w:val="both"/>
        <w:rPr>
          <w:rFonts w:cs="Calibri"/>
          <w:szCs w:val="20"/>
        </w:rPr>
      </w:pPr>
    </w:p>
    <w:p w:rsidR="00B77F00" w:rsidRDefault="00865FA3">
      <w:pPr>
        <w:pStyle w:val="Standard"/>
        <w:jc w:val="both"/>
        <w:rPr>
          <w:rFonts w:cs="Calibri"/>
          <w:b/>
          <w:bCs/>
          <w:szCs w:val="20"/>
        </w:rPr>
      </w:pPr>
      <w:r>
        <w:rPr>
          <w:rFonts w:cs="Calibri"/>
          <w:b/>
          <w:bCs/>
          <w:szCs w:val="20"/>
        </w:rPr>
        <w:t>8. ODBIÓR ROBÓT</w:t>
      </w:r>
    </w:p>
    <w:p w:rsidR="00B77F00" w:rsidRDefault="00865FA3">
      <w:pPr>
        <w:pStyle w:val="Standard"/>
        <w:jc w:val="both"/>
        <w:rPr>
          <w:rFonts w:cs="Calibri"/>
          <w:szCs w:val="20"/>
        </w:rPr>
      </w:pPr>
      <w:r>
        <w:rPr>
          <w:rFonts w:cs="Calibri"/>
          <w:szCs w:val="20"/>
        </w:rPr>
        <w:t>8.1. Ogólne za</w:t>
      </w:r>
      <w:r>
        <w:rPr>
          <w:rFonts w:cs="Calibri"/>
          <w:szCs w:val="20"/>
        </w:rPr>
        <w:t>sady odbioru robót</w:t>
      </w:r>
    </w:p>
    <w:p w:rsidR="00B77F00" w:rsidRDefault="00865FA3">
      <w:pPr>
        <w:pStyle w:val="Standard"/>
        <w:jc w:val="both"/>
        <w:rPr>
          <w:rFonts w:cs="Calibri"/>
          <w:szCs w:val="20"/>
        </w:rPr>
      </w:pPr>
      <w:r>
        <w:rPr>
          <w:rFonts w:cs="Calibri"/>
          <w:szCs w:val="20"/>
        </w:rPr>
        <w:t>Ogólne zasady odbioru robót podano w ST DM.00.00.00 “Wymagania ogólne”.</w:t>
      </w:r>
    </w:p>
    <w:p w:rsidR="00B77F00" w:rsidRDefault="00865FA3">
      <w:pPr>
        <w:pStyle w:val="Standard"/>
        <w:jc w:val="both"/>
        <w:rPr>
          <w:rFonts w:cs="Calibri"/>
          <w:szCs w:val="20"/>
        </w:rPr>
      </w:pPr>
      <w:r>
        <w:rPr>
          <w:rFonts w:cs="Calibri"/>
          <w:szCs w:val="20"/>
        </w:rPr>
        <w:t>8.2. Szczegółowe zasady odbioru robót</w:t>
      </w:r>
    </w:p>
    <w:p w:rsidR="00B77F00" w:rsidRDefault="00865FA3">
      <w:pPr>
        <w:pStyle w:val="Standard"/>
        <w:jc w:val="both"/>
        <w:rPr>
          <w:rFonts w:cs="Calibri"/>
          <w:szCs w:val="20"/>
        </w:rPr>
      </w:pPr>
      <w:r>
        <w:rPr>
          <w:rFonts w:cs="Calibri"/>
          <w:szCs w:val="20"/>
        </w:rPr>
        <w:t>Odbioru dokonuje się na podstawie wyników badań wg pkt. 6 niniejszej Specyfikacji Technicznej.</w:t>
      </w:r>
    </w:p>
    <w:p w:rsidR="00B77F00" w:rsidRDefault="00865FA3">
      <w:pPr>
        <w:pStyle w:val="Standard"/>
        <w:jc w:val="both"/>
        <w:rPr>
          <w:rFonts w:cs="Calibri"/>
          <w:szCs w:val="20"/>
        </w:rPr>
      </w:pPr>
      <w:r>
        <w:rPr>
          <w:rFonts w:cs="Calibri"/>
          <w:szCs w:val="20"/>
        </w:rPr>
        <w:t>Urządzenie dylatacyjne winno być</w:t>
      </w:r>
      <w:r>
        <w:rPr>
          <w:rFonts w:cs="Calibri"/>
          <w:szCs w:val="20"/>
        </w:rPr>
        <w:t xml:space="preserve"> szczelne (próba wodna przez obfite polewanie wodą).</w:t>
      </w:r>
    </w:p>
    <w:p w:rsidR="00B77F00" w:rsidRDefault="00865FA3">
      <w:pPr>
        <w:pStyle w:val="Standard"/>
        <w:jc w:val="both"/>
        <w:rPr>
          <w:rFonts w:cs="Calibri"/>
          <w:szCs w:val="20"/>
        </w:rPr>
      </w:pPr>
      <w:r>
        <w:rPr>
          <w:rFonts w:cs="Calibri"/>
          <w:szCs w:val="20"/>
        </w:rPr>
        <w:t>Odbiorowi podlega prawidłowość wykonania szczeliny dylatacyjnej i zgodność jej wykonania z rysunkami roboczymi dylatacji.</w:t>
      </w:r>
    </w:p>
    <w:p w:rsidR="00B77F00" w:rsidRDefault="00865FA3">
      <w:pPr>
        <w:pStyle w:val="Standard"/>
        <w:jc w:val="both"/>
        <w:rPr>
          <w:rFonts w:cs="Calibri"/>
          <w:szCs w:val="20"/>
        </w:rPr>
      </w:pPr>
      <w:r>
        <w:rPr>
          <w:rFonts w:cs="Calibri"/>
          <w:szCs w:val="20"/>
        </w:rPr>
        <w:t xml:space="preserve">Odbiorowi podlega koryto. Należy sprawdzić wymiary gabarytowe koryta (szerokość, </w:t>
      </w:r>
      <w:r>
        <w:rPr>
          <w:rFonts w:cs="Calibri"/>
          <w:szCs w:val="20"/>
        </w:rPr>
        <w:t>głębokość), oraz jego stan techniczny.</w:t>
      </w:r>
    </w:p>
    <w:p w:rsidR="00B77F00" w:rsidRDefault="00865FA3">
      <w:pPr>
        <w:pStyle w:val="Standard"/>
        <w:jc w:val="both"/>
        <w:rPr>
          <w:rFonts w:cs="Calibri"/>
          <w:szCs w:val="20"/>
        </w:rPr>
      </w:pPr>
      <w:r>
        <w:rPr>
          <w:rFonts w:cs="Calibri"/>
          <w:szCs w:val="20"/>
        </w:rPr>
        <w:t>W trakcie odbioru końcowego należy sprawdzić równość przekrycia. Powierzchnia tego przekrycia powinna być równoległa do powierzchni asfaltu i znajdować się ponad nią o 0 ÷ 3 mm.</w:t>
      </w:r>
    </w:p>
    <w:p w:rsidR="00B77F00" w:rsidRDefault="00B77F00">
      <w:pPr>
        <w:pStyle w:val="Standard"/>
        <w:jc w:val="both"/>
        <w:rPr>
          <w:rFonts w:cs="Calibri"/>
          <w:szCs w:val="20"/>
        </w:rPr>
      </w:pPr>
    </w:p>
    <w:p w:rsidR="00B77F00" w:rsidRDefault="00865FA3">
      <w:pPr>
        <w:pStyle w:val="Standard"/>
        <w:jc w:val="both"/>
        <w:rPr>
          <w:rFonts w:cs="Calibri"/>
          <w:b/>
          <w:bCs/>
          <w:szCs w:val="20"/>
        </w:rPr>
      </w:pPr>
      <w:r>
        <w:rPr>
          <w:rFonts w:cs="Calibri"/>
          <w:b/>
          <w:bCs/>
          <w:szCs w:val="20"/>
        </w:rPr>
        <w:t>9. PODSTAWA PŁATNOŚCI</w:t>
      </w:r>
    </w:p>
    <w:p w:rsidR="00B77F00" w:rsidRDefault="00865FA3">
      <w:pPr>
        <w:pStyle w:val="Standard"/>
        <w:jc w:val="both"/>
        <w:rPr>
          <w:rFonts w:cs="Calibri"/>
          <w:szCs w:val="20"/>
        </w:rPr>
      </w:pPr>
      <w:r>
        <w:rPr>
          <w:rFonts w:cs="Calibri"/>
          <w:szCs w:val="20"/>
        </w:rPr>
        <w:t>9.1. Ogólne ust</w:t>
      </w:r>
      <w:r>
        <w:rPr>
          <w:rFonts w:cs="Calibri"/>
          <w:szCs w:val="20"/>
        </w:rPr>
        <w:t>alenia dotyczące podstawy płatności</w:t>
      </w:r>
    </w:p>
    <w:p w:rsidR="00B77F00" w:rsidRDefault="00865FA3">
      <w:pPr>
        <w:pStyle w:val="Standard"/>
        <w:jc w:val="both"/>
        <w:rPr>
          <w:rFonts w:cs="Calibri"/>
          <w:szCs w:val="20"/>
        </w:rPr>
      </w:pPr>
      <w:r>
        <w:rPr>
          <w:rFonts w:cs="Calibri"/>
          <w:szCs w:val="20"/>
        </w:rPr>
        <w:t>Ogólne ustalenia dotyczące podstawy płatności podano w ST DM.00.00.00 “Wymagania ogólne”.</w:t>
      </w:r>
    </w:p>
    <w:p w:rsidR="00B77F00" w:rsidRDefault="00865FA3">
      <w:pPr>
        <w:pStyle w:val="Standard"/>
        <w:jc w:val="both"/>
        <w:rPr>
          <w:rFonts w:cs="Calibri"/>
          <w:szCs w:val="20"/>
        </w:rPr>
      </w:pPr>
      <w:r>
        <w:rPr>
          <w:rFonts w:cs="Calibri"/>
          <w:szCs w:val="20"/>
        </w:rPr>
        <w:t>9.2. Cena jednostki obmiarowej</w:t>
      </w:r>
    </w:p>
    <w:p w:rsidR="00B77F00" w:rsidRDefault="00865FA3">
      <w:pPr>
        <w:pStyle w:val="Standard"/>
        <w:jc w:val="both"/>
        <w:rPr>
          <w:rFonts w:cs="Calibri"/>
          <w:szCs w:val="20"/>
        </w:rPr>
      </w:pPr>
      <w:r>
        <w:rPr>
          <w:rFonts w:cs="Calibri"/>
          <w:szCs w:val="20"/>
        </w:rPr>
        <w:lastRenderedPageBreak/>
        <w:t>Cena jednostkowa obejmuje:</w:t>
      </w:r>
    </w:p>
    <w:p w:rsidR="00B77F00" w:rsidRDefault="00865FA3">
      <w:pPr>
        <w:pStyle w:val="Standard"/>
        <w:jc w:val="both"/>
        <w:rPr>
          <w:rFonts w:cs="Calibri"/>
          <w:szCs w:val="20"/>
        </w:rPr>
      </w:pPr>
      <w:r>
        <w:rPr>
          <w:rFonts w:cs="Calibri"/>
          <w:szCs w:val="20"/>
        </w:rPr>
        <w:t>-koszt opracowania Projektu organizacji robót, harmonogramu robót, wyty</w:t>
      </w:r>
      <w:r>
        <w:rPr>
          <w:rFonts w:cs="Calibri"/>
          <w:szCs w:val="20"/>
        </w:rPr>
        <w:t>cznych technicznych wykonania dylatacji i rysunków roboczych dylatacji wraz z uzyskaniem akceptacji Inżyniera,</w:t>
      </w:r>
    </w:p>
    <w:p w:rsidR="00B77F00" w:rsidRDefault="00865FA3">
      <w:pPr>
        <w:pStyle w:val="Standard"/>
        <w:jc w:val="both"/>
        <w:rPr>
          <w:rFonts w:cs="Calibri"/>
          <w:szCs w:val="20"/>
        </w:rPr>
      </w:pPr>
      <w:r>
        <w:rPr>
          <w:rFonts w:cs="Calibri"/>
          <w:szCs w:val="20"/>
        </w:rPr>
        <w:t>-zakup i dostarczenie wszystkich czynników produkcji,</w:t>
      </w:r>
    </w:p>
    <w:p w:rsidR="00B77F00" w:rsidRDefault="00865FA3">
      <w:pPr>
        <w:pStyle w:val="Standard"/>
        <w:jc w:val="both"/>
        <w:rPr>
          <w:rFonts w:cs="Calibri"/>
          <w:szCs w:val="20"/>
        </w:rPr>
      </w:pPr>
      <w:r>
        <w:rPr>
          <w:rFonts w:cs="Calibri"/>
          <w:szCs w:val="20"/>
        </w:rPr>
        <w:t>-przygotowanie koryta do wykonania wypełnienia, w tym usunięcie istniejącej dylatacji,</w:t>
      </w:r>
    </w:p>
    <w:p w:rsidR="00B77F00" w:rsidRDefault="00865FA3">
      <w:pPr>
        <w:pStyle w:val="Standard"/>
        <w:jc w:val="both"/>
        <w:rPr>
          <w:rFonts w:cs="Calibri"/>
          <w:szCs w:val="20"/>
        </w:rPr>
      </w:pPr>
      <w:r>
        <w:rPr>
          <w:rFonts w:cs="Calibri"/>
          <w:szCs w:val="20"/>
        </w:rPr>
        <w:t>-wbu</w:t>
      </w:r>
      <w:r>
        <w:rPr>
          <w:rFonts w:cs="Calibri"/>
          <w:szCs w:val="20"/>
        </w:rPr>
        <w:t>dowanie dylatacji i jej regulację,</w:t>
      </w:r>
    </w:p>
    <w:p w:rsidR="00B77F00" w:rsidRDefault="00865FA3">
      <w:pPr>
        <w:pStyle w:val="Standard"/>
        <w:jc w:val="both"/>
        <w:rPr>
          <w:rFonts w:cs="Calibri"/>
          <w:szCs w:val="20"/>
        </w:rPr>
      </w:pPr>
      <w:r>
        <w:rPr>
          <w:rFonts w:cs="Calibri"/>
          <w:szCs w:val="20"/>
        </w:rPr>
        <w:t>- przygotowanie fundamentu żelbetowego o wymiarach 35x25cm wraz z zakupem zbrojenia i betonu</w:t>
      </w:r>
    </w:p>
    <w:p w:rsidR="00B77F00" w:rsidRDefault="00865FA3">
      <w:pPr>
        <w:pStyle w:val="Standard"/>
        <w:jc w:val="both"/>
        <w:rPr>
          <w:rFonts w:cs="Calibri"/>
          <w:szCs w:val="20"/>
        </w:rPr>
      </w:pPr>
      <w:r>
        <w:rPr>
          <w:rFonts w:cs="Calibri"/>
          <w:szCs w:val="20"/>
        </w:rPr>
        <w:t>-dostarczenie i montaż osłon szczeliny dylatacyjnej na gzymsach konstrukcji i barierach betonowych, wraz z zabezpieczeniem anty</w:t>
      </w:r>
      <w:r>
        <w:rPr>
          <w:rFonts w:cs="Calibri"/>
          <w:szCs w:val="20"/>
        </w:rPr>
        <w:t>korozyjnym,</w:t>
      </w:r>
    </w:p>
    <w:p w:rsidR="00B77F00" w:rsidRDefault="00865FA3">
      <w:pPr>
        <w:pStyle w:val="Standard"/>
        <w:jc w:val="both"/>
        <w:rPr>
          <w:rFonts w:cs="Calibri"/>
          <w:szCs w:val="20"/>
        </w:rPr>
      </w:pPr>
      <w:r>
        <w:rPr>
          <w:rFonts w:cs="Calibri"/>
          <w:szCs w:val="20"/>
        </w:rPr>
        <w:t>-koszt wykonania odwodnienia dylatacji i odprowadzenia wody,</w:t>
      </w:r>
    </w:p>
    <w:p w:rsidR="00B77F00" w:rsidRDefault="00865FA3">
      <w:pPr>
        <w:pStyle w:val="Standard"/>
        <w:jc w:val="both"/>
        <w:rPr>
          <w:rFonts w:cs="Calibri"/>
          <w:szCs w:val="20"/>
        </w:rPr>
      </w:pPr>
      <w:r>
        <w:rPr>
          <w:rFonts w:cs="Calibri"/>
          <w:szCs w:val="20"/>
        </w:rPr>
        <w:t>-oczyszczenie miejsca pracy,</w:t>
      </w:r>
    </w:p>
    <w:p w:rsidR="00B77F00" w:rsidRDefault="00865FA3">
      <w:pPr>
        <w:pStyle w:val="Standard"/>
        <w:jc w:val="both"/>
        <w:rPr>
          <w:rFonts w:cs="Calibri"/>
          <w:szCs w:val="20"/>
        </w:rPr>
      </w:pPr>
      <w:r>
        <w:rPr>
          <w:rFonts w:cs="Calibri"/>
          <w:szCs w:val="20"/>
        </w:rPr>
        <w:t>-koszty niezbędnych badań i pomiarów.</w:t>
      </w:r>
    </w:p>
    <w:p w:rsidR="00B77F00" w:rsidRDefault="00865FA3">
      <w:pPr>
        <w:pStyle w:val="Standard"/>
        <w:jc w:val="both"/>
        <w:rPr>
          <w:rFonts w:cs="Calibri"/>
          <w:szCs w:val="20"/>
        </w:rPr>
      </w:pPr>
      <w:r>
        <w:rPr>
          <w:rFonts w:cs="Calibri"/>
          <w:szCs w:val="20"/>
        </w:rPr>
        <w:t>Cena jednostkowa zawiera również odpady i materiały pomocnicze.</w:t>
      </w:r>
    </w:p>
    <w:p w:rsidR="00B77F00" w:rsidRDefault="00865FA3">
      <w:pPr>
        <w:pStyle w:val="Standard"/>
        <w:jc w:val="both"/>
        <w:rPr>
          <w:rFonts w:cs="Calibri"/>
          <w:szCs w:val="20"/>
        </w:rPr>
      </w:pPr>
      <w:r>
        <w:rPr>
          <w:rFonts w:cs="Calibri"/>
          <w:szCs w:val="20"/>
        </w:rPr>
        <w:t>Usunięta dylatacja stanowi własność Wykonawcy.</w:t>
      </w:r>
    </w:p>
    <w:p w:rsidR="00B77F00" w:rsidRDefault="00865FA3">
      <w:pPr>
        <w:pStyle w:val="Standard"/>
        <w:jc w:val="both"/>
        <w:rPr>
          <w:rFonts w:cs="Calibri"/>
          <w:szCs w:val="20"/>
        </w:rPr>
      </w:pPr>
      <w:r>
        <w:rPr>
          <w:rFonts w:cs="Calibri"/>
          <w:szCs w:val="20"/>
        </w:rPr>
        <w:t xml:space="preserve">W </w:t>
      </w:r>
      <w:r>
        <w:rPr>
          <w:rFonts w:cs="Calibri"/>
          <w:szCs w:val="20"/>
        </w:rPr>
        <w:t>wycenie pozycji należy ująć wszystkie niezbędne materiały oraz czynniki do wykonania robót.</w:t>
      </w:r>
    </w:p>
    <w:p w:rsidR="00B77F00" w:rsidRDefault="00B77F00">
      <w:pPr>
        <w:pStyle w:val="Standard"/>
        <w:jc w:val="both"/>
        <w:rPr>
          <w:rFonts w:cs="Calibri"/>
          <w:szCs w:val="20"/>
        </w:rPr>
      </w:pPr>
    </w:p>
    <w:p w:rsidR="00B77F00" w:rsidRDefault="00865FA3">
      <w:pPr>
        <w:pStyle w:val="Standard"/>
        <w:jc w:val="both"/>
        <w:rPr>
          <w:rFonts w:cs="Calibri"/>
          <w:b/>
          <w:bCs/>
          <w:szCs w:val="20"/>
        </w:rPr>
      </w:pPr>
      <w:r>
        <w:rPr>
          <w:rFonts w:cs="Calibri"/>
          <w:b/>
          <w:bCs/>
          <w:szCs w:val="20"/>
        </w:rPr>
        <w:t>10. PRZEPISY ZWIĄZANE</w:t>
      </w:r>
    </w:p>
    <w:p w:rsidR="00B77F00" w:rsidRDefault="00865FA3">
      <w:pPr>
        <w:pStyle w:val="Standard"/>
        <w:jc w:val="both"/>
        <w:rPr>
          <w:rFonts w:cs="Calibri"/>
          <w:szCs w:val="20"/>
        </w:rPr>
      </w:pPr>
      <w:r>
        <w:rPr>
          <w:rFonts w:cs="Calibri"/>
          <w:szCs w:val="20"/>
        </w:rPr>
        <w:t>10.1. Normy</w:t>
      </w:r>
    </w:p>
    <w:p w:rsidR="00B77F00" w:rsidRDefault="00865FA3">
      <w:pPr>
        <w:pStyle w:val="Standard"/>
        <w:jc w:val="both"/>
        <w:rPr>
          <w:rFonts w:cs="Calibri"/>
          <w:szCs w:val="20"/>
        </w:rPr>
      </w:pPr>
      <w:r>
        <w:rPr>
          <w:rFonts w:cs="Calibri"/>
          <w:szCs w:val="20"/>
        </w:rPr>
        <w:t>PN-EN 1427:2001 Asfalty i produkty asfaltowe - Oznaczanie temperatury mięknienia - Metoda Pierścień i Kula</w:t>
      </w:r>
    </w:p>
    <w:p w:rsidR="00B77F00" w:rsidRDefault="00865FA3">
      <w:pPr>
        <w:pStyle w:val="Standard"/>
        <w:jc w:val="both"/>
        <w:rPr>
          <w:rFonts w:cs="Calibri"/>
          <w:szCs w:val="20"/>
        </w:rPr>
      </w:pPr>
      <w:r>
        <w:rPr>
          <w:rFonts w:cs="Calibri"/>
          <w:szCs w:val="20"/>
        </w:rPr>
        <w:t>PN-85/C-04132 Przetwo</w:t>
      </w:r>
      <w:r>
        <w:rPr>
          <w:rFonts w:cs="Calibri"/>
          <w:szCs w:val="20"/>
        </w:rPr>
        <w:t>ry naftowe. Pomiar ciągliwości asfaltów</w:t>
      </w:r>
    </w:p>
    <w:p w:rsidR="00B77F00" w:rsidRDefault="00865FA3">
      <w:pPr>
        <w:pStyle w:val="Standard"/>
        <w:jc w:val="both"/>
        <w:rPr>
          <w:rFonts w:cs="Calibri"/>
          <w:szCs w:val="20"/>
        </w:rPr>
      </w:pPr>
      <w:r>
        <w:rPr>
          <w:rFonts w:cs="Calibri"/>
          <w:szCs w:val="20"/>
        </w:rPr>
        <w:t>PN-EN 1426:2001 Asfalty i produkty asfaltowe - Oznaczanie penetracji igłą</w:t>
      </w:r>
    </w:p>
    <w:p w:rsidR="00B77F00" w:rsidRDefault="00865FA3">
      <w:pPr>
        <w:pStyle w:val="Standard"/>
        <w:jc w:val="both"/>
        <w:rPr>
          <w:rFonts w:cs="Calibri"/>
          <w:szCs w:val="20"/>
        </w:rPr>
      </w:pPr>
      <w:r>
        <w:rPr>
          <w:rFonts w:cs="Calibri"/>
          <w:szCs w:val="20"/>
        </w:rPr>
        <w:t>PN-B-24005:1997 Asfaltowa masa zalewowa</w:t>
      </w:r>
    </w:p>
    <w:p w:rsidR="00B77F00" w:rsidRDefault="00865FA3">
      <w:pPr>
        <w:pStyle w:val="Standard"/>
        <w:jc w:val="both"/>
        <w:rPr>
          <w:rFonts w:cs="Calibri"/>
          <w:szCs w:val="20"/>
        </w:rPr>
      </w:pPr>
      <w:r>
        <w:rPr>
          <w:rFonts w:cs="Calibri"/>
          <w:szCs w:val="20"/>
        </w:rPr>
        <w:t>PN-EN 12593:2004 Asfalty i produkty asfaltowe. Oznaczanie temperatury łamliwości Fraassa</w:t>
      </w:r>
    </w:p>
    <w:p w:rsidR="00B77F00" w:rsidRDefault="00865FA3">
      <w:pPr>
        <w:pStyle w:val="Standard"/>
        <w:jc w:val="both"/>
        <w:rPr>
          <w:rFonts w:cs="Calibri"/>
          <w:szCs w:val="20"/>
        </w:rPr>
      </w:pPr>
      <w:r>
        <w:rPr>
          <w:rFonts w:cs="Calibri"/>
          <w:szCs w:val="20"/>
        </w:rPr>
        <w:t>PN-EN 933-1</w:t>
      </w:r>
      <w:r>
        <w:rPr>
          <w:rFonts w:cs="Calibri"/>
          <w:szCs w:val="20"/>
        </w:rPr>
        <w:t>:2000</w:t>
      </w:r>
      <w:r>
        <w:rPr>
          <w:rFonts w:cs="Calibri"/>
          <w:szCs w:val="20"/>
        </w:rPr>
        <w:tab/>
        <w:t>Badania geometrycznych właściwości kruszyw - Oznaczanie składu ziarnowego. Metoda przesiewania</w:t>
      </w:r>
    </w:p>
    <w:p w:rsidR="00B77F00" w:rsidRDefault="00865FA3">
      <w:pPr>
        <w:pStyle w:val="Standard"/>
        <w:jc w:val="both"/>
        <w:rPr>
          <w:rFonts w:cs="Calibri"/>
          <w:szCs w:val="20"/>
        </w:rPr>
      </w:pPr>
      <w:r>
        <w:rPr>
          <w:rFonts w:cs="Calibri"/>
          <w:szCs w:val="20"/>
        </w:rPr>
        <w:t>PN-EN 933-4:2001</w:t>
      </w:r>
      <w:r>
        <w:rPr>
          <w:rFonts w:cs="Calibri"/>
          <w:szCs w:val="20"/>
        </w:rPr>
        <w:tab/>
        <w:t>Badania geometrycznych właściwości kruszyw - Część 4: Oznaczanie kształtu ziarn - Wskaźnik kształtu</w:t>
      </w:r>
    </w:p>
    <w:p w:rsidR="00B77F00" w:rsidRDefault="00865FA3">
      <w:pPr>
        <w:pStyle w:val="Standard"/>
        <w:jc w:val="both"/>
        <w:rPr>
          <w:rFonts w:cs="Calibri"/>
          <w:szCs w:val="20"/>
        </w:rPr>
      </w:pPr>
      <w:r>
        <w:rPr>
          <w:rFonts w:cs="Calibri"/>
          <w:szCs w:val="20"/>
        </w:rPr>
        <w:t>PN-EN 1097-6:2002 Badania mechaniczn</w:t>
      </w:r>
      <w:r>
        <w:rPr>
          <w:rFonts w:cs="Calibri"/>
          <w:szCs w:val="20"/>
        </w:rPr>
        <w:t>ych i fizycznych właściwości kruszyw - Część 6: Oznaczanie gęstości ziarn i nasiąkliwości</w:t>
      </w:r>
    </w:p>
    <w:p w:rsidR="00B77F00" w:rsidRDefault="00865FA3">
      <w:pPr>
        <w:pStyle w:val="Standard"/>
        <w:jc w:val="both"/>
        <w:rPr>
          <w:rFonts w:cs="Calibri"/>
          <w:szCs w:val="20"/>
        </w:rPr>
      </w:pPr>
      <w:r>
        <w:rPr>
          <w:rFonts w:cs="Calibri"/>
          <w:szCs w:val="20"/>
        </w:rPr>
        <w:t>PN-EN 1367-1:2001 Badania właściwości cieplnych i odporności kruszyw na działanie czynników atmosferycznych - Część 1: Oznaczanie mrozoodporności</w:t>
      </w:r>
    </w:p>
    <w:p w:rsidR="00B77F00" w:rsidRDefault="00865FA3">
      <w:pPr>
        <w:pStyle w:val="Standard"/>
        <w:jc w:val="both"/>
        <w:rPr>
          <w:rFonts w:cs="Calibri"/>
          <w:szCs w:val="20"/>
        </w:rPr>
      </w:pPr>
      <w:r>
        <w:rPr>
          <w:rFonts w:cs="Calibri"/>
          <w:szCs w:val="20"/>
        </w:rPr>
        <w:t xml:space="preserve">PN-EN 1097-2:2000 </w:t>
      </w:r>
      <w:r>
        <w:rPr>
          <w:rFonts w:cs="Calibri"/>
          <w:szCs w:val="20"/>
        </w:rPr>
        <w:t>Badania mechanicznych i fizycznych właściwości kruszyw – Część 2: Metody oznaczania odporności na rozdrabianie</w:t>
      </w:r>
    </w:p>
    <w:p w:rsidR="00B77F00" w:rsidRDefault="00865FA3">
      <w:pPr>
        <w:pStyle w:val="Standard"/>
        <w:tabs>
          <w:tab w:val="left" w:pos="2280"/>
        </w:tabs>
        <w:jc w:val="both"/>
        <w:rPr>
          <w:rFonts w:cs="Calibri"/>
          <w:szCs w:val="20"/>
          <w:shd w:val="clear" w:color="auto" w:fill="FFFFFF"/>
        </w:rPr>
      </w:pPr>
      <w:r>
        <w:rPr>
          <w:rFonts w:cs="Calibri"/>
          <w:szCs w:val="20"/>
          <w:shd w:val="clear" w:color="auto" w:fill="FFFFFF"/>
        </w:rPr>
        <w:t>PN-EN 1744-1:2000 Badania chemicznych właściwości kruszyw. Analiza chemiczna.</w:t>
      </w:r>
    </w:p>
    <w:p w:rsidR="00B77F00" w:rsidRDefault="00865FA3">
      <w:pPr>
        <w:pStyle w:val="Nagwek1"/>
        <w:pageBreakBefore/>
        <w:jc w:val="both"/>
      </w:pPr>
      <w:bookmarkStart w:id="16" w:name="__RefHeading___Toc379016_469610192"/>
      <w:r>
        <w:rPr>
          <w:shd w:val="clear" w:color="auto" w:fill="FFFFFF"/>
        </w:rPr>
        <w:lastRenderedPageBreak/>
        <w:t>M.27.00.00 Izolacje</w:t>
      </w:r>
      <w:bookmarkEnd w:id="16"/>
    </w:p>
    <w:p w:rsidR="00B77F00" w:rsidRDefault="00865FA3">
      <w:pPr>
        <w:pStyle w:val="Nagwek3"/>
        <w:jc w:val="both"/>
      </w:pPr>
      <w:bookmarkStart w:id="17" w:name="__RefHeading___Toc132726_513951418"/>
      <w:r>
        <w:t>M.27.02.01 Izolacja z papy termozgrzewalnej</w:t>
      </w:r>
      <w:bookmarkEnd w:id="17"/>
    </w:p>
    <w:p w:rsidR="00B77F00" w:rsidRDefault="00865FA3">
      <w:pPr>
        <w:pStyle w:val="Standard"/>
        <w:jc w:val="both"/>
        <w:rPr>
          <w:rFonts w:cs="Arial"/>
          <w:b/>
          <w:bCs/>
          <w:szCs w:val="20"/>
        </w:rPr>
      </w:pPr>
      <w:r>
        <w:rPr>
          <w:rFonts w:cs="Arial"/>
          <w:b/>
          <w:bCs/>
          <w:szCs w:val="20"/>
        </w:rPr>
        <w:t>1.</w:t>
      </w:r>
      <w:r>
        <w:rPr>
          <w:rFonts w:cs="Arial"/>
          <w:b/>
          <w:bCs/>
          <w:szCs w:val="20"/>
        </w:rPr>
        <w:t xml:space="preserve"> WSTĘP</w:t>
      </w:r>
    </w:p>
    <w:p w:rsidR="00B77F00" w:rsidRDefault="00865FA3">
      <w:pPr>
        <w:pStyle w:val="Standard"/>
        <w:jc w:val="both"/>
        <w:rPr>
          <w:rFonts w:cs="Arial"/>
          <w:szCs w:val="20"/>
        </w:rPr>
      </w:pPr>
      <w:r>
        <w:rPr>
          <w:rFonts w:cs="Arial"/>
          <w:szCs w:val="20"/>
        </w:rPr>
        <w:t>1.1. Przedmiot Specyfikacji</w:t>
      </w:r>
    </w:p>
    <w:p w:rsidR="00B77F00" w:rsidRDefault="00865FA3">
      <w:pPr>
        <w:pStyle w:val="Standard"/>
        <w:jc w:val="both"/>
      </w:pPr>
      <w:r>
        <w:rPr>
          <w:rFonts w:cs="Arial"/>
          <w:szCs w:val="20"/>
        </w:rPr>
        <w:t>Przedmiotem niniejszej Specyfikacji są wymagania dotyczące wykonania i odbioru izolacji powierzchni</w:t>
      </w:r>
      <w:r>
        <w:rPr>
          <w:rFonts w:cs="Arial"/>
          <w:szCs w:val="20"/>
        </w:rPr>
        <w:t xml:space="preserve"> obiektu inżynierskiego z zastosowaniem papy zgrzewalnej </w:t>
      </w:r>
      <w:r>
        <w:rPr>
          <w:rFonts w:cs="Arial"/>
          <w:szCs w:val="20"/>
        </w:rPr>
        <w:t xml:space="preserve">dla </w:t>
      </w:r>
      <w:r>
        <w:rPr>
          <w:rStyle w:val="WW-DefaultParagraphFont"/>
          <w:rFonts w:eastAsia="Times New Roman" w:cs="Arial"/>
          <w:color w:val="000000"/>
          <w:spacing w:val="-3"/>
          <w:lang w:val="pl-PL" w:bidi="ar-SA"/>
        </w:rPr>
        <w:t>zamierzenia budowlanego: „Remont mostu na rzece Wiązownica w msc. Wrzos w ciągu drogi powiatowej nr 3501W Wrzeszczów – Wrzos - Domaniów w km 4+206”.</w:t>
      </w:r>
    </w:p>
    <w:p w:rsidR="00B77F00" w:rsidRDefault="00865FA3">
      <w:pPr>
        <w:pStyle w:val="Standard"/>
        <w:jc w:val="both"/>
        <w:rPr>
          <w:rFonts w:cs="Arial"/>
          <w:szCs w:val="20"/>
        </w:rPr>
      </w:pPr>
      <w:r>
        <w:rPr>
          <w:rFonts w:cs="Arial"/>
          <w:szCs w:val="20"/>
        </w:rPr>
        <w:t>1.2. Zakres stosowania Specyfikacji</w:t>
      </w:r>
    </w:p>
    <w:p w:rsidR="00B77F00" w:rsidRDefault="00865FA3">
      <w:pPr>
        <w:pStyle w:val="Standard"/>
        <w:jc w:val="both"/>
        <w:rPr>
          <w:rFonts w:cs="Arial"/>
          <w:szCs w:val="20"/>
        </w:rPr>
      </w:pPr>
      <w:r>
        <w:rPr>
          <w:rFonts w:cs="Arial"/>
          <w:szCs w:val="20"/>
        </w:rPr>
        <w:t>Specyfikacja jest stosowana jako dokument przetargowy i kontraktowy przy zlecaniu i realizacji robót wymienionych w punkcie 1.1.</w:t>
      </w:r>
    </w:p>
    <w:p w:rsidR="00B77F00" w:rsidRDefault="00865FA3">
      <w:pPr>
        <w:pStyle w:val="Standard"/>
        <w:jc w:val="both"/>
        <w:rPr>
          <w:rFonts w:cs="Arial"/>
          <w:szCs w:val="20"/>
        </w:rPr>
      </w:pPr>
      <w:r>
        <w:rPr>
          <w:rFonts w:cs="Arial"/>
          <w:szCs w:val="20"/>
        </w:rPr>
        <w:t>1.3. Zakres robót objętych Specyfikacją</w:t>
      </w:r>
    </w:p>
    <w:p w:rsidR="00B77F00" w:rsidRDefault="00865FA3">
      <w:pPr>
        <w:pStyle w:val="Standard"/>
        <w:jc w:val="both"/>
        <w:rPr>
          <w:rFonts w:cs="Arial"/>
          <w:szCs w:val="20"/>
        </w:rPr>
      </w:pPr>
      <w:r>
        <w:rPr>
          <w:rFonts w:cs="Arial"/>
          <w:szCs w:val="20"/>
        </w:rPr>
        <w:t>Robot</w:t>
      </w:r>
      <w:r>
        <w:rPr>
          <w:rFonts w:cs="Arial"/>
          <w:szCs w:val="20"/>
        </w:rPr>
        <w:t>y, których dotyczy Specyfikacja obejmują wszystkie czynności umożliwiające i mające na celu wykonanie izolacji płyty pomostowej ustroju niosącego.</w:t>
      </w:r>
    </w:p>
    <w:p w:rsidR="00B77F00" w:rsidRDefault="00865FA3">
      <w:pPr>
        <w:pStyle w:val="Standard"/>
        <w:jc w:val="both"/>
        <w:rPr>
          <w:rFonts w:cs="Arial"/>
          <w:szCs w:val="20"/>
        </w:rPr>
      </w:pPr>
      <w:r>
        <w:rPr>
          <w:rFonts w:cs="Arial"/>
          <w:szCs w:val="20"/>
        </w:rPr>
        <w:t>1.4. Określenia podstawowe</w:t>
      </w:r>
    </w:p>
    <w:p w:rsidR="00B77F00" w:rsidRDefault="00865FA3">
      <w:pPr>
        <w:pStyle w:val="Standard"/>
        <w:jc w:val="both"/>
        <w:rPr>
          <w:rFonts w:cs="Arial"/>
          <w:szCs w:val="20"/>
        </w:rPr>
      </w:pPr>
      <w:r>
        <w:rPr>
          <w:rFonts w:cs="Arial"/>
          <w:szCs w:val="20"/>
        </w:rPr>
        <w:t xml:space="preserve">Określenia podane w niniejszej Specyfikacji są zgodne z obowiązującymi </w:t>
      </w:r>
      <w:r>
        <w:rPr>
          <w:rFonts w:cs="Arial"/>
          <w:szCs w:val="20"/>
        </w:rPr>
        <w:t>odpowiednimi normami oraz z określeniami podanymi w ST DM.00.00.00.</w:t>
      </w:r>
    </w:p>
    <w:p w:rsidR="00B77F00" w:rsidRDefault="00865FA3">
      <w:pPr>
        <w:pStyle w:val="Standard"/>
        <w:jc w:val="both"/>
        <w:rPr>
          <w:rFonts w:cs="Arial"/>
          <w:szCs w:val="20"/>
        </w:rPr>
      </w:pPr>
      <w:r>
        <w:rPr>
          <w:rFonts w:cs="Arial"/>
          <w:szCs w:val="20"/>
        </w:rPr>
        <w:t>Papa zgrzewalna - materiał hydroizolacyjny rolowy, o osnowie powleczonej obustronnie bitumem, z przystosowaną do zgrzewania z podłożem warstwą dolną.</w:t>
      </w:r>
    </w:p>
    <w:p w:rsidR="00B77F00" w:rsidRDefault="00865FA3">
      <w:pPr>
        <w:pStyle w:val="Standard"/>
        <w:jc w:val="both"/>
        <w:rPr>
          <w:rFonts w:cs="Arial"/>
          <w:szCs w:val="20"/>
        </w:rPr>
      </w:pPr>
      <w:r>
        <w:rPr>
          <w:rFonts w:cs="Arial"/>
          <w:szCs w:val="20"/>
        </w:rPr>
        <w:t>Izolacja – materiał hydroizolacyjny po</w:t>
      </w:r>
      <w:r>
        <w:rPr>
          <w:rFonts w:cs="Arial"/>
          <w:szCs w:val="20"/>
        </w:rPr>
        <w:t>kryty dwustronnie bitumem.</w:t>
      </w:r>
    </w:p>
    <w:p w:rsidR="00B77F00" w:rsidRDefault="00865FA3">
      <w:pPr>
        <w:pStyle w:val="Standard"/>
        <w:jc w:val="both"/>
        <w:rPr>
          <w:rFonts w:cs="Arial"/>
          <w:szCs w:val="20"/>
        </w:rPr>
      </w:pPr>
      <w:r>
        <w:rPr>
          <w:rFonts w:cs="Arial"/>
          <w:szCs w:val="20"/>
        </w:rPr>
        <w:t>Papa zgrzewalna - materiał hydroizolacyjny rolowy, o osnowie powleczonej obustronnie bitumem, z przystosowaną do zgrzewania z podłożem warstwą dolną.</w:t>
      </w:r>
    </w:p>
    <w:p w:rsidR="00B77F00" w:rsidRDefault="00865FA3">
      <w:pPr>
        <w:pStyle w:val="Standard"/>
        <w:jc w:val="both"/>
        <w:rPr>
          <w:rFonts w:cs="Arial"/>
          <w:szCs w:val="20"/>
        </w:rPr>
      </w:pPr>
      <w:r>
        <w:rPr>
          <w:rFonts w:cs="Arial"/>
          <w:szCs w:val="20"/>
        </w:rPr>
        <w:t>Bitumiczny środek gruntujący – jednorodna ciecz w czarnym kolorze stosowana do</w:t>
      </w:r>
      <w:r>
        <w:rPr>
          <w:rFonts w:cs="Arial"/>
          <w:szCs w:val="20"/>
        </w:rPr>
        <w:t xml:space="preserve"> gruntowania powierzchni betonu przed ułożeniem izolacji ze zgrzewalnego materiału izolacyjnego.</w:t>
      </w:r>
    </w:p>
    <w:p w:rsidR="00B77F00" w:rsidRDefault="00865FA3">
      <w:pPr>
        <w:pStyle w:val="Standard"/>
        <w:jc w:val="both"/>
        <w:rPr>
          <w:rFonts w:cs="Arial"/>
          <w:szCs w:val="20"/>
        </w:rPr>
      </w:pPr>
      <w:r>
        <w:rPr>
          <w:rFonts w:cs="Arial"/>
          <w:szCs w:val="20"/>
        </w:rPr>
        <w:t>1.5. Ogólne wymagania dotyczące robót</w:t>
      </w:r>
    </w:p>
    <w:p w:rsidR="00B77F00" w:rsidRDefault="00865FA3">
      <w:pPr>
        <w:pStyle w:val="Standard"/>
        <w:jc w:val="both"/>
        <w:rPr>
          <w:rFonts w:cs="Arial"/>
          <w:szCs w:val="20"/>
        </w:rPr>
      </w:pPr>
      <w:r>
        <w:rPr>
          <w:rFonts w:cs="Arial"/>
          <w:szCs w:val="20"/>
        </w:rPr>
        <w:t>Ogólne wymagania dotyczące robót podano w ST DM.00.00.00. Wymagania ogólne.</w:t>
      </w:r>
    </w:p>
    <w:p w:rsidR="00B77F00" w:rsidRDefault="00865FA3">
      <w:pPr>
        <w:pStyle w:val="Standard"/>
        <w:jc w:val="both"/>
        <w:rPr>
          <w:rFonts w:cs="Arial"/>
          <w:szCs w:val="20"/>
        </w:rPr>
      </w:pPr>
      <w:r>
        <w:rPr>
          <w:rFonts w:cs="Arial"/>
          <w:szCs w:val="20"/>
        </w:rPr>
        <w:t>Wykonawca robót jest odpowiedzialny za jakość</w:t>
      </w:r>
      <w:r>
        <w:rPr>
          <w:rFonts w:cs="Arial"/>
          <w:szCs w:val="20"/>
        </w:rPr>
        <w:t xml:space="preserve"> ich wykonania oraz za zgodność z Dokumentacją Projektową, Specyfikacją i poleceniami Inżyniera.</w:t>
      </w:r>
    </w:p>
    <w:p w:rsidR="00B77F00" w:rsidRDefault="00B77F00">
      <w:pPr>
        <w:pStyle w:val="Standard"/>
        <w:jc w:val="both"/>
        <w:rPr>
          <w:rFonts w:cs="Arial"/>
          <w:szCs w:val="20"/>
        </w:rPr>
      </w:pPr>
    </w:p>
    <w:p w:rsidR="00B77F00" w:rsidRDefault="00865FA3">
      <w:pPr>
        <w:pStyle w:val="Standard"/>
        <w:jc w:val="both"/>
        <w:rPr>
          <w:rFonts w:cs="Arial"/>
          <w:b/>
          <w:bCs/>
          <w:szCs w:val="20"/>
        </w:rPr>
      </w:pPr>
      <w:r>
        <w:rPr>
          <w:rFonts w:cs="Arial"/>
          <w:b/>
          <w:bCs/>
          <w:szCs w:val="20"/>
        </w:rPr>
        <w:t>2. MATERIAŁY</w:t>
      </w:r>
    </w:p>
    <w:p w:rsidR="00B77F00" w:rsidRDefault="00865FA3">
      <w:pPr>
        <w:pStyle w:val="Standard"/>
        <w:jc w:val="both"/>
        <w:rPr>
          <w:rFonts w:cs="Arial"/>
          <w:szCs w:val="20"/>
        </w:rPr>
      </w:pPr>
      <w:r>
        <w:rPr>
          <w:rFonts w:cs="Arial"/>
          <w:szCs w:val="20"/>
        </w:rPr>
        <w:t>2.1. Ogólne wymagania dotyczące materiałów</w:t>
      </w:r>
    </w:p>
    <w:p w:rsidR="00B77F00" w:rsidRDefault="00865FA3">
      <w:pPr>
        <w:pStyle w:val="Standard"/>
        <w:jc w:val="both"/>
        <w:rPr>
          <w:rFonts w:cs="Arial"/>
          <w:szCs w:val="20"/>
        </w:rPr>
      </w:pPr>
      <w:r>
        <w:rPr>
          <w:rFonts w:cs="Arial"/>
          <w:szCs w:val="20"/>
        </w:rPr>
        <w:t>Ogólne wymagania dotyczące materiałów podano w ST DM.00.00.00 „Wymagania ogólne”.</w:t>
      </w:r>
    </w:p>
    <w:p w:rsidR="00B77F00" w:rsidRDefault="00865FA3">
      <w:pPr>
        <w:pStyle w:val="Standard"/>
        <w:jc w:val="both"/>
        <w:rPr>
          <w:rFonts w:cs="Arial"/>
          <w:szCs w:val="20"/>
        </w:rPr>
      </w:pPr>
      <w:r>
        <w:rPr>
          <w:rFonts w:cs="Arial"/>
          <w:szCs w:val="20"/>
        </w:rPr>
        <w:t>2.2. Szczegółowe wy</w:t>
      </w:r>
      <w:r>
        <w:rPr>
          <w:rFonts w:cs="Arial"/>
          <w:szCs w:val="20"/>
        </w:rPr>
        <w:t>magania dotyczące materiałów</w:t>
      </w:r>
    </w:p>
    <w:p w:rsidR="00B77F00" w:rsidRDefault="00865FA3">
      <w:pPr>
        <w:pStyle w:val="Standard"/>
        <w:jc w:val="both"/>
        <w:rPr>
          <w:rFonts w:cs="Arial"/>
          <w:szCs w:val="20"/>
        </w:rPr>
      </w:pPr>
      <w:r>
        <w:rPr>
          <w:rFonts w:cs="Arial"/>
          <w:szCs w:val="20"/>
        </w:rPr>
        <w:t>2.2.1. Rodzaje materiałów.</w:t>
      </w:r>
    </w:p>
    <w:p w:rsidR="00B77F00" w:rsidRDefault="00865FA3">
      <w:pPr>
        <w:pStyle w:val="Standard"/>
        <w:jc w:val="both"/>
        <w:rPr>
          <w:rFonts w:cs="Arial"/>
          <w:szCs w:val="20"/>
        </w:rPr>
      </w:pPr>
      <w:r>
        <w:rPr>
          <w:rFonts w:cs="Arial"/>
          <w:szCs w:val="20"/>
        </w:rPr>
        <w:t>Do wykonania systemu izolacyjnego należy stosować następujące materiały:</w:t>
      </w:r>
    </w:p>
    <w:p w:rsidR="00B77F00" w:rsidRDefault="00865FA3">
      <w:pPr>
        <w:pStyle w:val="Standard"/>
        <w:jc w:val="both"/>
        <w:rPr>
          <w:rFonts w:cs="Arial"/>
          <w:szCs w:val="20"/>
        </w:rPr>
      </w:pPr>
      <w:r>
        <w:rPr>
          <w:rFonts w:cs="Arial"/>
          <w:szCs w:val="20"/>
        </w:rPr>
        <w:t>bitumiczny środek gruntujący</w:t>
      </w:r>
    </w:p>
    <w:p w:rsidR="00B77F00" w:rsidRDefault="00865FA3">
      <w:pPr>
        <w:pStyle w:val="Standard"/>
        <w:jc w:val="both"/>
        <w:rPr>
          <w:rFonts w:cs="Arial"/>
          <w:szCs w:val="20"/>
        </w:rPr>
      </w:pPr>
      <w:r>
        <w:rPr>
          <w:rFonts w:cs="Arial"/>
          <w:szCs w:val="20"/>
        </w:rPr>
        <w:t>izolację bitumiczną (papę zgrzewalną)</w:t>
      </w:r>
    </w:p>
    <w:p w:rsidR="00B77F00" w:rsidRDefault="00865FA3">
      <w:pPr>
        <w:pStyle w:val="Standard"/>
        <w:jc w:val="both"/>
        <w:rPr>
          <w:rFonts w:cs="Arial"/>
          <w:szCs w:val="20"/>
        </w:rPr>
      </w:pPr>
      <w:r>
        <w:rPr>
          <w:rFonts w:cs="Arial"/>
          <w:szCs w:val="20"/>
        </w:rPr>
        <w:t>2.2.2. Wymagania podstawowe.</w:t>
      </w:r>
    </w:p>
    <w:p w:rsidR="00B77F00" w:rsidRDefault="00865FA3">
      <w:pPr>
        <w:pStyle w:val="Standard"/>
        <w:jc w:val="both"/>
        <w:rPr>
          <w:rFonts w:cs="Arial"/>
          <w:szCs w:val="20"/>
        </w:rPr>
      </w:pPr>
      <w:r>
        <w:rPr>
          <w:rFonts w:cs="Arial"/>
          <w:szCs w:val="20"/>
        </w:rPr>
        <w:t>Papa zgrzewalna posiadająca akt</w:t>
      </w:r>
      <w:r>
        <w:rPr>
          <w:rFonts w:cs="Arial"/>
          <w:szCs w:val="20"/>
        </w:rPr>
        <w:t>ualną Aprobatę Techniczną wydaną przez Instytut Badawczy Dróg i Mostów (IBDiM).</w:t>
      </w:r>
    </w:p>
    <w:p w:rsidR="00B77F00" w:rsidRDefault="00865FA3">
      <w:pPr>
        <w:pStyle w:val="Standard"/>
        <w:jc w:val="both"/>
        <w:rPr>
          <w:rFonts w:cs="Arial"/>
          <w:szCs w:val="20"/>
        </w:rPr>
      </w:pPr>
      <w:r>
        <w:rPr>
          <w:rFonts w:cs="Arial"/>
          <w:szCs w:val="20"/>
        </w:rPr>
        <w:t>Podstawowe cechy fizyczne papy zgrzewalnej:</w:t>
      </w:r>
    </w:p>
    <w:p w:rsidR="00B77F00" w:rsidRDefault="00865FA3">
      <w:pPr>
        <w:pStyle w:val="Standard"/>
        <w:jc w:val="both"/>
        <w:rPr>
          <w:rFonts w:cs="Arial"/>
          <w:szCs w:val="20"/>
        </w:rPr>
      </w:pPr>
      <w:r>
        <w:rPr>
          <w:rFonts w:cs="Arial"/>
          <w:szCs w:val="20"/>
        </w:rPr>
        <w:t>-wytrzymałość na rozciąganie</w:t>
      </w:r>
    </w:p>
    <w:p w:rsidR="00B77F00" w:rsidRDefault="00865FA3">
      <w:pPr>
        <w:pStyle w:val="Standard"/>
        <w:jc w:val="both"/>
        <w:rPr>
          <w:rFonts w:cs="Arial"/>
          <w:szCs w:val="20"/>
        </w:rPr>
      </w:pPr>
      <w:r>
        <w:rPr>
          <w:rFonts w:cs="Arial"/>
          <w:szCs w:val="20"/>
        </w:rPr>
        <w:t>-przesiąkliwość i nasiąkliwość</w:t>
      </w:r>
    </w:p>
    <w:p w:rsidR="00B77F00" w:rsidRDefault="00865FA3">
      <w:pPr>
        <w:pStyle w:val="Standard"/>
        <w:jc w:val="both"/>
        <w:rPr>
          <w:rFonts w:cs="Arial"/>
          <w:szCs w:val="20"/>
        </w:rPr>
      </w:pPr>
      <w:r>
        <w:rPr>
          <w:rFonts w:cs="Arial"/>
          <w:szCs w:val="20"/>
        </w:rPr>
        <w:t>-zachowanie elastyczności w niskiej temperaturze</w:t>
      </w:r>
    </w:p>
    <w:p w:rsidR="00B77F00" w:rsidRDefault="00865FA3">
      <w:pPr>
        <w:pStyle w:val="Standard"/>
        <w:jc w:val="both"/>
        <w:rPr>
          <w:rFonts w:cs="Arial"/>
          <w:szCs w:val="20"/>
        </w:rPr>
      </w:pPr>
      <w:r>
        <w:rPr>
          <w:rFonts w:cs="Arial"/>
          <w:szCs w:val="20"/>
        </w:rPr>
        <w:t>Producent powinien wys</w:t>
      </w:r>
      <w:r>
        <w:rPr>
          <w:rFonts w:cs="Arial"/>
          <w:szCs w:val="20"/>
        </w:rPr>
        <w:t>tawić świadectwo jakości na produkowaną papę, które powinno posiadać klauzulę dopuszczenia do stosowania wystawioną przez IBDiM.</w:t>
      </w:r>
    </w:p>
    <w:p w:rsidR="00B77F00" w:rsidRDefault="00865FA3">
      <w:pPr>
        <w:pStyle w:val="Standard"/>
        <w:jc w:val="both"/>
        <w:rPr>
          <w:rFonts w:cs="Arial"/>
          <w:szCs w:val="20"/>
        </w:rPr>
      </w:pPr>
      <w:r>
        <w:rPr>
          <w:rFonts w:cs="Arial"/>
          <w:szCs w:val="20"/>
        </w:rPr>
        <w:t>Producent na żądanie Zamawiającego ma obowiązek dostarczyć zaaprobowane przez IBDiM "Warunki Techniczne wykonania izolacji", kt</w:t>
      </w:r>
      <w:r>
        <w:rPr>
          <w:rFonts w:cs="Arial"/>
          <w:szCs w:val="20"/>
        </w:rPr>
        <w:t>óre powinny zawierać dane dotyczące:</w:t>
      </w:r>
    </w:p>
    <w:p w:rsidR="00B77F00" w:rsidRDefault="00865FA3">
      <w:pPr>
        <w:pStyle w:val="Standard"/>
        <w:jc w:val="both"/>
        <w:rPr>
          <w:rFonts w:cs="Arial"/>
          <w:szCs w:val="20"/>
        </w:rPr>
      </w:pPr>
      <w:r>
        <w:rPr>
          <w:rFonts w:cs="Arial"/>
          <w:szCs w:val="20"/>
        </w:rPr>
        <w:t>-wymagań dla stosowanych materiałów,</w:t>
      </w:r>
    </w:p>
    <w:p w:rsidR="00B77F00" w:rsidRDefault="00865FA3">
      <w:pPr>
        <w:pStyle w:val="Standard"/>
        <w:jc w:val="both"/>
        <w:rPr>
          <w:rFonts w:cs="Arial"/>
          <w:szCs w:val="20"/>
        </w:rPr>
      </w:pPr>
      <w:r>
        <w:rPr>
          <w:rFonts w:cs="Arial"/>
          <w:szCs w:val="20"/>
        </w:rPr>
        <w:t>-wymagań w zakresie tolerancji wykonawczej,</w:t>
      </w:r>
    </w:p>
    <w:p w:rsidR="00B77F00" w:rsidRDefault="00865FA3">
      <w:pPr>
        <w:pStyle w:val="Standard"/>
        <w:jc w:val="both"/>
        <w:rPr>
          <w:rFonts w:cs="Arial"/>
          <w:szCs w:val="20"/>
        </w:rPr>
      </w:pPr>
      <w:r>
        <w:rPr>
          <w:rFonts w:cs="Arial"/>
          <w:szCs w:val="20"/>
        </w:rPr>
        <w:t>-wymagań dotyczących technologii wykonania,</w:t>
      </w:r>
    </w:p>
    <w:p w:rsidR="00B77F00" w:rsidRDefault="00865FA3">
      <w:pPr>
        <w:pStyle w:val="Standard"/>
        <w:jc w:val="both"/>
        <w:rPr>
          <w:rFonts w:cs="Arial"/>
          <w:szCs w:val="20"/>
        </w:rPr>
      </w:pPr>
      <w:r>
        <w:rPr>
          <w:rFonts w:cs="Arial"/>
          <w:szCs w:val="20"/>
        </w:rPr>
        <w:t>-zakresu i sposobu wykonania badań odbiorczych.</w:t>
      </w:r>
    </w:p>
    <w:p w:rsidR="00B77F00" w:rsidRDefault="00865FA3">
      <w:pPr>
        <w:pStyle w:val="Standard"/>
        <w:jc w:val="both"/>
        <w:rPr>
          <w:rFonts w:cs="Arial"/>
          <w:szCs w:val="20"/>
        </w:rPr>
      </w:pPr>
      <w:r>
        <w:rPr>
          <w:rFonts w:cs="Arial"/>
          <w:szCs w:val="20"/>
        </w:rPr>
        <w:t>2.2.3. Wymagania dotyczące środka gruntującego</w:t>
      </w:r>
    </w:p>
    <w:p w:rsidR="00B77F00" w:rsidRDefault="00865FA3">
      <w:pPr>
        <w:pStyle w:val="Standard"/>
        <w:jc w:val="both"/>
        <w:rPr>
          <w:rFonts w:cs="Arial"/>
          <w:szCs w:val="20"/>
        </w:rPr>
      </w:pPr>
      <w:r>
        <w:rPr>
          <w:rFonts w:cs="Arial"/>
          <w:szCs w:val="20"/>
        </w:rPr>
        <w:t>Do izolacji pomostu obiektu mostowego należy stosować pokrycie bitumiczne spełniające wymagania podane w Tabeli 1.</w:t>
      </w:r>
    </w:p>
    <w:p w:rsidR="00B77F00" w:rsidRDefault="00865FA3">
      <w:pPr>
        <w:pStyle w:val="Standard"/>
        <w:jc w:val="both"/>
        <w:rPr>
          <w:rFonts w:cs="Arial"/>
          <w:szCs w:val="20"/>
        </w:rPr>
      </w:pPr>
      <w:r>
        <w:rPr>
          <w:rFonts w:cs="Arial"/>
          <w:szCs w:val="20"/>
        </w:rPr>
        <w:t>Tabela 1 wymagania dla środka gruntującego</w:t>
      </w:r>
    </w:p>
    <w:tbl>
      <w:tblPr>
        <w:tblW w:w="9630" w:type="dxa"/>
        <w:tblLayout w:type="fixed"/>
        <w:tblCellMar>
          <w:left w:w="10" w:type="dxa"/>
          <w:right w:w="10" w:type="dxa"/>
        </w:tblCellMar>
        <w:tblLook w:val="0000" w:firstRow="0" w:lastRow="0" w:firstColumn="0" w:lastColumn="0" w:noHBand="0" w:noVBand="0"/>
      </w:tblPr>
      <w:tblGrid>
        <w:gridCol w:w="540"/>
        <w:gridCol w:w="5400"/>
        <w:gridCol w:w="3690"/>
      </w:tblGrid>
      <w:tr w:rsidR="00B77F00">
        <w:tblPrEx>
          <w:tblCellMar>
            <w:top w:w="0" w:type="dxa"/>
            <w:bottom w:w="0" w:type="dxa"/>
          </w:tblCellMar>
        </w:tblPrEx>
        <w:tc>
          <w:tcPr>
            <w:tcW w:w="540" w:type="dxa"/>
            <w:tcBorders>
              <w:top w:val="single" w:sz="4" w:space="0" w:color="000000"/>
              <w:left w:val="single" w:sz="4" w:space="0" w:color="000000"/>
              <w:bottom w:val="single" w:sz="4" w:space="0" w:color="000000"/>
            </w:tcBorders>
            <w:shd w:val="clear" w:color="auto" w:fill="E6E6E6"/>
            <w:tcMar>
              <w:top w:w="0" w:type="dxa"/>
              <w:left w:w="70" w:type="dxa"/>
              <w:bottom w:w="0" w:type="dxa"/>
              <w:right w:w="70" w:type="dxa"/>
            </w:tcMar>
          </w:tcPr>
          <w:p w:rsidR="00B77F00" w:rsidRDefault="00865FA3">
            <w:pPr>
              <w:pStyle w:val="Standard"/>
              <w:snapToGrid w:val="0"/>
              <w:jc w:val="both"/>
              <w:rPr>
                <w:rFonts w:cs="Arial"/>
                <w:szCs w:val="20"/>
              </w:rPr>
            </w:pPr>
            <w:r>
              <w:rPr>
                <w:rFonts w:cs="Arial"/>
                <w:szCs w:val="20"/>
              </w:rPr>
              <w:lastRenderedPageBreak/>
              <w:t>Lp.</w:t>
            </w:r>
          </w:p>
        </w:tc>
        <w:tc>
          <w:tcPr>
            <w:tcW w:w="5400" w:type="dxa"/>
            <w:tcBorders>
              <w:top w:val="single" w:sz="4" w:space="0" w:color="000000"/>
              <w:left w:val="single" w:sz="4" w:space="0" w:color="000000"/>
              <w:bottom w:val="single" w:sz="4" w:space="0" w:color="000000"/>
            </w:tcBorders>
            <w:shd w:val="clear" w:color="auto" w:fill="E6E6E6"/>
            <w:tcMar>
              <w:top w:w="0" w:type="dxa"/>
              <w:left w:w="70" w:type="dxa"/>
              <w:bottom w:w="0" w:type="dxa"/>
              <w:right w:w="70" w:type="dxa"/>
            </w:tcMar>
          </w:tcPr>
          <w:p w:rsidR="00B77F00" w:rsidRDefault="00865FA3">
            <w:pPr>
              <w:pStyle w:val="Standard"/>
              <w:snapToGrid w:val="0"/>
              <w:jc w:val="both"/>
              <w:rPr>
                <w:rFonts w:cs="Arial"/>
                <w:szCs w:val="20"/>
              </w:rPr>
            </w:pPr>
            <w:r>
              <w:rPr>
                <w:rFonts w:cs="Arial"/>
                <w:szCs w:val="20"/>
              </w:rPr>
              <w:t>Wyszczególnienie właściwości</w:t>
            </w:r>
          </w:p>
        </w:tc>
        <w:tc>
          <w:tcPr>
            <w:tcW w:w="3690" w:type="dxa"/>
            <w:tcBorders>
              <w:top w:val="single" w:sz="4" w:space="0" w:color="000000"/>
              <w:left w:val="single" w:sz="4" w:space="0" w:color="000000"/>
              <w:bottom w:val="single" w:sz="4" w:space="0" w:color="000000"/>
              <w:right w:val="single" w:sz="4" w:space="0" w:color="000000"/>
            </w:tcBorders>
            <w:shd w:val="clear" w:color="auto" w:fill="E6E6E6"/>
            <w:tcMar>
              <w:top w:w="0" w:type="dxa"/>
              <w:left w:w="70" w:type="dxa"/>
              <w:bottom w:w="0" w:type="dxa"/>
              <w:right w:w="70" w:type="dxa"/>
            </w:tcMar>
          </w:tcPr>
          <w:p w:rsidR="00B77F00" w:rsidRDefault="00865FA3">
            <w:pPr>
              <w:pStyle w:val="Standard"/>
              <w:snapToGrid w:val="0"/>
              <w:jc w:val="both"/>
              <w:rPr>
                <w:rFonts w:cs="Arial"/>
                <w:szCs w:val="20"/>
              </w:rPr>
            </w:pPr>
            <w:r>
              <w:rPr>
                <w:rFonts w:cs="Arial"/>
                <w:szCs w:val="20"/>
              </w:rPr>
              <w:t>Wymagania</w:t>
            </w:r>
          </w:p>
        </w:tc>
      </w:tr>
      <w:tr w:rsidR="00B77F00">
        <w:tblPrEx>
          <w:tblCellMar>
            <w:top w:w="0" w:type="dxa"/>
            <w:bottom w:w="0" w:type="dxa"/>
          </w:tblCellMar>
        </w:tblPrEx>
        <w:tc>
          <w:tcPr>
            <w:tcW w:w="540"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rPr>
                <w:rFonts w:cs="Arial"/>
                <w:szCs w:val="20"/>
              </w:rPr>
            </w:pPr>
            <w:r>
              <w:rPr>
                <w:rFonts w:cs="Arial"/>
                <w:szCs w:val="20"/>
              </w:rPr>
              <w:t>1</w:t>
            </w:r>
          </w:p>
        </w:tc>
        <w:tc>
          <w:tcPr>
            <w:tcW w:w="5400"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rPr>
                <w:rFonts w:cs="Arial"/>
                <w:szCs w:val="20"/>
              </w:rPr>
            </w:pPr>
            <w:r>
              <w:rPr>
                <w:rFonts w:cs="Arial"/>
                <w:szCs w:val="20"/>
              </w:rPr>
              <w:t>Wygląd</w:t>
            </w:r>
          </w:p>
        </w:tc>
        <w:tc>
          <w:tcPr>
            <w:tcW w:w="3690"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B77F00" w:rsidRDefault="00865FA3">
            <w:pPr>
              <w:pStyle w:val="Standard"/>
              <w:snapToGrid w:val="0"/>
              <w:jc w:val="both"/>
              <w:rPr>
                <w:rFonts w:cs="Arial"/>
                <w:szCs w:val="20"/>
              </w:rPr>
            </w:pPr>
            <w:r>
              <w:rPr>
                <w:rFonts w:cs="Arial"/>
                <w:szCs w:val="20"/>
              </w:rPr>
              <w:t>zgodny*</w:t>
            </w:r>
          </w:p>
        </w:tc>
      </w:tr>
      <w:tr w:rsidR="00B77F00">
        <w:tblPrEx>
          <w:tblCellMar>
            <w:top w:w="0" w:type="dxa"/>
            <w:bottom w:w="0" w:type="dxa"/>
          </w:tblCellMar>
        </w:tblPrEx>
        <w:tc>
          <w:tcPr>
            <w:tcW w:w="540"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rPr>
                <w:rFonts w:cs="Arial"/>
                <w:szCs w:val="20"/>
              </w:rPr>
            </w:pPr>
            <w:r>
              <w:rPr>
                <w:rFonts w:cs="Arial"/>
                <w:szCs w:val="20"/>
              </w:rPr>
              <w:t>2</w:t>
            </w:r>
          </w:p>
        </w:tc>
        <w:tc>
          <w:tcPr>
            <w:tcW w:w="5400"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rPr>
                <w:rFonts w:cs="Arial"/>
                <w:szCs w:val="20"/>
              </w:rPr>
            </w:pPr>
            <w:r>
              <w:rPr>
                <w:rFonts w:cs="Arial"/>
                <w:szCs w:val="20"/>
              </w:rPr>
              <w:t>Lepkość mierzona</w:t>
            </w:r>
          </w:p>
        </w:tc>
        <w:tc>
          <w:tcPr>
            <w:tcW w:w="3690"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B77F00" w:rsidRDefault="00865FA3">
            <w:pPr>
              <w:pStyle w:val="Standard"/>
              <w:snapToGrid w:val="0"/>
              <w:jc w:val="both"/>
              <w:rPr>
                <w:rFonts w:cs="Arial"/>
                <w:szCs w:val="20"/>
              </w:rPr>
            </w:pPr>
            <w:r>
              <w:rPr>
                <w:rFonts w:cs="Arial"/>
                <w:szCs w:val="20"/>
              </w:rPr>
              <w:t>15 – 50</w:t>
            </w:r>
          </w:p>
        </w:tc>
      </w:tr>
      <w:tr w:rsidR="00B77F00">
        <w:tblPrEx>
          <w:tblCellMar>
            <w:top w:w="0" w:type="dxa"/>
            <w:bottom w:w="0" w:type="dxa"/>
          </w:tblCellMar>
        </w:tblPrEx>
        <w:tc>
          <w:tcPr>
            <w:tcW w:w="540"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rPr>
                <w:rFonts w:cs="Arial"/>
                <w:szCs w:val="20"/>
              </w:rPr>
            </w:pPr>
            <w:r>
              <w:rPr>
                <w:rFonts w:cs="Arial"/>
                <w:szCs w:val="20"/>
              </w:rPr>
              <w:t>3</w:t>
            </w:r>
          </w:p>
        </w:tc>
        <w:tc>
          <w:tcPr>
            <w:tcW w:w="5400"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rPr>
                <w:rFonts w:cs="Arial"/>
                <w:szCs w:val="20"/>
              </w:rPr>
            </w:pPr>
            <w:r>
              <w:rPr>
                <w:rFonts w:cs="Arial"/>
                <w:szCs w:val="20"/>
              </w:rPr>
              <w:t>Wysuszenie po 12 godzinach</w:t>
            </w:r>
          </w:p>
        </w:tc>
        <w:tc>
          <w:tcPr>
            <w:tcW w:w="3690"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B77F00" w:rsidRDefault="00865FA3">
            <w:pPr>
              <w:pStyle w:val="Standard"/>
              <w:snapToGrid w:val="0"/>
              <w:jc w:val="both"/>
              <w:rPr>
                <w:rFonts w:cs="Arial"/>
                <w:szCs w:val="20"/>
              </w:rPr>
            </w:pPr>
            <w:r>
              <w:rPr>
                <w:rFonts w:cs="Arial"/>
                <w:szCs w:val="20"/>
              </w:rPr>
              <w:t>pozytywne</w:t>
            </w:r>
          </w:p>
        </w:tc>
      </w:tr>
      <w:tr w:rsidR="00B77F00">
        <w:tblPrEx>
          <w:tblCellMar>
            <w:top w:w="0" w:type="dxa"/>
            <w:bottom w:w="0" w:type="dxa"/>
          </w:tblCellMar>
        </w:tblPrEx>
        <w:tc>
          <w:tcPr>
            <w:tcW w:w="540"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rPr>
                <w:rFonts w:cs="Arial"/>
                <w:szCs w:val="20"/>
              </w:rPr>
            </w:pPr>
            <w:r>
              <w:rPr>
                <w:rFonts w:cs="Arial"/>
                <w:szCs w:val="20"/>
              </w:rPr>
              <w:t>4</w:t>
            </w:r>
          </w:p>
        </w:tc>
        <w:tc>
          <w:tcPr>
            <w:tcW w:w="5400"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rPr>
                <w:rFonts w:cs="Arial"/>
                <w:szCs w:val="20"/>
              </w:rPr>
            </w:pPr>
            <w:r>
              <w:rPr>
                <w:rFonts w:cs="Arial"/>
                <w:szCs w:val="20"/>
              </w:rPr>
              <w:t>Zawartość wody</w:t>
            </w:r>
          </w:p>
        </w:tc>
        <w:tc>
          <w:tcPr>
            <w:tcW w:w="3690"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B77F00" w:rsidRDefault="00865FA3">
            <w:pPr>
              <w:pStyle w:val="Standard"/>
              <w:snapToGrid w:val="0"/>
              <w:jc w:val="both"/>
              <w:rPr>
                <w:rFonts w:cs="Arial"/>
                <w:szCs w:val="20"/>
              </w:rPr>
            </w:pPr>
            <w:r>
              <w:rPr>
                <w:rFonts w:cs="Arial"/>
                <w:szCs w:val="20"/>
              </w:rPr>
              <w:t>^ 0,5%</w:t>
            </w:r>
          </w:p>
        </w:tc>
      </w:tr>
    </w:tbl>
    <w:p w:rsidR="00B77F00" w:rsidRDefault="00865FA3">
      <w:pPr>
        <w:pStyle w:val="Standard"/>
        <w:jc w:val="both"/>
        <w:rPr>
          <w:rFonts w:cs="Arial"/>
          <w:szCs w:val="20"/>
        </w:rPr>
      </w:pPr>
      <w:r>
        <w:rPr>
          <w:rFonts w:cs="Arial"/>
          <w:szCs w:val="20"/>
        </w:rPr>
        <w:t>* Roztwór gruntujący musi być jednorodną cieczą koloru czarnego, bez zawiesin, osadów czy zanieczyszczeń mechanicznych</w:t>
      </w:r>
    </w:p>
    <w:p w:rsidR="00B77F00" w:rsidRDefault="00865FA3">
      <w:pPr>
        <w:pStyle w:val="Standard"/>
        <w:jc w:val="both"/>
        <w:rPr>
          <w:rFonts w:cs="Arial"/>
          <w:szCs w:val="20"/>
        </w:rPr>
      </w:pPr>
      <w:r>
        <w:rPr>
          <w:rFonts w:cs="Arial"/>
          <w:szCs w:val="20"/>
        </w:rPr>
        <w:t>2.2.4. Wymagania dotyczące papy zgrzewalnej</w:t>
      </w:r>
    </w:p>
    <w:p w:rsidR="00B77F00" w:rsidRDefault="00865FA3">
      <w:pPr>
        <w:pStyle w:val="Standard"/>
        <w:jc w:val="both"/>
        <w:rPr>
          <w:rFonts w:cs="Arial"/>
          <w:szCs w:val="20"/>
        </w:rPr>
      </w:pPr>
      <w:r>
        <w:rPr>
          <w:rFonts w:cs="Arial"/>
          <w:szCs w:val="20"/>
        </w:rPr>
        <w:t>Należy stosować papę zgrzewaln</w:t>
      </w:r>
      <w:r>
        <w:rPr>
          <w:rFonts w:cs="Arial"/>
          <w:szCs w:val="20"/>
        </w:rPr>
        <w:t xml:space="preserve">ą, która nie wymaga stosowania warstwy ochronnej izolacji.  </w:t>
      </w:r>
    </w:p>
    <w:p w:rsidR="00B77F00" w:rsidRDefault="00865FA3">
      <w:pPr>
        <w:pStyle w:val="Standard"/>
        <w:jc w:val="both"/>
        <w:rPr>
          <w:rFonts w:cs="Arial"/>
          <w:szCs w:val="20"/>
        </w:rPr>
      </w:pPr>
      <w:r>
        <w:rPr>
          <w:rFonts w:cs="Arial"/>
          <w:szCs w:val="20"/>
        </w:rPr>
        <w:t>Papa zgrzewalna posiadająca aktualną Aprobatę Techniczną wydaną przez Instytut Badawczy Dróg i Mostów (IBDM).</w:t>
      </w:r>
    </w:p>
    <w:p w:rsidR="00B77F00" w:rsidRDefault="00865FA3">
      <w:pPr>
        <w:pStyle w:val="Standard"/>
        <w:jc w:val="both"/>
        <w:rPr>
          <w:rFonts w:cs="Arial"/>
          <w:szCs w:val="20"/>
        </w:rPr>
      </w:pPr>
      <w:r>
        <w:rPr>
          <w:rFonts w:cs="Arial"/>
          <w:szCs w:val="20"/>
        </w:rPr>
        <w:t>Podstawowe cechy fizyczne papy zgrzewalnej zgodne z tabelą 2</w:t>
      </w:r>
    </w:p>
    <w:p w:rsidR="00B77F00" w:rsidRDefault="00865FA3">
      <w:pPr>
        <w:pStyle w:val="Standard"/>
        <w:jc w:val="both"/>
        <w:rPr>
          <w:rFonts w:cs="Arial"/>
          <w:szCs w:val="20"/>
        </w:rPr>
      </w:pPr>
      <w:r>
        <w:rPr>
          <w:rFonts w:cs="Arial"/>
          <w:szCs w:val="20"/>
        </w:rPr>
        <w:t xml:space="preserve">Producent powinien </w:t>
      </w:r>
      <w:r>
        <w:rPr>
          <w:rFonts w:cs="Arial"/>
          <w:szCs w:val="20"/>
        </w:rPr>
        <w:t>wystawić świadectwo jakości na produkowaną papę.</w:t>
      </w:r>
    </w:p>
    <w:p w:rsidR="00B77F00" w:rsidRDefault="00865FA3">
      <w:pPr>
        <w:pStyle w:val="Standard"/>
        <w:jc w:val="both"/>
        <w:rPr>
          <w:rFonts w:cs="Arial"/>
          <w:szCs w:val="20"/>
        </w:rPr>
      </w:pPr>
      <w:r>
        <w:rPr>
          <w:rFonts w:cs="Arial"/>
          <w:szCs w:val="20"/>
        </w:rPr>
        <w:t>Producent na żądanie Zamawiającego ma obowiązek dostarczyć zaaprobowane przez IBDiM "Warunki Techniczne wykonania izolacji", które powinny zawierać dane dotyczące:</w:t>
      </w:r>
    </w:p>
    <w:p w:rsidR="00B77F00" w:rsidRDefault="00865FA3">
      <w:pPr>
        <w:pStyle w:val="Standard"/>
        <w:jc w:val="both"/>
        <w:rPr>
          <w:rFonts w:cs="Arial"/>
          <w:szCs w:val="20"/>
        </w:rPr>
      </w:pPr>
      <w:r>
        <w:rPr>
          <w:rFonts w:cs="Arial"/>
          <w:szCs w:val="20"/>
        </w:rPr>
        <w:t>-wymagań dla stosowanych materiałów,</w:t>
      </w:r>
    </w:p>
    <w:p w:rsidR="00B77F00" w:rsidRDefault="00865FA3">
      <w:pPr>
        <w:pStyle w:val="Standard"/>
        <w:jc w:val="both"/>
        <w:rPr>
          <w:rFonts w:cs="Arial"/>
          <w:szCs w:val="20"/>
        </w:rPr>
      </w:pPr>
      <w:r>
        <w:rPr>
          <w:rFonts w:cs="Arial"/>
          <w:szCs w:val="20"/>
        </w:rPr>
        <w:t>-wymag</w:t>
      </w:r>
      <w:r>
        <w:rPr>
          <w:rFonts w:cs="Arial"/>
          <w:szCs w:val="20"/>
        </w:rPr>
        <w:t>ań w zakresie tolerancji wykonawczej,</w:t>
      </w:r>
    </w:p>
    <w:p w:rsidR="00B77F00" w:rsidRDefault="00865FA3">
      <w:pPr>
        <w:pStyle w:val="Standard"/>
        <w:jc w:val="both"/>
        <w:rPr>
          <w:rFonts w:cs="Arial"/>
          <w:szCs w:val="20"/>
        </w:rPr>
      </w:pPr>
      <w:r>
        <w:rPr>
          <w:rFonts w:cs="Arial"/>
          <w:szCs w:val="20"/>
        </w:rPr>
        <w:t>-wymagań dotyczących technologii wykonania,</w:t>
      </w:r>
    </w:p>
    <w:p w:rsidR="00B77F00" w:rsidRDefault="00865FA3">
      <w:pPr>
        <w:pStyle w:val="Standard"/>
        <w:jc w:val="both"/>
        <w:rPr>
          <w:rFonts w:cs="Arial"/>
          <w:szCs w:val="20"/>
        </w:rPr>
      </w:pPr>
      <w:r>
        <w:rPr>
          <w:rFonts w:cs="Arial"/>
          <w:szCs w:val="20"/>
        </w:rPr>
        <w:t>-zakresu i sposobu wykonania badań odbiorczych.</w:t>
      </w:r>
    </w:p>
    <w:p w:rsidR="00B77F00" w:rsidRDefault="00865FA3">
      <w:pPr>
        <w:pStyle w:val="Standard"/>
        <w:jc w:val="both"/>
        <w:rPr>
          <w:rFonts w:cs="Arial"/>
          <w:szCs w:val="20"/>
        </w:rPr>
      </w:pPr>
      <w:r>
        <w:rPr>
          <w:rFonts w:cs="Arial"/>
          <w:szCs w:val="20"/>
        </w:rPr>
        <w:t>Papa powinna odpowiadać wymaganiom podanym w poniższej tabeli.</w:t>
      </w:r>
    </w:p>
    <w:p w:rsidR="00B77F00" w:rsidRDefault="00865FA3">
      <w:pPr>
        <w:pStyle w:val="Standard"/>
        <w:jc w:val="both"/>
        <w:rPr>
          <w:rFonts w:cs="Arial"/>
          <w:szCs w:val="20"/>
        </w:rPr>
      </w:pPr>
      <w:r>
        <w:rPr>
          <w:rFonts w:cs="Arial"/>
          <w:szCs w:val="20"/>
        </w:rPr>
        <w:t>Tabela 2. Wymagania dla papy zgrzewalnej</w:t>
      </w:r>
    </w:p>
    <w:tbl>
      <w:tblPr>
        <w:tblW w:w="9910" w:type="dxa"/>
        <w:tblLayout w:type="fixed"/>
        <w:tblCellMar>
          <w:left w:w="10" w:type="dxa"/>
          <w:right w:w="10" w:type="dxa"/>
        </w:tblCellMar>
        <w:tblLook w:val="0000" w:firstRow="0" w:lastRow="0" w:firstColumn="0" w:lastColumn="0" w:noHBand="0" w:noVBand="0"/>
      </w:tblPr>
      <w:tblGrid>
        <w:gridCol w:w="540"/>
        <w:gridCol w:w="3600"/>
        <w:gridCol w:w="2340"/>
        <w:gridCol w:w="3430"/>
      </w:tblGrid>
      <w:tr w:rsidR="00B77F00">
        <w:tblPrEx>
          <w:tblCellMar>
            <w:top w:w="0" w:type="dxa"/>
            <w:bottom w:w="0" w:type="dxa"/>
          </w:tblCellMar>
        </w:tblPrEx>
        <w:trPr>
          <w:tblHeader/>
        </w:trPr>
        <w:tc>
          <w:tcPr>
            <w:tcW w:w="540" w:type="dxa"/>
            <w:tcBorders>
              <w:top w:val="single" w:sz="8" w:space="0" w:color="000000"/>
              <w:left w:val="single" w:sz="8" w:space="0" w:color="000000"/>
              <w:bottom w:val="single" w:sz="8" w:space="0" w:color="000000"/>
            </w:tcBorders>
            <w:shd w:val="clear" w:color="auto" w:fill="E6E6E6"/>
            <w:tcMar>
              <w:top w:w="0" w:type="dxa"/>
              <w:left w:w="108" w:type="dxa"/>
              <w:bottom w:w="0" w:type="dxa"/>
              <w:right w:w="108" w:type="dxa"/>
            </w:tcMar>
          </w:tcPr>
          <w:p w:rsidR="00B77F00" w:rsidRDefault="00865FA3">
            <w:pPr>
              <w:pStyle w:val="Standard"/>
              <w:snapToGrid w:val="0"/>
              <w:jc w:val="both"/>
              <w:rPr>
                <w:rFonts w:cs="Arial"/>
                <w:szCs w:val="20"/>
              </w:rPr>
            </w:pPr>
            <w:r>
              <w:rPr>
                <w:rFonts w:cs="Arial"/>
                <w:szCs w:val="20"/>
              </w:rPr>
              <w:t>Lp.</w:t>
            </w:r>
          </w:p>
        </w:tc>
        <w:tc>
          <w:tcPr>
            <w:tcW w:w="3600" w:type="dxa"/>
            <w:tcBorders>
              <w:top w:val="single" w:sz="8" w:space="0" w:color="000000"/>
              <w:left w:val="single" w:sz="4" w:space="0" w:color="000000"/>
              <w:bottom w:val="single" w:sz="8" w:space="0" w:color="000000"/>
            </w:tcBorders>
            <w:shd w:val="clear" w:color="auto" w:fill="E6E6E6"/>
            <w:tcMar>
              <w:top w:w="0" w:type="dxa"/>
              <w:left w:w="108" w:type="dxa"/>
              <w:bottom w:w="0" w:type="dxa"/>
              <w:right w:w="108" w:type="dxa"/>
            </w:tcMar>
          </w:tcPr>
          <w:p w:rsidR="00B77F00" w:rsidRDefault="00865FA3">
            <w:pPr>
              <w:pStyle w:val="Standard"/>
              <w:snapToGrid w:val="0"/>
              <w:jc w:val="both"/>
              <w:rPr>
                <w:rFonts w:cs="Arial"/>
                <w:szCs w:val="20"/>
              </w:rPr>
            </w:pPr>
            <w:r>
              <w:rPr>
                <w:rFonts w:cs="Arial"/>
                <w:szCs w:val="20"/>
              </w:rPr>
              <w:t>Właściwość</w:t>
            </w:r>
          </w:p>
        </w:tc>
        <w:tc>
          <w:tcPr>
            <w:tcW w:w="2340" w:type="dxa"/>
            <w:tcBorders>
              <w:top w:val="single" w:sz="8" w:space="0" w:color="000000"/>
              <w:left w:val="single" w:sz="4" w:space="0" w:color="000000"/>
              <w:bottom w:val="single" w:sz="8" w:space="0" w:color="000000"/>
            </w:tcBorders>
            <w:shd w:val="clear" w:color="auto" w:fill="E6E6E6"/>
            <w:tcMar>
              <w:top w:w="0" w:type="dxa"/>
              <w:left w:w="108" w:type="dxa"/>
              <w:bottom w:w="0" w:type="dxa"/>
              <w:right w:w="108" w:type="dxa"/>
            </w:tcMar>
          </w:tcPr>
          <w:p w:rsidR="00B77F00" w:rsidRDefault="00865FA3">
            <w:pPr>
              <w:pStyle w:val="Standard"/>
              <w:snapToGrid w:val="0"/>
              <w:jc w:val="both"/>
              <w:rPr>
                <w:rFonts w:cs="Arial"/>
                <w:szCs w:val="20"/>
              </w:rPr>
            </w:pPr>
            <w:r>
              <w:rPr>
                <w:rFonts w:cs="Arial"/>
                <w:szCs w:val="20"/>
              </w:rPr>
              <w:t>Jednost</w:t>
            </w:r>
            <w:r>
              <w:rPr>
                <w:rFonts w:cs="Arial"/>
                <w:szCs w:val="20"/>
              </w:rPr>
              <w:t>ka</w:t>
            </w:r>
          </w:p>
        </w:tc>
        <w:tc>
          <w:tcPr>
            <w:tcW w:w="3430" w:type="dxa"/>
            <w:tcBorders>
              <w:top w:val="single" w:sz="8" w:space="0" w:color="000000"/>
              <w:left w:val="single" w:sz="4" w:space="0" w:color="000000"/>
              <w:bottom w:val="single" w:sz="8" w:space="0" w:color="000000"/>
              <w:right w:val="single" w:sz="8" w:space="0" w:color="000000"/>
            </w:tcBorders>
            <w:shd w:val="clear" w:color="auto" w:fill="E6E6E6"/>
            <w:tcMar>
              <w:top w:w="0" w:type="dxa"/>
              <w:left w:w="108" w:type="dxa"/>
              <w:bottom w:w="0" w:type="dxa"/>
              <w:right w:w="108" w:type="dxa"/>
            </w:tcMar>
          </w:tcPr>
          <w:p w:rsidR="00B77F00" w:rsidRDefault="00865FA3">
            <w:pPr>
              <w:pStyle w:val="Standard"/>
              <w:snapToGrid w:val="0"/>
              <w:jc w:val="both"/>
              <w:rPr>
                <w:rFonts w:cs="Arial"/>
                <w:szCs w:val="20"/>
              </w:rPr>
            </w:pPr>
            <w:r>
              <w:rPr>
                <w:rFonts w:cs="Arial"/>
                <w:szCs w:val="20"/>
              </w:rPr>
              <w:t>Wymaganie</w:t>
            </w:r>
          </w:p>
        </w:tc>
      </w:tr>
      <w:tr w:rsidR="00B77F00">
        <w:tblPrEx>
          <w:tblCellMar>
            <w:top w:w="0" w:type="dxa"/>
            <w:bottom w:w="0" w:type="dxa"/>
          </w:tblCellMar>
        </w:tblPrEx>
        <w:tc>
          <w:tcPr>
            <w:tcW w:w="540" w:type="dxa"/>
            <w:tcBorders>
              <w:top w:val="single" w:sz="8" w:space="0" w:color="000000"/>
              <w:left w:val="single" w:sz="8" w:space="0" w:color="000000"/>
              <w:bottom w:val="single" w:sz="4" w:space="0" w:color="000000"/>
            </w:tcBorders>
            <w:tcMar>
              <w:top w:w="0" w:type="dxa"/>
              <w:left w:w="108" w:type="dxa"/>
              <w:bottom w:w="0" w:type="dxa"/>
              <w:right w:w="108" w:type="dxa"/>
            </w:tcMar>
          </w:tcPr>
          <w:p w:rsidR="00B77F00" w:rsidRDefault="00865FA3">
            <w:pPr>
              <w:pStyle w:val="Standard"/>
              <w:snapToGrid w:val="0"/>
              <w:jc w:val="both"/>
              <w:rPr>
                <w:rFonts w:cs="Arial"/>
                <w:szCs w:val="20"/>
              </w:rPr>
            </w:pPr>
            <w:r>
              <w:rPr>
                <w:rFonts w:cs="Arial"/>
                <w:szCs w:val="20"/>
              </w:rPr>
              <w:t>1</w:t>
            </w:r>
          </w:p>
        </w:tc>
        <w:tc>
          <w:tcPr>
            <w:tcW w:w="3600" w:type="dxa"/>
            <w:tcBorders>
              <w:top w:val="single" w:sz="8"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Standard"/>
              <w:snapToGrid w:val="0"/>
              <w:jc w:val="both"/>
              <w:rPr>
                <w:rFonts w:cs="Arial"/>
                <w:szCs w:val="20"/>
              </w:rPr>
            </w:pPr>
            <w:r>
              <w:rPr>
                <w:rFonts w:cs="Arial"/>
                <w:szCs w:val="20"/>
              </w:rPr>
              <w:t>Wygląd</w:t>
            </w:r>
          </w:p>
        </w:tc>
        <w:tc>
          <w:tcPr>
            <w:tcW w:w="2340" w:type="dxa"/>
            <w:tcBorders>
              <w:top w:val="single" w:sz="8"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Standard"/>
              <w:snapToGrid w:val="0"/>
              <w:jc w:val="both"/>
              <w:rPr>
                <w:rFonts w:cs="Arial"/>
                <w:szCs w:val="20"/>
              </w:rPr>
            </w:pPr>
            <w:r>
              <w:rPr>
                <w:rFonts w:cs="Arial"/>
                <w:szCs w:val="20"/>
              </w:rPr>
              <w:t xml:space="preserve"> </w:t>
            </w:r>
          </w:p>
        </w:tc>
        <w:tc>
          <w:tcPr>
            <w:tcW w:w="3430" w:type="dxa"/>
            <w:tcBorders>
              <w:top w:val="single" w:sz="8" w:space="0" w:color="000000"/>
              <w:left w:val="single" w:sz="4" w:space="0" w:color="000000"/>
              <w:bottom w:val="single" w:sz="4" w:space="0" w:color="000000"/>
              <w:right w:val="single" w:sz="8" w:space="0" w:color="000000"/>
            </w:tcBorders>
            <w:tcMar>
              <w:top w:w="0" w:type="dxa"/>
              <w:left w:w="108" w:type="dxa"/>
              <w:bottom w:w="0" w:type="dxa"/>
              <w:right w:w="108" w:type="dxa"/>
            </w:tcMar>
            <w:vAlign w:val="center"/>
          </w:tcPr>
          <w:p w:rsidR="00B77F00" w:rsidRDefault="00865FA3">
            <w:pPr>
              <w:pStyle w:val="Standard"/>
              <w:snapToGrid w:val="0"/>
              <w:jc w:val="both"/>
              <w:rPr>
                <w:rFonts w:cs="Arial"/>
                <w:szCs w:val="20"/>
              </w:rPr>
            </w:pPr>
            <w:r>
              <w:rPr>
                <w:rFonts w:cs="Arial"/>
                <w:szCs w:val="20"/>
              </w:rPr>
              <w:t>zgodny*</w:t>
            </w:r>
          </w:p>
        </w:tc>
      </w:tr>
      <w:tr w:rsidR="00B77F00">
        <w:tblPrEx>
          <w:tblCellMar>
            <w:top w:w="0" w:type="dxa"/>
            <w:bottom w:w="0" w:type="dxa"/>
          </w:tblCellMar>
        </w:tblPrEx>
        <w:tc>
          <w:tcPr>
            <w:tcW w:w="540" w:type="dxa"/>
            <w:tcBorders>
              <w:top w:val="single" w:sz="4" w:space="0" w:color="000000"/>
              <w:left w:val="single" w:sz="8" w:space="0" w:color="000000"/>
              <w:bottom w:val="single" w:sz="4" w:space="0" w:color="000000"/>
            </w:tcBorders>
            <w:tcMar>
              <w:top w:w="0" w:type="dxa"/>
              <w:left w:w="108" w:type="dxa"/>
              <w:bottom w:w="0" w:type="dxa"/>
              <w:right w:w="108" w:type="dxa"/>
            </w:tcMar>
          </w:tcPr>
          <w:p w:rsidR="00B77F00" w:rsidRDefault="00865FA3">
            <w:pPr>
              <w:pStyle w:val="Standard"/>
              <w:snapToGrid w:val="0"/>
              <w:jc w:val="both"/>
              <w:rPr>
                <w:rFonts w:cs="Arial"/>
                <w:szCs w:val="20"/>
              </w:rPr>
            </w:pPr>
            <w:r>
              <w:rPr>
                <w:rFonts w:cs="Arial"/>
                <w:szCs w:val="20"/>
              </w:rPr>
              <w:t>2</w:t>
            </w:r>
          </w:p>
        </w:tc>
        <w:tc>
          <w:tcPr>
            <w:tcW w:w="360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Standard"/>
              <w:snapToGrid w:val="0"/>
              <w:jc w:val="both"/>
              <w:rPr>
                <w:rFonts w:cs="Arial"/>
                <w:szCs w:val="20"/>
              </w:rPr>
            </w:pPr>
            <w:r>
              <w:rPr>
                <w:rFonts w:cs="Arial"/>
                <w:szCs w:val="20"/>
              </w:rPr>
              <w:t>Długość arkusza papy</w:t>
            </w:r>
          </w:p>
        </w:tc>
        <w:tc>
          <w:tcPr>
            <w:tcW w:w="2340"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Standard"/>
              <w:snapToGrid w:val="0"/>
              <w:jc w:val="both"/>
              <w:rPr>
                <w:rFonts w:cs="Arial"/>
                <w:szCs w:val="20"/>
              </w:rPr>
            </w:pPr>
            <w:r>
              <w:rPr>
                <w:rFonts w:cs="Arial"/>
                <w:szCs w:val="20"/>
              </w:rPr>
              <w:t>mm</w:t>
            </w:r>
          </w:p>
        </w:tc>
        <w:tc>
          <w:tcPr>
            <w:tcW w:w="3430" w:type="dxa"/>
            <w:tcBorders>
              <w:top w:val="single" w:sz="4" w:space="0" w:color="000000"/>
              <w:left w:val="single" w:sz="4" w:space="0" w:color="000000"/>
              <w:bottom w:val="single" w:sz="4" w:space="0" w:color="000000"/>
              <w:right w:val="single" w:sz="8" w:space="0" w:color="000000"/>
            </w:tcBorders>
            <w:tcMar>
              <w:top w:w="0" w:type="dxa"/>
              <w:left w:w="108" w:type="dxa"/>
              <w:bottom w:w="0" w:type="dxa"/>
              <w:right w:w="108" w:type="dxa"/>
            </w:tcMar>
            <w:vAlign w:val="center"/>
          </w:tcPr>
          <w:p w:rsidR="00B77F00" w:rsidRDefault="00865FA3">
            <w:pPr>
              <w:pStyle w:val="Standard"/>
              <w:snapToGrid w:val="0"/>
              <w:jc w:val="both"/>
              <w:rPr>
                <w:rFonts w:cs="Arial"/>
                <w:szCs w:val="20"/>
              </w:rPr>
            </w:pPr>
            <w:r>
              <w:rPr>
                <w:rFonts w:cs="Arial"/>
                <w:szCs w:val="20"/>
              </w:rPr>
              <w:t>L ±1% L</w:t>
            </w:r>
          </w:p>
        </w:tc>
      </w:tr>
      <w:tr w:rsidR="00B77F00">
        <w:tblPrEx>
          <w:tblCellMar>
            <w:top w:w="0" w:type="dxa"/>
            <w:bottom w:w="0" w:type="dxa"/>
          </w:tblCellMar>
        </w:tblPrEx>
        <w:tc>
          <w:tcPr>
            <w:tcW w:w="540" w:type="dxa"/>
            <w:tcBorders>
              <w:top w:val="single" w:sz="4" w:space="0" w:color="000000"/>
              <w:left w:val="single" w:sz="8" w:space="0" w:color="000000"/>
              <w:bottom w:val="single" w:sz="4" w:space="0" w:color="000000"/>
            </w:tcBorders>
            <w:tcMar>
              <w:top w:w="0" w:type="dxa"/>
              <w:left w:w="108" w:type="dxa"/>
              <w:bottom w:w="0" w:type="dxa"/>
              <w:right w:w="108" w:type="dxa"/>
            </w:tcMar>
          </w:tcPr>
          <w:p w:rsidR="00B77F00" w:rsidRDefault="00865FA3">
            <w:pPr>
              <w:pStyle w:val="Standard"/>
              <w:snapToGrid w:val="0"/>
              <w:jc w:val="both"/>
              <w:rPr>
                <w:rFonts w:cs="Arial"/>
                <w:szCs w:val="20"/>
              </w:rPr>
            </w:pPr>
            <w:r>
              <w:rPr>
                <w:rFonts w:cs="Arial"/>
                <w:szCs w:val="20"/>
              </w:rPr>
              <w:t>3</w:t>
            </w:r>
          </w:p>
        </w:tc>
        <w:tc>
          <w:tcPr>
            <w:tcW w:w="360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Standard"/>
              <w:snapToGrid w:val="0"/>
              <w:jc w:val="both"/>
              <w:rPr>
                <w:rFonts w:cs="Arial"/>
                <w:szCs w:val="20"/>
              </w:rPr>
            </w:pPr>
            <w:r>
              <w:rPr>
                <w:rFonts w:cs="Arial"/>
                <w:szCs w:val="20"/>
              </w:rPr>
              <w:t>Szerokość arkusza papy</w:t>
            </w:r>
          </w:p>
        </w:tc>
        <w:tc>
          <w:tcPr>
            <w:tcW w:w="2340"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Standard"/>
              <w:snapToGrid w:val="0"/>
              <w:jc w:val="both"/>
              <w:rPr>
                <w:rFonts w:cs="Arial"/>
                <w:szCs w:val="20"/>
              </w:rPr>
            </w:pPr>
            <w:r>
              <w:rPr>
                <w:rFonts w:cs="Arial"/>
                <w:szCs w:val="20"/>
              </w:rPr>
              <w:t>cm</w:t>
            </w:r>
          </w:p>
        </w:tc>
        <w:tc>
          <w:tcPr>
            <w:tcW w:w="3430" w:type="dxa"/>
            <w:tcBorders>
              <w:top w:val="single" w:sz="4" w:space="0" w:color="000000"/>
              <w:left w:val="single" w:sz="4" w:space="0" w:color="000000"/>
              <w:bottom w:val="single" w:sz="4" w:space="0" w:color="000000"/>
              <w:right w:val="single" w:sz="8" w:space="0" w:color="000000"/>
            </w:tcBorders>
            <w:tcMar>
              <w:top w:w="0" w:type="dxa"/>
              <w:left w:w="108" w:type="dxa"/>
              <w:bottom w:w="0" w:type="dxa"/>
              <w:right w:w="108" w:type="dxa"/>
            </w:tcMar>
            <w:vAlign w:val="center"/>
          </w:tcPr>
          <w:p w:rsidR="00B77F00" w:rsidRDefault="00865FA3">
            <w:pPr>
              <w:pStyle w:val="Standard"/>
              <w:snapToGrid w:val="0"/>
              <w:jc w:val="both"/>
              <w:rPr>
                <w:rFonts w:cs="Arial"/>
                <w:szCs w:val="20"/>
              </w:rPr>
            </w:pPr>
            <w:r>
              <w:rPr>
                <w:rFonts w:cs="Arial"/>
                <w:szCs w:val="20"/>
              </w:rPr>
              <w:t>S ±1% S</w:t>
            </w:r>
          </w:p>
        </w:tc>
      </w:tr>
      <w:tr w:rsidR="00B77F00">
        <w:tblPrEx>
          <w:tblCellMar>
            <w:top w:w="0" w:type="dxa"/>
            <w:bottom w:w="0" w:type="dxa"/>
          </w:tblCellMar>
        </w:tblPrEx>
        <w:tc>
          <w:tcPr>
            <w:tcW w:w="540" w:type="dxa"/>
            <w:tcBorders>
              <w:top w:val="single" w:sz="4" w:space="0" w:color="000000"/>
              <w:left w:val="single" w:sz="8" w:space="0" w:color="000000"/>
              <w:bottom w:val="single" w:sz="4" w:space="0" w:color="000000"/>
            </w:tcBorders>
            <w:tcMar>
              <w:top w:w="0" w:type="dxa"/>
              <w:left w:w="108" w:type="dxa"/>
              <w:bottom w:w="0" w:type="dxa"/>
              <w:right w:w="108" w:type="dxa"/>
            </w:tcMar>
          </w:tcPr>
          <w:p w:rsidR="00B77F00" w:rsidRDefault="00865FA3">
            <w:pPr>
              <w:pStyle w:val="Standard"/>
              <w:snapToGrid w:val="0"/>
              <w:jc w:val="both"/>
              <w:rPr>
                <w:rFonts w:cs="Arial"/>
                <w:szCs w:val="20"/>
              </w:rPr>
            </w:pPr>
            <w:r>
              <w:rPr>
                <w:rFonts w:cs="Arial"/>
                <w:szCs w:val="20"/>
              </w:rPr>
              <w:t>4</w:t>
            </w:r>
          </w:p>
        </w:tc>
        <w:tc>
          <w:tcPr>
            <w:tcW w:w="360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Standard"/>
              <w:snapToGrid w:val="0"/>
              <w:jc w:val="both"/>
              <w:rPr>
                <w:rFonts w:cs="Arial"/>
                <w:szCs w:val="20"/>
              </w:rPr>
            </w:pPr>
            <w:r>
              <w:rPr>
                <w:rFonts w:cs="Arial"/>
                <w:szCs w:val="20"/>
              </w:rPr>
              <w:t>Grubość materiału</w:t>
            </w:r>
          </w:p>
          <w:p w:rsidR="00B77F00" w:rsidRDefault="00865FA3">
            <w:pPr>
              <w:pStyle w:val="Standard"/>
              <w:jc w:val="both"/>
              <w:rPr>
                <w:rFonts w:cs="Arial"/>
                <w:szCs w:val="20"/>
              </w:rPr>
            </w:pPr>
            <w:r>
              <w:rPr>
                <w:rFonts w:cs="Arial"/>
                <w:szCs w:val="20"/>
              </w:rPr>
              <w:t>- grubość warstwy bitumu pod osnową</w:t>
            </w:r>
          </w:p>
        </w:tc>
        <w:tc>
          <w:tcPr>
            <w:tcW w:w="2340"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Standard"/>
              <w:snapToGrid w:val="0"/>
              <w:jc w:val="both"/>
              <w:rPr>
                <w:rFonts w:cs="Arial"/>
                <w:szCs w:val="20"/>
              </w:rPr>
            </w:pPr>
            <w:r>
              <w:rPr>
                <w:rFonts w:cs="Arial"/>
                <w:szCs w:val="20"/>
              </w:rPr>
              <w:t>mm</w:t>
            </w:r>
          </w:p>
          <w:p w:rsidR="00B77F00" w:rsidRDefault="00865FA3">
            <w:pPr>
              <w:pStyle w:val="Standard"/>
              <w:jc w:val="both"/>
              <w:rPr>
                <w:rFonts w:cs="Arial"/>
                <w:szCs w:val="20"/>
              </w:rPr>
            </w:pPr>
            <w:r>
              <w:rPr>
                <w:rFonts w:cs="Arial"/>
                <w:szCs w:val="20"/>
              </w:rPr>
              <w:t>mm</w:t>
            </w:r>
          </w:p>
        </w:tc>
        <w:tc>
          <w:tcPr>
            <w:tcW w:w="3430" w:type="dxa"/>
            <w:tcBorders>
              <w:top w:val="single" w:sz="4" w:space="0" w:color="000000"/>
              <w:left w:val="single" w:sz="4" w:space="0" w:color="000000"/>
              <w:bottom w:val="single" w:sz="4" w:space="0" w:color="000000"/>
              <w:right w:val="single" w:sz="8" w:space="0" w:color="000000"/>
            </w:tcBorders>
            <w:tcMar>
              <w:top w:w="0" w:type="dxa"/>
              <w:left w:w="108" w:type="dxa"/>
              <w:bottom w:w="0" w:type="dxa"/>
              <w:right w:w="108" w:type="dxa"/>
            </w:tcMar>
            <w:vAlign w:val="center"/>
          </w:tcPr>
          <w:p w:rsidR="00B77F00" w:rsidRDefault="00865FA3">
            <w:pPr>
              <w:pStyle w:val="Standard"/>
              <w:snapToGrid w:val="0"/>
              <w:jc w:val="both"/>
              <w:rPr>
                <w:rFonts w:cs="Arial"/>
                <w:szCs w:val="20"/>
              </w:rPr>
            </w:pPr>
            <w:r>
              <w:rPr>
                <w:rFonts w:cs="Arial"/>
                <w:szCs w:val="20"/>
              </w:rPr>
              <w:t>≥ 5</w:t>
            </w:r>
          </w:p>
          <w:p w:rsidR="00B77F00" w:rsidRDefault="00865FA3">
            <w:pPr>
              <w:pStyle w:val="Standard"/>
              <w:jc w:val="both"/>
              <w:rPr>
                <w:rFonts w:cs="Arial"/>
                <w:szCs w:val="20"/>
              </w:rPr>
            </w:pPr>
            <w:r>
              <w:rPr>
                <w:rFonts w:cs="Arial"/>
                <w:szCs w:val="20"/>
              </w:rPr>
              <w:t>≥ 3</w:t>
            </w:r>
          </w:p>
        </w:tc>
      </w:tr>
      <w:tr w:rsidR="00B77F00">
        <w:tblPrEx>
          <w:tblCellMar>
            <w:top w:w="0" w:type="dxa"/>
            <w:bottom w:w="0" w:type="dxa"/>
          </w:tblCellMar>
        </w:tblPrEx>
        <w:tc>
          <w:tcPr>
            <w:tcW w:w="540" w:type="dxa"/>
            <w:tcBorders>
              <w:top w:val="single" w:sz="4" w:space="0" w:color="000000"/>
              <w:left w:val="single" w:sz="8" w:space="0" w:color="000000"/>
              <w:bottom w:val="single" w:sz="4" w:space="0" w:color="000000"/>
            </w:tcBorders>
            <w:tcMar>
              <w:top w:w="0" w:type="dxa"/>
              <w:left w:w="108" w:type="dxa"/>
              <w:bottom w:w="0" w:type="dxa"/>
              <w:right w:w="108" w:type="dxa"/>
            </w:tcMar>
          </w:tcPr>
          <w:p w:rsidR="00B77F00" w:rsidRDefault="00865FA3">
            <w:pPr>
              <w:pStyle w:val="Standard"/>
              <w:snapToGrid w:val="0"/>
              <w:jc w:val="both"/>
              <w:rPr>
                <w:rFonts w:cs="Arial"/>
                <w:szCs w:val="20"/>
              </w:rPr>
            </w:pPr>
            <w:r>
              <w:rPr>
                <w:rFonts w:cs="Arial"/>
                <w:szCs w:val="20"/>
              </w:rPr>
              <w:t>5</w:t>
            </w:r>
          </w:p>
        </w:tc>
        <w:tc>
          <w:tcPr>
            <w:tcW w:w="360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Standard"/>
              <w:snapToGrid w:val="0"/>
              <w:jc w:val="both"/>
              <w:rPr>
                <w:rFonts w:cs="Arial"/>
                <w:szCs w:val="20"/>
              </w:rPr>
            </w:pPr>
            <w:r>
              <w:rPr>
                <w:rFonts w:cs="Arial"/>
                <w:szCs w:val="20"/>
              </w:rPr>
              <w:t>Giętkość w niskich temperaturach</w:t>
            </w:r>
          </w:p>
        </w:tc>
        <w:tc>
          <w:tcPr>
            <w:tcW w:w="2340"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Standard"/>
              <w:snapToGrid w:val="0"/>
              <w:jc w:val="both"/>
              <w:rPr>
                <w:rFonts w:cs="Arial"/>
                <w:szCs w:val="20"/>
              </w:rPr>
            </w:pPr>
            <w:r>
              <w:rPr>
                <w:rFonts w:cs="Arial"/>
                <w:szCs w:val="20"/>
              </w:rPr>
              <w:t>Temp. [ºC]</w:t>
            </w:r>
          </w:p>
          <w:p w:rsidR="00B77F00" w:rsidRDefault="00865FA3">
            <w:pPr>
              <w:pStyle w:val="Standard"/>
              <w:jc w:val="both"/>
              <w:rPr>
                <w:rFonts w:cs="Arial"/>
                <w:szCs w:val="20"/>
              </w:rPr>
            </w:pPr>
            <w:r>
              <w:rPr>
                <w:rFonts w:cs="Arial"/>
                <w:szCs w:val="20"/>
              </w:rPr>
              <w:t>śr. Wałka  [mm]</w:t>
            </w:r>
          </w:p>
        </w:tc>
        <w:tc>
          <w:tcPr>
            <w:tcW w:w="3430" w:type="dxa"/>
            <w:tcBorders>
              <w:top w:val="single" w:sz="4" w:space="0" w:color="000000"/>
              <w:left w:val="single" w:sz="4" w:space="0" w:color="000000"/>
              <w:bottom w:val="single" w:sz="4" w:space="0" w:color="000000"/>
              <w:right w:val="single" w:sz="8" w:space="0" w:color="000000"/>
            </w:tcBorders>
            <w:tcMar>
              <w:top w:w="0" w:type="dxa"/>
              <w:left w:w="108" w:type="dxa"/>
              <w:bottom w:w="0" w:type="dxa"/>
              <w:right w:w="108" w:type="dxa"/>
            </w:tcMar>
            <w:vAlign w:val="center"/>
          </w:tcPr>
          <w:p w:rsidR="00B77F00" w:rsidRDefault="00865FA3">
            <w:pPr>
              <w:pStyle w:val="Standard"/>
              <w:snapToGrid w:val="0"/>
              <w:jc w:val="both"/>
              <w:rPr>
                <w:rFonts w:cs="Arial"/>
                <w:szCs w:val="20"/>
              </w:rPr>
            </w:pPr>
            <w:r>
              <w:rPr>
                <w:rFonts w:cs="Arial"/>
                <w:szCs w:val="20"/>
              </w:rPr>
              <w:t xml:space="preserve"> - 5,0</w:t>
            </w:r>
          </w:p>
          <w:p w:rsidR="00B77F00" w:rsidRDefault="00865FA3">
            <w:pPr>
              <w:pStyle w:val="Standard"/>
              <w:jc w:val="both"/>
              <w:rPr>
                <w:rFonts w:cs="Arial"/>
                <w:szCs w:val="20"/>
              </w:rPr>
            </w:pPr>
            <w:r>
              <w:rPr>
                <w:rFonts w:cs="Arial"/>
                <w:szCs w:val="20"/>
              </w:rPr>
              <w:t>30</w:t>
            </w:r>
          </w:p>
        </w:tc>
      </w:tr>
      <w:tr w:rsidR="00B77F00">
        <w:tblPrEx>
          <w:tblCellMar>
            <w:top w:w="0" w:type="dxa"/>
            <w:bottom w:w="0" w:type="dxa"/>
          </w:tblCellMar>
        </w:tblPrEx>
        <w:tc>
          <w:tcPr>
            <w:tcW w:w="540" w:type="dxa"/>
            <w:tcBorders>
              <w:top w:val="single" w:sz="4" w:space="0" w:color="000000"/>
              <w:left w:val="single" w:sz="8" w:space="0" w:color="000000"/>
              <w:bottom w:val="single" w:sz="4" w:space="0" w:color="000000"/>
            </w:tcBorders>
            <w:tcMar>
              <w:top w:w="0" w:type="dxa"/>
              <w:left w:w="108" w:type="dxa"/>
              <w:bottom w:w="0" w:type="dxa"/>
              <w:right w:w="108" w:type="dxa"/>
            </w:tcMar>
          </w:tcPr>
          <w:p w:rsidR="00B77F00" w:rsidRDefault="00865FA3">
            <w:pPr>
              <w:pStyle w:val="Standard"/>
              <w:snapToGrid w:val="0"/>
              <w:jc w:val="both"/>
              <w:rPr>
                <w:rFonts w:cs="Arial"/>
                <w:szCs w:val="20"/>
              </w:rPr>
            </w:pPr>
            <w:r>
              <w:rPr>
                <w:rFonts w:cs="Arial"/>
                <w:szCs w:val="20"/>
              </w:rPr>
              <w:t>6</w:t>
            </w:r>
          </w:p>
        </w:tc>
        <w:tc>
          <w:tcPr>
            <w:tcW w:w="360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Standard"/>
              <w:snapToGrid w:val="0"/>
              <w:jc w:val="both"/>
              <w:rPr>
                <w:rFonts w:cs="Arial"/>
                <w:szCs w:val="20"/>
              </w:rPr>
            </w:pPr>
            <w:r>
              <w:rPr>
                <w:rFonts w:cs="Arial"/>
                <w:szCs w:val="20"/>
              </w:rPr>
              <w:t>Przesiąkliwość</w:t>
            </w:r>
          </w:p>
        </w:tc>
        <w:tc>
          <w:tcPr>
            <w:tcW w:w="2340"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Standard"/>
              <w:snapToGrid w:val="0"/>
              <w:jc w:val="both"/>
              <w:rPr>
                <w:rFonts w:cs="Arial"/>
                <w:szCs w:val="20"/>
              </w:rPr>
            </w:pPr>
            <w:r>
              <w:rPr>
                <w:rFonts w:cs="Arial"/>
                <w:szCs w:val="20"/>
              </w:rPr>
              <w:t>MPa</w:t>
            </w:r>
          </w:p>
        </w:tc>
        <w:tc>
          <w:tcPr>
            <w:tcW w:w="3430" w:type="dxa"/>
            <w:tcBorders>
              <w:top w:val="single" w:sz="4" w:space="0" w:color="000000"/>
              <w:left w:val="single" w:sz="4" w:space="0" w:color="000000"/>
              <w:bottom w:val="single" w:sz="4" w:space="0" w:color="000000"/>
              <w:right w:val="single" w:sz="8" w:space="0" w:color="000000"/>
            </w:tcBorders>
            <w:tcMar>
              <w:top w:w="0" w:type="dxa"/>
              <w:left w:w="108" w:type="dxa"/>
              <w:bottom w:w="0" w:type="dxa"/>
              <w:right w:w="108" w:type="dxa"/>
            </w:tcMar>
            <w:vAlign w:val="center"/>
          </w:tcPr>
          <w:p w:rsidR="00B77F00" w:rsidRDefault="00865FA3">
            <w:pPr>
              <w:pStyle w:val="Standard"/>
              <w:snapToGrid w:val="0"/>
              <w:jc w:val="both"/>
              <w:rPr>
                <w:rFonts w:cs="Arial"/>
                <w:szCs w:val="20"/>
              </w:rPr>
            </w:pPr>
            <w:r>
              <w:rPr>
                <w:rFonts w:cs="Arial"/>
                <w:szCs w:val="20"/>
              </w:rPr>
              <w:t>0,5</w:t>
            </w:r>
          </w:p>
        </w:tc>
      </w:tr>
      <w:tr w:rsidR="00B77F00">
        <w:tblPrEx>
          <w:tblCellMar>
            <w:top w:w="0" w:type="dxa"/>
            <w:bottom w:w="0" w:type="dxa"/>
          </w:tblCellMar>
        </w:tblPrEx>
        <w:tc>
          <w:tcPr>
            <w:tcW w:w="540" w:type="dxa"/>
            <w:tcBorders>
              <w:top w:val="single" w:sz="4" w:space="0" w:color="000000"/>
              <w:left w:val="single" w:sz="8" w:space="0" w:color="000000"/>
              <w:bottom w:val="single" w:sz="4" w:space="0" w:color="000000"/>
            </w:tcBorders>
            <w:tcMar>
              <w:top w:w="0" w:type="dxa"/>
              <w:left w:w="108" w:type="dxa"/>
              <w:bottom w:w="0" w:type="dxa"/>
              <w:right w:w="108" w:type="dxa"/>
            </w:tcMar>
          </w:tcPr>
          <w:p w:rsidR="00B77F00" w:rsidRDefault="00865FA3">
            <w:pPr>
              <w:pStyle w:val="Standard"/>
              <w:snapToGrid w:val="0"/>
              <w:jc w:val="both"/>
              <w:rPr>
                <w:rFonts w:cs="Arial"/>
                <w:szCs w:val="20"/>
              </w:rPr>
            </w:pPr>
            <w:r>
              <w:rPr>
                <w:rFonts w:cs="Arial"/>
                <w:szCs w:val="20"/>
              </w:rPr>
              <w:t>7</w:t>
            </w:r>
          </w:p>
        </w:tc>
        <w:tc>
          <w:tcPr>
            <w:tcW w:w="360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Standard"/>
              <w:snapToGrid w:val="0"/>
              <w:jc w:val="both"/>
              <w:rPr>
                <w:rFonts w:cs="Arial"/>
                <w:szCs w:val="20"/>
              </w:rPr>
            </w:pPr>
            <w:r>
              <w:rPr>
                <w:rFonts w:cs="Arial"/>
                <w:szCs w:val="20"/>
              </w:rPr>
              <w:t>Nasiąkliwość</w:t>
            </w:r>
          </w:p>
        </w:tc>
        <w:tc>
          <w:tcPr>
            <w:tcW w:w="2340"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Standard"/>
              <w:snapToGrid w:val="0"/>
              <w:jc w:val="both"/>
              <w:rPr>
                <w:rFonts w:cs="Arial"/>
                <w:szCs w:val="20"/>
              </w:rPr>
            </w:pPr>
            <w:r>
              <w:rPr>
                <w:rFonts w:cs="Arial"/>
                <w:szCs w:val="20"/>
              </w:rPr>
              <w:t>%</w:t>
            </w:r>
          </w:p>
        </w:tc>
        <w:tc>
          <w:tcPr>
            <w:tcW w:w="3430" w:type="dxa"/>
            <w:tcBorders>
              <w:top w:val="single" w:sz="4" w:space="0" w:color="000000"/>
              <w:left w:val="single" w:sz="4" w:space="0" w:color="000000"/>
              <w:bottom w:val="single" w:sz="4" w:space="0" w:color="000000"/>
              <w:right w:val="single" w:sz="8" w:space="0" w:color="000000"/>
            </w:tcBorders>
            <w:tcMar>
              <w:top w:w="0" w:type="dxa"/>
              <w:left w:w="108" w:type="dxa"/>
              <w:bottom w:w="0" w:type="dxa"/>
              <w:right w:w="108" w:type="dxa"/>
            </w:tcMar>
            <w:vAlign w:val="center"/>
          </w:tcPr>
          <w:p w:rsidR="00B77F00" w:rsidRDefault="00865FA3">
            <w:pPr>
              <w:pStyle w:val="Standard"/>
              <w:snapToGrid w:val="0"/>
              <w:jc w:val="both"/>
              <w:rPr>
                <w:rFonts w:cs="Arial"/>
                <w:szCs w:val="20"/>
              </w:rPr>
            </w:pPr>
            <w:r>
              <w:rPr>
                <w:rFonts w:cs="Arial"/>
                <w:szCs w:val="20"/>
              </w:rPr>
              <w:t>0,5</w:t>
            </w:r>
          </w:p>
        </w:tc>
      </w:tr>
      <w:tr w:rsidR="00B77F00">
        <w:tblPrEx>
          <w:tblCellMar>
            <w:top w:w="0" w:type="dxa"/>
            <w:bottom w:w="0" w:type="dxa"/>
          </w:tblCellMar>
        </w:tblPrEx>
        <w:tc>
          <w:tcPr>
            <w:tcW w:w="540" w:type="dxa"/>
            <w:tcBorders>
              <w:top w:val="single" w:sz="4" w:space="0" w:color="000000"/>
              <w:left w:val="single" w:sz="8" w:space="0" w:color="000000"/>
              <w:bottom w:val="single" w:sz="4" w:space="0" w:color="000000"/>
            </w:tcBorders>
            <w:tcMar>
              <w:top w:w="0" w:type="dxa"/>
              <w:left w:w="108" w:type="dxa"/>
              <w:bottom w:w="0" w:type="dxa"/>
              <w:right w:w="108" w:type="dxa"/>
            </w:tcMar>
          </w:tcPr>
          <w:p w:rsidR="00B77F00" w:rsidRDefault="00865FA3">
            <w:pPr>
              <w:pStyle w:val="Standard"/>
              <w:snapToGrid w:val="0"/>
              <w:jc w:val="both"/>
              <w:rPr>
                <w:rFonts w:cs="Arial"/>
                <w:szCs w:val="20"/>
              </w:rPr>
            </w:pPr>
            <w:r>
              <w:rPr>
                <w:rFonts w:cs="Arial"/>
                <w:szCs w:val="20"/>
              </w:rPr>
              <w:t>8</w:t>
            </w:r>
          </w:p>
        </w:tc>
        <w:tc>
          <w:tcPr>
            <w:tcW w:w="360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Standard"/>
              <w:snapToGrid w:val="0"/>
              <w:jc w:val="both"/>
              <w:rPr>
                <w:rFonts w:cs="Arial"/>
                <w:szCs w:val="20"/>
              </w:rPr>
            </w:pPr>
            <w:r>
              <w:rPr>
                <w:rFonts w:cs="Arial"/>
                <w:szCs w:val="20"/>
              </w:rPr>
              <w:t>Odporność na działanie wysokiej temperatury (bez spłynięć)</w:t>
            </w:r>
          </w:p>
        </w:tc>
        <w:tc>
          <w:tcPr>
            <w:tcW w:w="2340"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Standard"/>
              <w:snapToGrid w:val="0"/>
              <w:jc w:val="both"/>
              <w:rPr>
                <w:rFonts w:cs="Arial"/>
                <w:szCs w:val="20"/>
              </w:rPr>
            </w:pPr>
            <w:r>
              <w:rPr>
                <w:rFonts w:cs="Arial"/>
                <w:szCs w:val="20"/>
              </w:rPr>
              <w:t>°C / h</w:t>
            </w:r>
          </w:p>
        </w:tc>
        <w:tc>
          <w:tcPr>
            <w:tcW w:w="3430" w:type="dxa"/>
            <w:tcBorders>
              <w:top w:val="single" w:sz="4" w:space="0" w:color="000000"/>
              <w:left w:val="single" w:sz="4" w:space="0" w:color="000000"/>
              <w:bottom w:val="single" w:sz="4" w:space="0" w:color="000000"/>
              <w:right w:val="single" w:sz="8" w:space="0" w:color="000000"/>
            </w:tcBorders>
            <w:tcMar>
              <w:top w:w="0" w:type="dxa"/>
              <w:left w:w="108" w:type="dxa"/>
              <w:bottom w:w="0" w:type="dxa"/>
              <w:right w:w="108" w:type="dxa"/>
            </w:tcMar>
            <w:vAlign w:val="center"/>
          </w:tcPr>
          <w:p w:rsidR="00B77F00" w:rsidRDefault="00865FA3">
            <w:pPr>
              <w:pStyle w:val="Standard"/>
              <w:snapToGrid w:val="0"/>
              <w:jc w:val="both"/>
              <w:rPr>
                <w:rFonts w:cs="Arial"/>
                <w:szCs w:val="20"/>
              </w:rPr>
            </w:pPr>
            <w:r>
              <w:rPr>
                <w:rFonts w:cs="Arial"/>
                <w:szCs w:val="20"/>
              </w:rPr>
              <w:t>100°C / 2h</w:t>
            </w:r>
          </w:p>
        </w:tc>
      </w:tr>
      <w:tr w:rsidR="00B77F00">
        <w:tblPrEx>
          <w:tblCellMar>
            <w:top w:w="0" w:type="dxa"/>
            <w:bottom w:w="0" w:type="dxa"/>
          </w:tblCellMar>
        </w:tblPrEx>
        <w:tc>
          <w:tcPr>
            <w:tcW w:w="540" w:type="dxa"/>
            <w:tcBorders>
              <w:top w:val="single" w:sz="4" w:space="0" w:color="000000"/>
              <w:left w:val="single" w:sz="8" w:space="0" w:color="000000"/>
              <w:bottom w:val="single" w:sz="4" w:space="0" w:color="000000"/>
            </w:tcBorders>
            <w:tcMar>
              <w:top w:w="0" w:type="dxa"/>
              <w:left w:w="108" w:type="dxa"/>
              <w:bottom w:w="0" w:type="dxa"/>
              <w:right w:w="108" w:type="dxa"/>
            </w:tcMar>
          </w:tcPr>
          <w:p w:rsidR="00B77F00" w:rsidRDefault="00865FA3">
            <w:pPr>
              <w:pStyle w:val="Standard"/>
              <w:snapToGrid w:val="0"/>
              <w:jc w:val="both"/>
              <w:rPr>
                <w:rFonts w:cs="Arial"/>
                <w:szCs w:val="20"/>
              </w:rPr>
            </w:pPr>
            <w:r>
              <w:rPr>
                <w:rFonts w:cs="Arial"/>
                <w:szCs w:val="20"/>
              </w:rPr>
              <w:t>9</w:t>
            </w:r>
          </w:p>
        </w:tc>
        <w:tc>
          <w:tcPr>
            <w:tcW w:w="360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Standard"/>
              <w:snapToGrid w:val="0"/>
              <w:jc w:val="both"/>
              <w:rPr>
                <w:rFonts w:cs="Arial"/>
                <w:szCs w:val="20"/>
              </w:rPr>
            </w:pPr>
            <w:r>
              <w:rPr>
                <w:rFonts w:cs="Arial"/>
                <w:szCs w:val="20"/>
              </w:rPr>
              <w:t>Siły zrywające przy rozciąganiu</w:t>
            </w:r>
          </w:p>
          <w:p w:rsidR="00B77F00" w:rsidRDefault="00865FA3">
            <w:pPr>
              <w:pStyle w:val="Standard"/>
              <w:jc w:val="both"/>
              <w:rPr>
                <w:rFonts w:cs="Arial"/>
                <w:szCs w:val="20"/>
              </w:rPr>
            </w:pPr>
            <w:r>
              <w:rPr>
                <w:rFonts w:cs="Arial"/>
                <w:szCs w:val="20"/>
              </w:rPr>
              <w:t>- wzdłuż</w:t>
            </w:r>
          </w:p>
          <w:p w:rsidR="00B77F00" w:rsidRDefault="00865FA3">
            <w:pPr>
              <w:pStyle w:val="Standard"/>
              <w:jc w:val="both"/>
              <w:rPr>
                <w:rFonts w:cs="Arial"/>
                <w:szCs w:val="20"/>
              </w:rPr>
            </w:pPr>
            <w:r>
              <w:rPr>
                <w:rFonts w:cs="Arial"/>
                <w:szCs w:val="20"/>
              </w:rPr>
              <w:t>- w poprzek</w:t>
            </w:r>
          </w:p>
        </w:tc>
        <w:tc>
          <w:tcPr>
            <w:tcW w:w="2340"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Standard"/>
              <w:snapToGrid w:val="0"/>
              <w:jc w:val="both"/>
              <w:rPr>
                <w:rFonts w:cs="Arial"/>
                <w:szCs w:val="20"/>
              </w:rPr>
            </w:pPr>
            <w:r>
              <w:rPr>
                <w:rFonts w:cs="Arial"/>
                <w:szCs w:val="20"/>
              </w:rPr>
              <w:t>N</w:t>
            </w:r>
          </w:p>
        </w:tc>
        <w:tc>
          <w:tcPr>
            <w:tcW w:w="3430" w:type="dxa"/>
            <w:tcBorders>
              <w:top w:val="single" w:sz="4" w:space="0" w:color="000000"/>
              <w:left w:val="single" w:sz="4" w:space="0" w:color="000000"/>
              <w:bottom w:val="single" w:sz="4" w:space="0" w:color="000000"/>
              <w:right w:val="single" w:sz="8" w:space="0" w:color="000000"/>
            </w:tcBorders>
            <w:tcMar>
              <w:top w:w="0" w:type="dxa"/>
              <w:left w:w="108" w:type="dxa"/>
              <w:bottom w:w="0" w:type="dxa"/>
              <w:right w:w="108" w:type="dxa"/>
            </w:tcMar>
            <w:vAlign w:val="center"/>
          </w:tcPr>
          <w:p w:rsidR="00B77F00" w:rsidRDefault="00865FA3">
            <w:pPr>
              <w:pStyle w:val="Standard"/>
              <w:snapToGrid w:val="0"/>
              <w:jc w:val="both"/>
              <w:rPr>
                <w:rFonts w:cs="Arial"/>
                <w:szCs w:val="20"/>
              </w:rPr>
            </w:pPr>
            <w:r>
              <w:rPr>
                <w:rFonts w:cs="Arial"/>
                <w:szCs w:val="20"/>
              </w:rPr>
              <w:t xml:space="preserve"> 800</w:t>
            </w:r>
          </w:p>
          <w:p w:rsidR="00B77F00" w:rsidRDefault="00865FA3">
            <w:pPr>
              <w:pStyle w:val="Standard"/>
              <w:jc w:val="both"/>
              <w:rPr>
                <w:rFonts w:cs="Arial"/>
                <w:szCs w:val="20"/>
              </w:rPr>
            </w:pPr>
            <w:r>
              <w:rPr>
                <w:rFonts w:cs="Arial"/>
                <w:szCs w:val="20"/>
              </w:rPr>
              <w:t xml:space="preserve"> 800</w:t>
            </w:r>
          </w:p>
        </w:tc>
      </w:tr>
      <w:tr w:rsidR="00B77F00">
        <w:tblPrEx>
          <w:tblCellMar>
            <w:top w:w="0" w:type="dxa"/>
            <w:bottom w:w="0" w:type="dxa"/>
          </w:tblCellMar>
        </w:tblPrEx>
        <w:tc>
          <w:tcPr>
            <w:tcW w:w="540" w:type="dxa"/>
            <w:tcBorders>
              <w:top w:val="single" w:sz="4" w:space="0" w:color="000000"/>
              <w:left w:val="single" w:sz="8" w:space="0" w:color="000000"/>
              <w:bottom w:val="single" w:sz="4" w:space="0" w:color="000000"/>
            </w:tcBorders>
            <w:tcMar>
              <w:top w:w="0" w:type="dxa"/>
              <w:left w:w="108" w:type="dxa"/>
              <w:bottom w:w="0" w:type="dxa"/>
              <w:right w:w="108" w:type="dxa"/>
            </w:tcMar>
          </w:tcPr>
          <w:p w:rsidR="00B77F00" w:rsidRDefault="00865FA3">
            <w:pPr>
              <w:pStyle w:val="Standard"/>
              <w:snapToGrid w:val="0"/>
              <w:jc w:val="both"/>
              <w:rPr>
                <w:rFonts w:cs="Arial"/>
                <w:szCs w:val="20"/>
              </w:rPr>
            </w:pPr>
            <w:r>
              <w:rPr>
                <w:rFonts w:cs="Arial"/>
                <w:szCs w:val="20"/>
              </w:rPr>
              <w:t>10</w:t>
            </w:r>
          </w:p>
        </w:tc>
        <w:tc>
          <w:tcPr>
            <w:tcW w:w="360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Standard"/>
              <w:snapToGrid w:val="0"/>
              <w:jc w:val="both"/>
              <w:rPr>
                <w:rFonts w:cs="Arial"/>
                <w:szCs w:val="20"/>
              </w:rPr>
            </w:pPr>
            <w:r>
              <w:rPr>
                <w:rFonts w:cs="Arial"/>
                <w:szCs w:val="20"/>
              </w:rPr>
              <w:t>Wydłużenie przy zerwaniu</w:t>
            </w:r>
          </w:p>
          <w:p w:rsidR="00B77F00" w:rsidRDefault="00865FA3">
            <w:pPr>
              <w:pStyle w:val="Standard"/>
              <w:jc w:val="both"/>
              <w:rPr>
                <w:rFonts w:cs="Arial"/>
                <w:szCs w:val="20"/>
              </w:rPr>
            </w:pPr>
            <w:r>
              <w:rPr>
                <w:rFonts w:cs="Arial"/>
                <w:szCs w:val="20"/>
              </w:rPr>
              <w:t>- wzdłuż</w:t>
            </w:r>
          </w:p>
          <w:p w:rsidR="00B77F00" w:rsidRDefault="00865FA3">
            <w:pPr>
              <w:pStyle w:val="Standard"/>
              <w:jc w:val="both"/>
              <w:rPr>
                <w:rFonts w:cs="Arial"/>
                <w:szCs w:val="20"/>
              </w:rPr>
            </w:pPr>
            <w:r>
              <w:rPr>
                <w:rFonts w:cs="Arial"/>
                <w:szCs w:val="20"/>
              </w:rPr>
              <w:t>- w poprzek</w:t>
            </w:r>
          </w:p>
        </w:tc>
        <w:tc>
          <w:tcPr>
            <w:tcW w:w="2340"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Standard"/>
              <w:snapToGrid w:val="0"/>
              <w:jc w:val="both"/>
              <w:rPr>
                <w:rFonts w:cs="Arial"/>
                <w:szCs w:val="20"/>
              </w:rPr>
            </w:pPr>
            <w:r>
              <w:rPr>
                <w:rFonts w:cs="Arial"/>
                <w:szCs w:val="20"/>
              </w:rPr>
              <w:t>%</w:t>
            </w:r>
          </w:p>
        </w:tc>
        <w:tc>
          <w:tcPr>
            <w:tcW w:w="3430" w:type="dxa"/>
            <w:tcBorders>
              <w:top w:val="single" w:sz="4" w:space="0" w:color="000000"/>
              <w:left w:val="single" w:sz="4" w:space="0" w:color="000000"/>
              <w:bottom w:val="single" w:sz="4" w:space="0" w:color="000000"/>
              <w:right w:val="single" w:sz="8" w:space="0" w:color="000000"/>
            </w:tcBorders>
            <w:tcMar>
              <w:top w:w="0" w:type="dxa"/>
              <w:left w:w="108" w:type="dxa"/>
              <w:bottom w:w="0" w:type="dxa"/>
              <w:right w:w="108" w:type="dxa"/>
            </w:tcMar>
            <w:vAlign w:val="center"/>
          </w:tcPr>
          <w:p w:rsidR="00B77F00" w:rsidRDefault="00865FA3">
            <w:pPr>
              <w:pStyle w:val="Standard"/>
              <w:snapToGrid w:val="0"/>
              <w:jc w:val="both"/>
              <w:rPr>
                <w:rFonts w:cs="Arial"/>
                <w:szCs w:val="20"/>
              </w:rPr>
            </w:pPr>
            <w:r>
              <w:rPr>
                <w:rFonts w:cs="Arial"/>
                <w:szCs w:val="20"/>
              </w:rPr>
              <w:t xml:space="preserve"> 30</w:t>
            </w:r>
          </w:p>
          <w:p w:rsidR="00B77F00" w:rsidRDefault="00865FA3">
            <w:pPr>
              <w:pStyle w:val="Standard"/>
              <w:jc w:val="both"/>
              <w:rPr>
                <w:rFonts w:cs="Arial"/>
                <w:szCs w:val="20"/>
              </w:rPr>
            </w:pPr>
            <w:r>
              <w:rPr>
                <w:rFonts w:cs="Arial"/>
                <w:szCs w:val="20"/>
              </w:rPr>
              <w:t xml:space="preserve"> 30</w:t>
            </w:r>
          </w:p>
        </w:tc>
      </w:tr>
      <w:tr w:rsidR="00B77F00">
        <w:tblPrEx>
          <w:tblCellMar>
            <w:top w:w="0" w:type="dxa"/>
            <w:bottom w:w="0" w:type="dxa"/>
          </w:tblCellMar>
        </w:tblPrEx>
        <w:tc>
          <w:tcPr>
            <w:tcW w:w="540" w:type="dxa"/>
            <w:tcBorders>
              <w:top w:val="single" w:sz="4" w:space="0" w:color="000000"/>
              <w:left w:val="single" w:sz="8" w:space="0" w:color="000000"/>
              <w:bottom w:val="single" w:sz="4" w:space="0" w:color="000000"/>
            </w:tcBorders>
            <w:tcMar>
              <w:top w:w="0" w:type="dxa"/>
              <w:left w:w="108" w:type="dxa"/>
              <w:bottom w:w="0" w:type="dxa"/>
              <w:right w:w="108" w:type="dxa"/>
            </w:tcMar>
          </w:tcPr>
          <w:p w:rsidR="00B77F00" w:rsidRDefault="00865FA3">
            <w:pPr>
              <w:pStyle w:val="Standard"/>
              <w:snapToGrid w:val="0"/>
              <w:jc w:val="both"/>
              <w:rPr>
                <w:rFonts w:cs="Arial"/>
                <w:szCs w:val="20"/>
              </w:rPr>
            </w:pPr>
            <w:r>
              <w:rPr>
                <w:rFonts w:cs="Arial"/>
                <w:szCs w:val="20"/>
              </w:rPr>
              <w:t>11</w:t>
            </w:r>
          </w:p>
        </w:tc>
        <w:tc>
          <w:tcPr>
            <w:tcW w:w="3600" w:type="dxa"/>
            <w:tcBorders>
              <w:top w:val="single" w:sz="4" w:space="0" w:color="000000"/>
              <w:left w:val="single" w:sz="4" w:space="0" w:color="000000"/>
              <w:bottom w:val="single" w:sz="4" w:space="0" w:color="000000"/>
            </w:tcBorders>
            <w:tcMar>
              <w:top w:w="0" w:type="dxa"/>
              <w:left w:w="108" w:type="dxa"/>
              <w:bottom w:w="0" w:type="dxa"/>
              <w:right w:w="108" w:type="dxa"/>
            </w:tcMar>
          </w:tcPr>
          <w:p w:rsidR="00B77F00" w:rsidRDefault="00865FA3">
            <w:pPr>
              <w:pStyle w:val="Standard"/>
              <w:snapToGrid w:val="0"/>
              <w:jc w:val="both"/>
              <w:rPr>
                <w:rFonts w:cs="Arial"/>
                <w:szCs w:val="20"/>
              </w:rPr>
            </w:pPr>
            <w:r>
              <w:rPr>
                <w:rFonts w:cs="Arial"/>
                <w:szCs w:val="20"/>
              </w:rPr>
              <w:t>Wytrzymałość na rozdarcie</w:t>
            </w:r>
          </w:p>
          <w:p w:rsidR="00B77F00" w:rsidRDefault="00865FA3">
            <w:pPr>
              <w:pStyle w:val="Standard"/>
              <w:jc w:val="both"/>
              <w:rPr>
                <w:rFonts w:cs="Arial"/>
                <w:szCs w:val="20"/>
              </w:rPr>
            </w:pPr>
            <w:r>
              <w:rPr>
                <w:rFonts w:cs="Arial"/>
                <w:szCs w:val="20"/>
              </w:rPr>
              <w:t>- wzdłuż</w:t>
            </w:r>
          </w:p>
          <w:p w:rsidR="00B77F00" w:rsidRDefault="00865FA3">
            <w:pPr>
              <w:pStyle w:val="Standard"/>
              <w:jc w:val="both"/>
              <w:rPr>
                <w:rFonts w:cs="Arial"/>
                <w:szCs w:val="20"/>
              </w:rPr>
            </w:pPr>
            <w:r>
              <w:rPr>
                <w:rFonts w:cs="Arial"/>
                <w:szCs w:val="20"/>
              </w:rPr>
              <w:t>- w poprzek</w:t>
            </w:r>
          </w:p>
        </w:tc>
        <w:tc>
          <w:tcPr>
            <w:tcW w:w="2340"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rsidR="00B77F00" w:rsidRDefault="00865FA3">
            <w:pPr>
              <w:pStyle w:val="Standard"/>
              <w:snapToGrid w:val="0"/>
              <w:jc w:val="both"/>
              <w:rPr>
                <w:rFonts w:cs="Arial"/>
                <w:szCs w:val="20"/>
              </w:rPr>
            </w:pPr>
            <w:r>
              <w:rPr>
                <w:rFonts w:cs="Arial"/>
                <w:szCs w:val="20"/>
              </w:rPr>
              <w:t>N</w:t>
            </w:r>
          </w:p>
        </w:tc>
        <w:tc>
          <w:tcPr>
            <w:tcW w:w="3430" w:type="dxa"/>
            <w:tcBorders>
              <w:top w:val="single" w:sz="4" w:space="0" w:color="000000"/>
              <w:left w:val="single" w:sz="4" w:space="0" w:color="000000"/>
              <w:bottom w:val="single" w:sz="4" w:space="0" w:color="000000"/>
              <w:right w:val="single" w:sz="8" w:space="0" w:color="000000"/>
            </w:tcBorders>
            <w:tcMar>
              <w:top w:w="0" w:type="dxa"/>
              <w:left w:w="108" w:type="dxa"/>
              <w:bottom w:w="0" w:type="dxa"/>
              <w:right w:w="108" w:type="dxa"/>
            </w:tcMar>
            <w:vAlign w:val="center"/>
          </w:tcPr>
          <w:p w:rsidR="00B77F00" w:rsidRDefault="00865FA3">
            <w:pPr>
              <w:pStyle w:val="Standard"/>
              <w:snapToGrid w:val="0"/>
              <w:jc w:val="both"/>
              <w:rPr>
                <w:rFonts w:cs="Arial"/>
                <w:szCs w:val="20"/>
              </w:rPr>
            </w:pPr>
            <w:r>
              <w:rPr>
                <w:rFonts w:cs="Arial"/>
                <w:szCs w:val="20"/>
              </w:rPr>
              <w:t xml:space="preserve"> 150</w:t>
            </w:r>
          </w:p>
          <w:p w:rsidR="00B77F00" w:rsidRDefault="00865FA3">
            <w:pPr>
              <w:pStyle w:val="Standard"/>
              <w:jc w:val="both"/>
              <w:rPr>
                <w:rFonts w:cs="Arial"/>
                <w:szCs w:val="20"/>
              </w:rPr>
            </w:pPr>
            <w:r>
              <w:rPr>
                <w:rFonts w:cs="Arial"/>
                <w:szCs w:val="20"/>
              </w:rPr>
              <w:t xml:space="preserve"> 150</w:t>
            </w:r>
          </w:p>
        </w:tc>
      </w:tr>
      <w:tr w:rsidR="00B77F00">
        <w:tblPrEx>
          <w:tblCellMar>
            <w:top w:w="0" w:type="dxa"/>
            <w:bottom w:w="0" w:type="dxa"/>
          </w:tblCellMar>
        </w:tblPrEx>
        <w:tc>
          <w:tcPr>
            <w:tcW w:w="540" w:type="dxa"/>
            <w:tcBorders>
              <w:top w:val="single" w:sz="4" w:space="0" w:color="000000"/>
              <w:left w:val="single" w:sz="8" w:space="0" w:color="000000"/>
              <w:bottom w:val="single" w:sz="8" w:space="0" w:color="000000"/>
            </w:tcBorders>
            <w:tcMar>
              <w:top w:w="0" w:type="dxa"/>
              <w:left w:w="108" w:type="dxa"/>
              <w:bottom w:w="0" w:type="dxa"/>
              <w:right w:w="108" w:type="dxa"/>
            </w:tcMar>
          </w:tcPr>
          <w:p w:rsidR="00B77F00" w:rsidRDefault="00865FA3">
            <w:pPr>
              <w:pStyle w:val="Standard"/>
              <w:snapToGrid w:val="0"/>
              <w:jc w:val="both"/>
              <w:rPr>
                <w:rFonts w:cs="Arial"/>
                <w:szCs w:val="20"/>
              </w:rPr>
            </w:pPr>
            <w:r>
              <w:rPr>
                <w:rFonts w:cs="Arial"/>
                <w:szCs w:val="20"/>
              </w:rPr>
              <w:t>12</w:t>
            </w:r>
          </w:p>
        </w:tc>
        <w:tc>
          <w:tcPr>
            <w:tcW w:w="3600" w:type="dxa"/>
            <w:tcBorders>
              <w:top w:val="single" w:sz="4" w:space="0" w:color="000000"/>
              <w:left w:val="single" w:sz="4" w:space="0" w:color="000000"/>
              <w:bottom w:val="single" w:sz="8" w:space="0" w:color="000000"/>
            </w:tcBorders>
            <w:tcMar>
              <w:top w:w="0" w:type="dxa"/>
              <w:left w:w="108" w:type="dxa"/>
              <w:bottom w:w="0" w:type="dxa"/>
              <w:right w:w="108" w:type="dxa"/>
            </w:tcMar>
          </w:tcPr>
          <w:p w:rsidR="00B77F00" w:rsidRDefault="00865FA3">
            <w:pPr>
              <w:pStyle w:val="Standard"/>
              <w:snapToGrid w:val="0"/>
              <w:jc w:val="both"/>
              <w:rPr>
                <w:rFonts w:cs="Arial"/>
                <w:szCs w:val="20"/>
              </w:rPr>
            </w:pPr>
            <w:r>
              <w:rPr>
                <w:rFonts w:cs="Arial"/>
                <w:szCs w:val="20"/>
              </w:rPr>
              <w:t>Przyczepność do podłoża betonowego betonowego</w:t>
            </w:r>
          </w:p>
          <w:p w:rsidR="00B77F00" w:rsidRDefault="00865FA3">
            <w:pPr>
              <w:pStyle w:val="Standard"/>
              <w:jc w:val="both"/>
              <w:rPr>
                <w:rFonts w:cs="Arial"/>
                <w:szCs w:val="20"/>
              </w:rPr>
            </w:pPr>
            <w:r>
              <w:rPr>
                <w:rFonts w:cs="Arial"/>
                <w:szCs w:val="20"/>
              </w:rPr>
              <w:t>(metoda „pull-off”)</w:t>
            </w:r>
          </w:p>
        </w:tc>
        <w:tc>
          <w:tcPr>
            <w:tcW w:w="2340" w:type="dxa"/>
            <w:tcBorders>
              <w:top w:val="single" w:sz="4" w:space="0" w:color="000000"/>
              <w:left w:val="single" w:sz="4" w:space="0" w:color="000000"/>
              <w:bottom w:val="single" w:sz="8" w:space="0" w:color="000000"/>
            </w:tcBorders>
            <w:tcMar>
              <w:top w:w="0" w:type="dxa"/>
              <w:left w:w="108" w:type="dxa"/>
              <w:bottom w:w="0" w:type="dxa"/>
              <w:right w:w="108" w:type="dxa"/>
            </w:tcMar>
            <w:vAlign w:val="center"/>
          </w:tcPr>
          <w:p w:rsidR="00B77F00" w:rsidRDefault="00865FA3">
            <w:pPr>
              <w:pStyle w:val="Standard"/>
              <w:snapToGrid w:val="0"/>
              <w:jc w:val="both"/>
              <w:rPr>
                <w:rFonts w:cs="Arial"/>
                <w:szCs w:val="20"/>
              </w:rPr>
            </w:pPr>
            <w:r>
              <w:rPr>
                <w:rFonts w:cs="Arial"/>
                <w:szCs w:val="20"/>
              </w:rPr>
              <w:t>N/mm2</w:t>
            </w:r>
          </w:p>
        </w:tc>
        <w:tc>
          <w:tcPr>
            <w:tcW w:w="3430" w:type="dxa"/>
            <w:tcBorders>
              <w:top w:val="single" w:sz="4" w:space="0" w:color="000000"/>
              <w:left w:val="single" w:sz="4" w:space="0" w:color="000000"/>
              <w:bottom w:val="single" w:sz="8" w:space="0" w:color="000000"/>
              <w:right w:val="single" w:sz="8" w:space="0" w:color="000000"/>
            </w:tcBorders>
            <w:tcMar>
              <w:top w:w="0" w:type="dxa"/>
              <w:left w:w="108" w:type="dxa"/>
              <w:bottom w:w="0" w:type="dxa"/>
              <w:right w:w="108" w:type="dxa"/>
            </w:tcMar>
            <w:vAlign w:val="center"/>
          </w:tcPr>
          <w:p w:rsidR="00B77F00" w:rsidRDefault="00865FA3">
            <w:pPr>
              <w:pStyle w:val="Standard"/>
              <w:snapToGrid w:val="0"/>
              <w:jc w:val="both"/>
              <w:rPr>
                <w:rFonts w:cs="Arial"/>
                <w:szCs w:val="20"/>
              </w:rPr>
            </w:pPr>
            <w:r>
              <w:rPr>
                <w:rFonts w:cs="Arial"/>
                <w:szCs w:val="20"/>
              </w:rPr>
              <w:t>^ 0.4</w:t>
            </w:r>
          </w:p>
          <w:p w:rsidR="00B77F00" w:rsidRDefault="00865FA3">
            <w:pPr>
              <w:pStyle w:val="Standard"/>
              <w:jc w:val="both"/>
              <w:rPr>
                <w:rFonts w:cs="Arial"/>
                <w:szCs w:val="20"/>
              </w:rPr>
            </w:pPr>
            <w:r>
              <w:rPr>
                <w:rFonts w:cs="Arial"/>
                <w:szCs w:val="20"/>
              </w:rPr>
              <w:t>(w temp. 20oC±2)</w:t>
            </w:r>
          </w:p>
        </w:tc>
      </w:tr>
    </w:tbl>
    <w:p w:rsidR="00B77F00" w:rsidRDefault="00865FA3">
      <w:pPr>
        <w:pStyle w:val="Standard"/>
        <w:jc w:val="both"/>
        <w:rPr>
          <w:rFonts w:cs="Arial"/>
          <w:szCs w:val="20"/>
        </w:rPr>
      </w:pPr>
      <w:r>
        <w:rPr>
          <w:rFonts w:cs="Arial"/>
          <w:szCs w:val="20"/>
        </w:rPr>
        <w:t>1)</w:t>
      </w:r>
      <w:r>
        <w:rPr>
          <w:rFonts w:cs="Arial"/>
          <w:szCs w:val="20"/>
        </w:rPr>
        <w:tab/>
        <w:t xml:space="preserve">Badanie wg opracowania IBDiM „Metody badań i oceny izolacyjnych materiałów rolowych </w:t>
      </w:r>
      <w:r>
        <w:rPr>
          <w:rFonts w:cs="Arial"/>
          <w:szCs w:val="20"/>
        </w:rPr>
        <w:t>i mastyksów”.</w:t>
      </w:r>
    </w:p>
    <w:p w:rsidR="00B77F00" w:rsidRDefault="00865FA3">
      <w:pPr>
        <w:pStyle w:val="Standard"/>
        <w:jc w:val="both"/>
        <w:rPr>
          <w:rFonts w:cs="Arial"/>
          <w:szCs w:val="20"/>
        </w:rPr>
      </w:pPr>
      <w:r>
        <w:rPr>
          <w:rFonts w:cs="Arial"/>
          <w:szCs w:val="20"/>
        </w:rPr>
        <w:t>* Materiał izolacyjny nie może mieć dziur ani fałd i powinien mieć proste brzegi. Materiał izolacyjny musi być równomiernie pokryty posypką. Nie mogą wystąpić uszkodzenia spowodowane sklejeniem materiału izolacyjnego, gdy rolka jest zwinięta.</w:t>
      </w:r>
    </w:p>
    <w:p w:rsidR="00B77F00" w:rsidRDefault="00B77F00">
      <w:pPr>
        <w:pStyle w:val="Standard"/>
        <w:jc w:val="both"/>
        <w:rPr>
          <w:rFonts w:cs="Arial"/>
          <w:szCs w:val="20"/>
        </w:rPr>
      </w:pPr>
    </w:p>
    <w:p w:rsidR="00B77F00" w:rsidRDefault="00865FA3">
      <w:pPr>
        <w:pStyle w:val="Standard"/>
        <w:jc w:val="both"/>
        <w:rPr>
          <w:rFonts w:cs="Arial"/>
          <w:b/>
          <w:bCs/>
          <w:szCs w:val="20"/>
        </w:rPr>
      </w:pPr>
      <w:r>
        <w:rPr>
          <w:rFonts w:cs="Arial"/>
          <w:b/>
          <w:bCs/>
          <w:szCs w:val="20"/>
        </w:rPr>
        <w:t>3. SPRZĘT</w:t>
      </w:r>
    </w:p>
    <w:p w:rsidR="00B77F00" w:rsidRDefault="00865FA3">
      <w:pPr>
        <w:pStyle w:val="Standard"/>
        <w:jc w:val="both"/>
        <w:rPr>
          <w:rFonts w:cs="Arial"/>
          <w:szCs w:val="20"/>
        </w:rPr>
      </w:pPr>
      <w:r>
        <w:rPr>
          <w:rFonts w:cs="Arial"/>
          <w:szCs w:val="20"/>
        </w:rPr>
        <w:t>3.1. Ogólne wymagania dotyczące sprzętu</w:t>
      </w:r>
    </w:p>
    <w:p w:rsidR="00B77F00" w:rsidRDefault="00865FA3">
      <w:pPr>
        <w:pStyle w:val="Standard"/>
        <w:jc w:val="both"/>
        <w:rPr>
          <w:rFonts w:cs="Arial"/>
          <w:szCs w:val="20"/>
        </w:rPr>
      </w:pPr>
      <w:r>
        <w:rPr>
          <w:rFonts w:cs="Arial"/>
          <w:szCs w:val="20"/>
        </w:rPr>
        <w:t>Ogólne wymagania dotyczące sprzętu podano w ST DM.00.00.00 „Wymagania ogólne”.</w:t>
      </w:r>
    </w:p>
    <w:p w:rsidR="00B77F00" w:rsidRDefault="00865FA3">
      <w:pPr>
        <w:pStyle w:val="Standard"/>
        <w:jc w:val="both"/>
        <w:rPr>
          <w:rFonts w:cs="Arial"/>
          <w:szCs w:val="20"/>
        </w:rPr>
      </w:pPr>
      <w:r>
        <w:rPr>
          <w:rFonts w:cs="Arial"/>
          <w:szCs w:val="20"/>
        </w:rPr>
        <w:t>3.2. Szczegółowe wymagania dotyczące sprzętu</w:t>
      </w:r>
    </w:p>
    <w:p w:rsidR="00B77F00" w:rsidRDefault="00865FA3">
      <w:pPr>
        <w:pStyle w:val="Standard"/>
        <w:jc w:val="both"/>
        <w:rPr>
          <w:rFonts w:cs="Arial"/>
          <w:szCs w:val="20"/>
        </w:rPr>
      </w:pPr>
      <w:r>
        <w:rPr>
          <w:rFonts w:cs="Arial"/>
          <w:szCs w:val="20"/>
        </w:rPr>
        <w:t>Roboty wykonywane przy użyciu specjalistycznego sprzętu zgodnego z instrukcją pr</w:t>
      </w:r>
      <w:r>
        <w:rPr>
          <w:rFonts w:cs="Arial"/>
          <w:szCs w:val="20"/>
        </w:rPr>
        <w:t>oducenta, zaaprobowaną przez IBDiM.</w:t>
      </w:r>
    </w:p>
    <w:p w:rsidR="00B77F00" w:rsidRDefault="00B77F00">
      <w:pPr>
        <w:pStyle w:val="Standard"/>
        <w:jc w:val="both"/>
        <w:rPr>
          <w:rFonts w:cs="Arial"/>
          <w:szCs w:val="20"/>
        </w:rPr>
      </w:pPr>
    </w:p>
    <w:p w:rsidR="00B77F00" w:rsidRDefault="00865FA3">
      <w:pPr>
        <w:pStyle w:val="Standard"/>
        <w:jc w:val="both"/>
        <w:rPr>
          <w:rFonts w:cs="Arial"/>
          <w:b/>
          <w:bCs/>
          <w:szCs w:val="20"/>
        </w:rPr>
      </w:pPr>
      <w:r>
        <w:rPr>
          <w:rFonts w:cs="Arial"/>
          <w:b/>
          <w:bCs/>
          <w:szCs w:val="20"/>
        </w:rPr>
        <w:t>4. TRANSPORT</w:t>
      </w:r>
    </w:p>
    <w:p w:rsidR="00B77F00" w:rsidRDefault="00865FA3">
      <w:pPr>
        <w:pStyle w:val="Standard"/>
        <w:jc w:val="both"/>
        <w:rPr>
          <w:rFonts w:cs="Arial"/>
          <w:szCs w:val="20"/>
        </w:rPr>
      </w:pPr>
      <w:r>
        <w:rPr>
          <w:rFonts w:cs="Arial"/>
          <w:szCs w:val="20"/>
        </w:rPr>
        <w:t>4.1. Ogólne wymagania dotyczące transportu</w:t>
      </w:r>
    </w:p>
    <w:p w:rsidR="00B77F00" w:rsidRDefault="00865FA3">
      <w:pPr>
        <w:pStyle w:val="Standard"/>
        <w:jc w:val="both"/>
        <w:rPr>
          <w:rFonts w:cs="Arial"/>
          <w:szCs w:val="20"/>
        </w:rPr>
      </w:pPr>
      <w:r>
        <w:rPr>
          <w:rFonts w:cs="Arial"/>
          <w:szCs w:val="20"/>
        </w:rPr>
        <w:t>Ogólne wymagania dotyczące transportu podano w ST DM.00.00.00 „Wymagania ogólne”.</w:t>
      </w:r>
    </w:p>
    <w:p w:rsidR="00B77F00" w:rsidRDefault="00865FA3">
      <w:pPr>
        <w:pStyle w:val="Standard"/>
        <w:jc w:val="both"/>
        <w:rPr>
          <w:rFonts w:cs="Arial"/>
          <w:szCs w:val="20"/>
        </w:rPr>
      </w:pPr>
      <w:r>
        <w:rPr>
          <w:rFonts w:cs="Arial"/>
          <w:szCs w:val="20"/>
        </w:rPr>
        <w:t>4.2. Szczegółowe wymagania dotyczące transportu</w:t>
      </w:r>
    </w:p>
    <w:p w:rsidR="00B77F00" w:rsidRDefault="00865FA3">
      <w:pPr>
        <w:pStyle w:val="Standard"/>
        <w:jc w:val="both"/>
        <w:rPr>
          <w:rFonts w:cs="Arial"/>
          <w:szCs w:val="20"/>
        </w:rPr>
      </w:pPr>
      <w:r>
        <w:rPr>
          <w:rFonts w:cs="Arial"/>
          <w:szCs w:val="20"/>
        </w:rPr>
        <w:t xml:space="preserve">Rolki papy należy przewozić </w:t>
      </w:r>
      <w:r>
        <w:rPr>
          <w:rFonts w:cs="Arial"/>
          <w:szCs w:val="20"/>
        </w:rPr>
        <w:t>krytymi środkami transportowymi, układając je w pozycji stojącej na paletach.</w:t>
      </w:r>
    </w:p>
    <w:p w:rsidR="00B77F00" w:rsidRDefault="00B77F00">
      <w:pPr>
        <w:pStyle w:val="Standard"/>
        <w:jc w:val="both"/>
        <w:rPr>
          <w:rFonts w:cs="Arial"/>
          <w:szCs w:val="20"/>
        </w:rPr>
      </w:pPr>
    </w:p>
    <w:p w:rsidR="00B77F00" w:rsidRDefault="00865FA3">
      <w:pPr>
        <w:pStyle w:val="Standard"/>
        <w:jc w:val="both"/>
        <w:rPr>
          <w:rFonts w:cs="Arial"/>
          <w:b/>
          <w:bCs/>
          <w:szCs w:val="20"/>
        </w:rPr>
      </w:pPr>
      <w:r>
        <w:rPr>
          <w:rFonts w:cs="Arial"/>
          <w:b/>
          <w:bCs/>
          <w:szCs w:val="20"/>
        </w:rPr>
        <w:t>5. WYKONANIE ROBÓT</w:t>
      </w:r>
    </w:p>
    <w:p w:rsidR="00B77F00" w:rsidRDefault="00865FA3">
      <w:pPr>
        <w:pStyle w:val="Standard"/>
        <w:jc w:val="both"/>
        <w:rPr>
          <w:rFonts w:cs="Arial"/>
          <w:szCs w:val="20"/>
        </w:rPr>
      </w:pPr>
      <w:r>
        <w:rPr>
          <w:rFonts w:cs="Arial"/>
          <w:szCs w:val="20"/>
        </w:rPr>
        <w:t>5.1. Ogólne wymagania dotyczące wykonania robót</w:t>
      </w:r>
    </w:p>
    <w:p w:rsidR="00B77F00" w:rsidRDefault="00865FA3">
      <w:pPr>
        <w:pStyle w:val="Standard"/>
        <w:jc w:val="both"/>
        <w:rPr>
          <w:rFonts w:cs="Arial"/>
          <w:szCs w:val="20"/>
        </w:rPr>
      </w:pPr>
      <w:r>
        <w:rPr>
          <w:rFonts w:cs="Arial"/>
          <w:szCs w:val="20"/>
        </w:rPr>
        <w:t>Ogólne wymagania dotyczące wykonania robót podano w ST DM.00.00.00 „Wymagania ogólne”.</w:t>
      </w:r>
    </w:p>
    <w:p w:rsidR="00B77F00" w:rsidRDefault="00865FA3">
      <w:pPr>
        <w:pStyle w:val="Standard"/>
        <w:jc w:val="both"/>
        <w:rPr>
          <w:rFonts w:cs="Arial"/>
          <w:szCs w:val="20"/>
        </w:rPr>
      </w:pPr>
      <w:r>
        <w:rPr>
          <w:rFonts w:cs="Arial"/>
          <w:szCs w:val="20"/>
        </w:rPr>
        <w:t>5.2. Szczegółowe wymaga</w:t>
      </w:r>
      <w:r>
        <w:rPr>
          <w:rFonts w:cs="Arial"/>
          <w:szCs w:val="20"/>
        </w:rPr>
        <w:t>nia dotyczące wykonania robót</w:t>
      </w:r>
    </w:p>
    <w:p w:rsidR="00B77F00" w:rsidRDefault="00865FA3">
      <w:pPr>
        <w:pStyle w:val="Standard"/>
        <w:jc w:val="both"/>
        <w:rPr>
          <w:rFonts w:cs="Arial"/>
          <w:szCs w:val="20"/>
        </w:rPr>
      </w:pPr>
      <w:r>
        <w:rPr>
          <w:rFonts w:cs="Arial"/>
          <w:szCs w:val="20"/>
        </w:rPr>
        <w:t>5.2.1. Wymagania ogólne</w:t>
      </w:r>
    </w:p>
    <w:p w:rsidR="00B77F00" w:rsidRDefault="00865FA3">
      <w:pPr>
        <w:pStyle w:val="Standard"/>
        <w:jc w:val="both"/>
        <w:rPr>
          <w:rFonts w:cs="Arial"/>
          <w:szCs w:val="20"/>
        </w:rPr>
      </w:pPr>
      <w:r>
        <w:rPr>
          <w:rFonts w:cs="Arial"/>
          <w:szCs w:val="20"/>
        </w:rPr>
        <w:t>Wykonawca przedstawi Inżynierowi do akceptacji projekt organizacji i harmonogram robót uwzględniający wszystkie warunki, w jakich będą wykonywane roboty izolacyjne.</w:t>
      </w:r>
    </w:p>
    <w:p w:rsidR="00B77F00" w:rsidRDefault="00865FA3">
      <w:pPr>
        <w:pStyle w:val="Standard"/>
        <w:jc w:val="both"/>
        <w:rPr>
          <w:rFonts w:cs="Arial"/>
          <w:szCs w:val="20"/>
        </w:rPr>
      </w:pPr>
      <w:r>
        <w:rPr>
          <w:rFonts w:cs="Arial"/>
          <w:szCs w:val="20"/>
        </w:rPr>
        <w:t xml:space="preserve">5.2.2. Zgodność z Dokumentacją </w:t>
      </w:r>
      <w:r>
        <w:rPr>
          <w:rFonts w:cs="Arial"/>
          <w:szCs w:val="20"/>
        </w:rPr>
        <w:t>Projektową</w:t>
      </w:r>
    </w:p>
    <w:p w:rsidR="00B77F00" w:rsidRDefault="00865FA3">
      <w:pPr>
        <w:pStyle w:val="Standard"/>
        <w:jc w:val="both"/>
        <w:rPr>
          <w:rFonts w:cs="Arial"/>
          <w:szCs w:val="20"/>
        </w:rPr>
      </w:pPr>
      <w:r>
        <w:rPr>
          <w:rFonts w:cs="Arial"/>
          <w:szCs w:val="20"/>
        </w:rPr>
        <w:t>Izolacje powinny być wykonywane zgodnie z Dokumentacją Projektową i niniejszą Specyfikacją.</w:t>
      </w:r>
    </w:p>
    <w:p w:rsidR="00B77F00" w:rsidRDefault="00865FA3">
      <w:pPr>
        <w:pStyle w:val="Standard"/>
        <w:jc w:val="both"/>
        <w:rPr>
          <w:rFonts w:cs="Arial"/>
          <w:szCs w:val="20"/>
        </w:rPr>
      </w:pPr>
      <w:r>
        <w:rPr>
          <w:rFonts w:cs="Arial"/>
          <w:szCs w:val="20"/>
        </w:rPr>
        <w:t>5.2.3. Warunki układania izolacji</w:t>
      </w:r>
    </w:p>
    <w:p w:rsidR="00B77F00" w:rsidRDefault="00865FA3">
      <w:pPr>
        <w:pStyle w:val="Standard"/>
        <w:jc w:val="both"/>
        <w:rPr>
          <w:rFonts w:cs="Arial"/>
          <w:szCs w:val="20"/>
        </w:rPr>
      </w:pPr>
      <w:r>
        <w:rPr>
          <w:rFonts w:cs="Arial"/>
          <w:szCs w:val="20"/>
        </w:rPr>
        <w:t>Roboty izolacyjne należy wykonywać w okresie od 1 marca do 31 października przy dobrej pogodzie. Niedopuszczalne jest p</w:t>
      </w:r>
      <w:r>
        <w:rPr>
          <w:rFonts w:cs="Arial"/>
          <w:szCs w:val="20"/>
        </w:rPr>
        <w:t>rowadzenie robót podczas opadów deszczu i mżawki, bezpośrednio po opadach oraz w czasie, gdy wilgotność względna powietrza jest większa niż 85%. Niedopuszczalne jest prowadzenie robót gdy temperatura powietrza jest niższa niż 5oC oraz przy silnym wietrze</w:t>
      </w:r>
    </w:p>
    <w:p w:rsidR="00B77F00" w:rsidRDefault="00865FA3">
      <w:pPr>
        <w:pStyle w:val="Standard"/>
        <w:jc w:val="both"/>
        <w:rPr>
          <w:rFonts w:cs="Arial"/>
          <w:szCs w:val="20"/>
        </w:rPr>
      </w:pPr>
      <w:r>
        <w:rPr>
          <w:rFonts w:cs="Arial"/>
          <w:szCs w:val="20"/>
        </w:rPr>
        <w:t>Roboty izolacyjne powinny być wykonywane bardzo starannie i przez przeszkolonych pracowników. Zwraca się uwagę, iż wykonywanie poprawek na już ukończonych odcinkach jest bardzo pracochłonne i w przeważającej ilości wypadków prowadzi do powstania trwałych w</w:t>
      </w:r>
      <w:r>
        <w:rPr>
          <w:rFonts w:cs="Arial"/>
          <w:szCs w:val="20"/>
        </w:rPr>
        <w:t>ad powłok izolacyjnych .</w:t>
      </w:r>
    </w:p>
    <w:p w:rsidR="00B77F00" w:rsidRDefault="00865FA3">
      <w:pPr>
        <w:pStyle w:val="Standard"/>
        <w:jc w:val="both"/>
        <w:rPr>
          <w:rFonts w:cs="Arial"/>
          <w:szCs w:val="20"/>
        </w:rPr>
      </w:pPr>
      <w:r>
        <w:rPr>
          <w:rFonts w:cs="Arial"/>
          <w:szCs w:val="20"/>
        </w:rPr>
        <w:t>5.2.4. Podłoże pod izolację</w:t>
      </w:r>
    </w:p>
    <w:p w:rsidR="00B77F00" w:rsidRDefault="00865FA3">
      <w:pPr>
        <w:pStyle w:val="Standard"/>
        <w:jc w:val="both"/>
        <w:rPr>
          <w:rFonts w:cs="Arial"/>
          <w:szCs w:val="20"/>
        </w:rPr>
      </w:pPr>
      <w:r>
        <w:rPr>
          <w:rFonts w:cs="Arial"/>
          <w:szCs w:val="20"/>
        </w:rPr>
        <w:t>Podłoże pod izolację powinno posiadać odpowiednie spadki, być gładkie, czyste i suche.</w:t>
      </w:r>
    </w:p>
    <w:p w:rsidR="00B77F00" w:rsidRDefault="00865FA3">
      <w:pPr>
        <w:pStyle w:val="Standard"/>
        <w:jc w:val="both"/>
        <w:rPr>
          <w:rFonts w:cs="Arial"/>
          <w:szCs w:val="20"/>
        </w:rPr>
      </w:pPr>
      <w:r>
        <w:rPr>
          <w:rFonts w:cs="Arial"/>
          <w:szCs w:val="20"/>
        </w:rPr>
        <w:t>Kształtowanie odpowiednich spadków poprzecznych i podłużnych powinno następować podczas betonowania płyty. Spadki po</w:t>
      </w:r>
      <w:r>
        <w:rPr>
          <w:rFonts w:cs="Arial"/>
          <w:szCs w:val="20"/>
        </w:rPr>
        <w:t xml:space="preserve">przeczne - zarówno pod jezdnią jak i na chodnikach nie powinny być mniejsze niż 2%. Powierzchnię płyty powinno się wyrównywać podczas betonowania łatami wibracyjnymi. Odchylenie równości powierzchni zmierzone na łacie długości 4,0m nie powinno przekraczać </w:t>
      </w:r>
      <w:r>
        <w:rPr>
          <w:rFonts w:cs="Arial"/>
          <w:szCs w:val="20"/>
        </w:rPr>
        <w:t>10mm.</w:t>
      </w:r>
    </w:p>
    <w:p w:rsidR="00B77F00" w:rsidRDefault="00865FA3">
      <w:pPr>
        <w:pStyle w:val="Standard"/>
        <w:jc w:val="both"/>
        <w:rPr>
          <w:rFonts w:cs="Arial"/>
          <w:szCs w:val="20"/>
        </w:rPr>
      </w:pPr>
      <w:r>
        <w:rPr>
          <w:rFonts w:cs="Arial"/>
          <w:szCs w:val="20"/>
        </w:rPr>
        <w:t>Gładkość powierzchni powinna cechować się brakiem lokalnych progów, raków, wgłębień i wybrzuszeń, wystających ziaren kruszywa itp. Dopuszczalne są lokalne nierówności do 3mm lub wgłębienia do 5mm</w:t>
      </w:r>
    </w:p>
    <w:p w:rsidR="00B77F00" w:rsidRDefault="00865FA3">
      <w:pPr>
        <w:pStyle w:val="Standard"/>
        <w:jc w:val="both"/>
        <w:rPr>
          <w:rFonts w:cs="Arial"/>
          <w:szCs w:val="20"/>
        </w:rPr>
      </w:pPr>
      <w:r>
        <w:rPr>
          <w:rFonts w:cs="Arial"/>
          <w:szCs w:val="20"/>
        </w:rPr>
        <w:t>Powierzchnia pod izolację powinna być oczyszczona ze</w:t>
      </w:r>
      <w:r>
        <w:rPr>
          <w:rFonts w:cs="Arial"/>
          <w:szCs w:val="20"/>
        </w:rPr>
        <w:t xml:space="preserve"> wszystkich części pylastych i złuszczeń, mleczka cementowego i zanieczyszczeń naniesionych podczas budowy. Oczyszczenie powierzchni należy wykonywać przez przedmuchanie sprężonym powietrzem lub przez piaskowanie.</w:t>
      </w:r>
    </w:p>
    <w:p w:rsidR="00B77F00" w:rsidRDefault="00865FA3">
      <w:pPr>
        <w:pStyle w:val="Standard"/>
        <w:jc w:val="both"/>
        <w:rPr>
          <w:rFonts w:cs="Arial"/>
          <w:szCs w:val="20"/>
        </w:rPr>
      </w:pPr>
      <w:r>
        <w:rPr>
          <w:rFonts w:cs="Arial"/>
          <w:szCs w:val="20"/>
        </w:rPr>
        <w:t>Wszystkie uszkodzenia powierzchni powinny</w:t>
      </w:r>
      <w:r>
        <w:rPr>
          <w:rFonts w:cs="Arial"/>
          <w:szCs w:val="20"/>
        </w:rPr>
        <w:t xml:space="preserve"> być naprawione.</w:t>
      </w:r>
    </w:p>
    <w:p w:rsidR="00B77F00" w:rsidRDefault="00865FA3">
      <w:pPr>
        <w:pStyle w:val="Standard"/>
        <w:jc w:val="both"/>
        <w:rPr>
          <w:rFonts w:cs="Arial"/>
          <w:szCs w:val="20"/>
        </w:rPr>
      </w:pPr>
      <w:r>
        <w:rPr>
          <w:rFonts w:cs="Arial"/>
          <w:szCs w:val="20"/>
        </w:rPr>
        <w:t>Wilgotność betonu (2cm poniżej powierzchni) nie może przekraczać 4%</w:t>
      </w:r>
    </w:p>
    <w:p w:rsidR="00B77F00" w:rsidRDefault="00865FA3">
      <w:pPr>
        <w:pStyle w:val="Standard"/>
        <w:jc w:val="both"/>
        <w:rPr>
          <w:rFonts w:cs="Arial"/>
          <w:szCs w:val="20"/>
        </w:rPr>
      </w:pPr>
      <w:r>
        <w:rPr>
          <w:rFonts w:cs="Arial"/>
          <w:szCs w:val="20"/>
        </w:rPr>
        <w:t>Wiek betonu podłoża - min. 21 dni</w:t>
      </w:r>
    </w:p>
    <w:p w:rsidR="00B77F00" w:rsidRDefault="00865FA3">
      <w:pPr>
        <w:pStyle w:val="Standard"/>
        <w:jc w:val="both"/>
        <w:rPr>
          <w:rFonts w:cs="Arial"/>
          <w:szCs w:val="20"/>
        </w:rPr>
      </w:pPr>
      <w:r>
        <w:rPr>
          <w:rFonts w:cs="Arial"/>
          <w:szCs w:val="20"/>
        </w:rPr>
        <w:t>Wytrzymałość podłoża betonowego wyznaczona metodą „pull-off” przy średnicy krążka próbnego Ø50mm powinna wynosić nie mniej niż 1,5 MPa.</w:t>
      </w:r>
    </w:p>
    <w:p w:rsidR="00B77F00" w:rsidRDefault="00865FA3">
      <w:pPr>
        <w:pStyle w:val="Standard"/>
        <w:jc w:val="both"/>
        <w:rPr>
          <w:rFonts w:cs="Arial"/>
          <w:szCs w:val="20"/>
        </w:rPr>
      </w:pPr>
      <w:r>
        <w:rPr>
          <w:rFonts w:cs="Arial"/>
          <w:szCs w:val="20"/>
        </w:rPr>
        <w:t>5.2.5. Gruntowanie podłoża</w:t>
      </w:r>
    </w:p>
    <w:p w:rsidR="00B77F00" w:rsidRDefault="00865FA3">
      <w:pPr>
        <w:pStyle w:val="Standard"/>
        <w:jc w:val="both"/>
        <w:rPr>
          <w:rFonts w:cs="Arial"/>
          <w:szCs w:val="20"/>
        </w:rPr>
      </w:pPr>
      <w:r>
        <w:rPr>
          <w:rFonts w:cs="Arial"/>
          <w:szCs w:val="20"/>
        </w:rPr>
        <w:t>Gruntowanie podłoża powinno wykonywać się przy użyciu firmowego primera. Materiał gruntujący należy nanosić zgodnie z technologią wykonania podaną przez producenta i zaaprobowaną przez IBDiM. Należy zwrócić uwagę na wymagane zuży</w:t>
      </w:r>
      <w:r>
        <w:rPr>
          <w:rFonts w:cs="Arial"/>
          <w:szCs w:val="20"/>
        </w:rPr>
        <w:t>cie primera na m2 powierzchni normalnego, zwartego betonu, czas schnięcia zagruntowanych powierzchni i uzależnienie go od temperatury otoczenia (zwykle kiedy zagruntowana powierzchnia nie jest lepka, a primer nie brudzi ręki).</w:t>
      </w:r>
    </w:p>
    <w:p w:rsidR="00B77F00" w:rsidRDefault="00865FA3">
      <w:pPr>
        <w:pStyle w:val="Standard"/>
        <w:jc w:val="both"/>
        <w:rPr>
          <w:rFonts w:cs="Arial"/>
          <w:szCs w:val="20"/>
        </w:rPr>
      </w:pPr>
      <w:r>
        <w:rPr>
          <w:rFonts w:cs="Arial"/>
          <w:szCs w:val="20"/>
        </w:rPr>
        <w:t>Jednorazowo można zagruntować</w:t>
      </w:r>
      <w:r>
        <w:rPr>
          <w:rFonts w:cs="Arial"/>
          <w:szCs w:val="20"/>
        </w:rPr>
        <w:t xml:space="preserve"> tylko taką powierzchnię, która zostanie zaizolowana tego samego dnia. Powierzchnię zagruntowaną, nie zaizolowaną w ciągu tego samego dnia, należy ponownie zagruntować. Przed ułożeniem warstwy izolacyjnej nie dopuszcza się ruchu pieszego po zagruntowanych </w:t>
      </w:r>
      <w:r>
        <w:rPr>
          <w:rFonts w:cs="Arial"/>
          <w:szCs w:val="20"/>
        </w:rPr>
        <w:t>powierzchniach.</w:t>
      </w:r>
    </w:p>
    <w:p w:rsidR="00B77F00" w:rsidRDefault="00865FA3">
      <w:pPr>
        <w:pStyle w:val="Standard"/>
        <w:jc w:val="both"/>
        <w:rPr>
          <w:rFonts w:cs="Arial"/>
          <w:szCs w:val="20"/>
        </w:rPr>
      </w:pPr>
      <w:r>
        <w:rPr>
          <w:rFonts w:cs="Arial"/>
          <w:szCs w:val="20"/>
        </w:rPr>
        <w:t>W przypadku gruntowania podłoża żywicami syntetycznymi przyczepność warstwy gruntującej do podłoża określona metodą „pull-off” powinna wynosić nie mniej niż 1,0 MPa w obiektach remontowanych i 2,0 MPa w obiektach nowych.</w:t>
      </w:r>
    </w:p>
    <w:p w:rsidR="00B77F00" w:rsidRDefault="00865FA3">
      <w:pPr>
        <w:pStyle w:val="Standard"/>
        <w:jc w:val="both"/>
        <w:rPr>
          <w:rFonts w:cs="Arial"/>
          <w:szCs w:val="20"/>
        </w:rPr>
      </w:pPr>
      <w:r>
        <w:rPr>
          <w:rFonts w:cs="Arial"/>
          <w:szCs w:val="20"/>
        </w:rPr>
        <w:t>Należy wykonać jedn</w:t>
      </w:r>
      <w:r>
        <w:rPr>
          <w:rFonts w:cs="Arial"/>
          <w:szCs w:val="20"/>
        </w:rPr>
        <w:t>o oznaczenie na każde 100m2 podłoża, ale nie mniej niż 5 oznaczeń dla jednego obiektu.</w:t>
      </w:r>
    </w:p>
    <w:p w:rsidR="00B77F00" w:rsidRDefault="00865FA3">
      <w:pPr>
        <w:pStyle w:val="Standard"/>
        <w:jc w:val="both"/>
        <w:rPr>
          <w:rFonts w:cs="Arial"/>
          <w:szCs w:val="20"/>
        </w:rPr>
      </w:pPr>
      <w:r>
        <w:rPr>
          <w:rFonts w:cs="Arial"/>
          <w:szCs w:val="20"/>
        </w:rPr>
        <w:t>5.2.6. Układanie izolacji</w:t>
      </w:r>
    </w:p>
    <w:p w:rsidR="00B77F00" w:rsidRDefault="00865FA3">
      <w:pPr>
        <w:pStyle w:val="Standard"/>
        <w:jc w:val="both"/>
        <w:rPr>
          <w:rFonts w:cs="Arial"/>
          <w:szCs w:val="20"/>
        </w:rPr>
      </w:pPr>
      <w:r>
        <w:rPr>
          <w:rFonts w:cs="Arial"/>
          <w:szCs w:val="20"/>
        </w:rPr>
        <w:t>Układanie izolacji powinno odbywać się zgodnie z instrukcją producenta i Aprobatą Techniczną.</w:t>
      </w:r>
    </w:p>
    <w:p w:rsidR="00B77F00" w:rsidRDefault="00865FA3">
      <w:pPr>
        <w:pStyle w:val="Standard"/>
        <w:jc w:val="both"/>
      </w:pPr>
      <w:r>
        <w:rPr>
          <w:rFonts w:cs="Arial"/>
          <w:szCs w:val="20"/>
        </w:rPr>
        <w:t xml:space="preserve">Przed rozpoczęciem układania arkuszy izolacji </w:t>
      </w:r>
      <w:r>
        <w:rPr>
          <w:rFonts w:cs="Arial"/>
          <w:szCs w:val="20"/>
        </w:rPr>
        <w:t>bitumiczny środek gruntujący musi być w pełni utwardzony. Arkusze na budowie należy składować w suchym miejscu w pozycji stojącej. Minimalna temperatura arkuszy wynosi 5</w:t>
      </w:r>
      <w:r>
        <w:rPr>
          <w:rFonts w:cs="Arial"/>
          <w:szCs w:val="20"/>
          <w:vertAlign w:val="superscript"/>
        </w:rPr>
        <w:t>o</w:t>
      </w:r>
      <w:r>
        <w:rPr>
          <w:rFonts w:cs="Arial"/>
          <w:szCs w:val="20"/>
        </w:rPr>
        <w:t>C. Temperatura betonu powinna być wyższa niż 0</w:t>
      </w:r>
      <w:r>
        <w:rPr>
          <w:rFonts w:cs="Arial"/>
          <w:szCs w:val="20"/>
          <w:vertAlign w:val="superscript"/>
        </w:rPr>
        <w:t>o</w:t>
      </w:r>
      <w:r>
        <w:rPr>
          <w:rFonts w:cs="Arial"/>
          <w:szCs w:val="20"/>
        </w:rPr>
        <w:t>C.</w:t>
      </w:r>
    </w:p>
    <w:p w:rsidR="00B77F00" w:rsidRDefault="00865FA3">
      <w:pPr>
        <w:pStyle w:val="Standard"/>
        <w:jc w:val="both"/>
        <w:rPr>
          <w:rFonts w:cs="Arial"/>
          <w:szCs w:val="20"/>
        </w:rPr>
      </w:pPr>
      <w:r>
        <w:rPr>
          <w:rFonts w:cs="Arial"/>
          <w:szCs w:val="20"/>
        </w:rPr>
        <w:lastRenderedPageBreak/>
        <w:t>Roboty należy rozpocząć w najniższym</w:t>
      </w:r>
      <w:r>
        <w:rPr>
          <w:rFonts w:cs="Arial"/>
          <w:szCs w:val="20"/>
        </w:rPr>
        <w:t xml:space="preserve"> punkcie osi podłużnej obiektu mostowego. Pierwsza rolka izolacji jest układana prostopadle do osi podłużnej obiektu i, po umieszczeniu wałka, rozwijana po kawałku do tyłu. Do podgrzania izolacji używa się palnika propanowego. Źródło ciepła powinno działać</w:t>
      </w:r>
      <w:r>
        <w:rPr>
          <w:rFonts w:cs="Arial"/>
          <w:szCs w:val="20"/>
        </w:rPr>
        <w:t xml:space="preserve"> równomiernie na całej szerokości rolki.</w:t>
      </w:r>
    </w:p>
    <w:p w:rsidR="00B77F00" w:rsidRDefault="00865FA3">
      <w:pPr>
        <w:pStyle w:val="Standard"/>
        <w:jc w:val="both"/>
        <w:rPr>
          <w:rFonts w:cs="Arial"/>
          <w:szCs w:val="20"/>
        </w:rPr>
      </w:pPr>
      <w:r>
        <w:rPr>
          <w:rFonts w:cs="Arial"/>
          <w:szCs w:val="20"/>
        </w:rPr>
        <w:t>Zaleca się użycie palników wielodyszowych. Płomienie są tak skierowane, żeby podłoże betonowe było ogrzewane, a warstwa pokrywająca spód arkusza rozpuszczała się tak aby przed rolką występował stały wypływ materiału</w:t>
      </w:r>
      <w:r>
        <w:rPr>
          <w:rFonts w:cs="Arial"/>
          <w:szCs w:val="20"/>
        </w:rPr>
        <w:t>. Należy unikać przegrzania arkusza i podłoża. Arkusz należy dociskać równomiernie do podłoża, aby uniknąć powstawania pustek powietrznych. Boczny szew jest dodatkowo dociskany za pomocą odpowiedniego narzędzia drewnianego.</w:t>
      </w:r>
    </w:p>
    <w:p w:rsidR="00B77F00" w:rsidRDefault="00865FA3">
      <w:pPr>
        <w:pStyle w:val="Standard"/>
        <w:jc w:val="both"/>
        <w:rPr>
          <w:rFonts w:cs="Arial"/>
          <w:szCs w:val="20"/>
        </w:rPr>
      </w:pPr>
      <w:r>
        <w:rPr>
          <w:rFonts w:cs="Arial"/>
          <w:szCs w:val="20"/>
        </w:rPr>
        <w:t>Kalkulując ilość potrzebnego mat</w:t>
      </w:r>
      <w:r>
        <w:rPr>
          <w:rFonts w:cs="Arial"/>
          <w:szCs w:val="20"/>
        </w:rPr>
        <w:t>eriału należy przyjąć na obiektach mostowych bez krzywizn 15%, a na obiektach z krzywiznami do 20% więcej izolacji niż istniejąca powierzchnia.</w:t>
      </w:r>
    </w:p>
    <w:p w:rsidR="00B77F00" w:rsidRDefault="00865FA3">
      <w:pPr>
        <w:pStyle w:val="Standard"/>
        <w:jc w:val="both"/>
        <w:rPr>
          <w:rFonts w:cs="Arial"/>
          <w:szCs w:val="20"/>
        </w:rPr>
      </w:pPr>
      <w:r>
        <w:rPr>
          <w:rFonts w:cs="Arial"/>
          <w:szCs w:val="20"/>
        </w:rPr>
        <w:t>Zakład podłużny między dwoma sąsiednimi arkuszami izolacji nie powinien być węższy niż 80mm, natomiast zakład cz</w:t>
      </w:r>
      <w:r>
        <w:rPr>
          <w:rFonts w:cs="Arial"/>
          <w:szCs w:val="20"/>
        </w:rPr>
        <w:t>ołowy między końcami rolek winien wynosić 150mm.</w:t>
      </w:r>
    </w:p>
    <w:p w:rsidR="00B77F00" w:rsidRDefault="00865FA3">
      <w:pPr>
        <w:pStyle w:val="Standard"/>
        <w:jc w:val="both"/>
        <w:rPr>
          <w:rFonts w:cs="Arial"/>
          <w:szCs w:val="20"/>
        </w:rPr>
      </w:pPr>
      <w:r>
        <w:rPr>
          <w:rFonts w:cs="Arial"/>
          <w:szCs w:val="20"/>
        </w:rPr>
        <w:t>Celem uniknięcia nałożenia się czterech warstw izolacji układa się całość długości rolki na przemian z połową jej długości, czyli dla przykładu 4 m długości arkusz jest układany po 8 m lub odwrotnie.</w:t>
      </w:r>
    </w:p>
    <w:p w:rsidR="00B77F00" w:rsidRDefault="00865FA3">
      <w:pPr>
        <w:pStyle w:val="Standard"/>
        <w:jc w:val="both"/>
        <w:rPr>
          <w:rFonts w:cs="Arial"/>
          <w:szCs w:val="20"/>
        </w:rPr>
      </w:pPr>
      <w:r>
        <w:rPr>
          <w:rFonts w:cs="Arial"/>
          <w:szCs w:val="20"/>
        </w:rPr>
        <w:t>Począte</w:t>
      </w:r>
      <w:r>
        <w:rPr>
          <w:rFonts w:cs="Arial"/>
          <w:szCs w:val="20"/>
        </w:rPr>
        <w:t>k rolki mocuje się za pomocą ręcznego palnika a całą rolkę ustawiamy zgodnie z ukształtowaniem obiektu.</w:t>
      </w:r>
    </w:p>
    <w:p w:rsidR="00B77F00" w:rsidRDefault="00865FA3">
      <w:pPr>
        <w:pStyle w:val="Standard"/>
        <w:jc w:val="both"/>
        <w:rPr>
          <w:rFonts w:cs="Arial"/>
          <w:szCs w:val="20"/>
        </w:rPr>
      </w:pPr>
      <w:r>
        <w:rPr>
          <w:rFonts w:cs="Arial"/>
          <w:szCs w:val="20"/>
        </w:rPr>
        <w:t>Zakończenie izolacji na powierzchniach pionowych (np. przy belce podporęczowej) należy wykonać przy użyciu arkusza o szerokości 50 cm (połowa szerokości</w:t>
      </w:r>
      <w:r>
        <w:rPr>
          <w:rFonts w:cs="Arial"/>
          <w:szCs w:val="20"/>
        </w:rPr>
        <w:t xml:space="preserve"> rolki).</w:t>
      </w:r>
    </w:p>
    <w:p w:rsidR="00B77F00" w:rsidRDefault="00865FA3">
      <w:pPr>
        <w:pStyle w:val="Standard"/>
        <w:jc w:val="both"/>
        <w:rPr>
          <w:rFonts w:cs="Arial"/>
          <w:szCs w:val="20"/>
        </w:rPr>
      </w:pPr>
      <w:r>
        <w:rPr>
          <w:rFonts w:cs="Arial"/>
          <w:szCs w:val="20"/>
        </w:rPr>
        <w:t xml:space="preserve">W przypadku jednak stosowania epoksydów izolacyjnych, papę układa się w odległości 10 mm od krawężnika, a następnie przy pomocy wałka malarskiego nanosi się epoksyd na ścianę krawężnika i na położoną izolację (zakład 150 mm). Wymieniona odległość </w:t>
      </w:r>
      <w:r>
        <w:rPr>
          <w:rFonts w:cs="Arial"/>
          <w:szCs w:val="20"/>
        </w:rPr>
        <w:t>10mm jest ważna, aby zapewnić miejsce na wypływ rozgrzanego bitumu.</w:t>
      </w:r>
    </w:p>
    <w:p w:rsidR="00B77F00" w:rsidRDefault="00865FA3">
      <w:pPr>
        <w:pStyle w:val="Standard"/>
        <w:jc w:val="both"/>
        <w:rPr>
          <w:rFonts w:cs="Arial"/>
          <w:szCs w:val="20"/>
        </w:rPr>
      </w:pPr>
      <w:r>
        <w:rPr>
          <w:rFonts w:cs="Arial"/>
          <w:szCs w:val="20"/>
        </w:rPr>
        <w:t>5.2.7. Podgrzewanie izolacji</w:t>
      </w:r>
    </w:p>
    <w:p w:rsidR="00B77F00" w:rsidRDefault="00865FA3">
      <w:pPr>
        <w:pStyle w:val="Standard"/>
        <w:jc w:val="both"/>
        <w:rPr>
          <w:rFonts w:cs="Arial"/>
          <w:szCs w:val="20"/>
        </w:rPr>
      </w:pPr>
      <w:r>
        <w:rPr>
          <w:rFonts w:cs="Arial"/>
          <w:szCs w:val="20"/>
        </w:rPr>
        <w:t>Warunkiem skutecznego zgrzewania izolacji z podłożem jest wypływający bitum, który gwarantuje szczelne połączenie. Wytopiona masa bitumiczna powinna rozchodzić</w:t>
      </w:r>
      <w:r>
        <w:rPr>
          <w:rFonts w:cs="Arial"/>
          <w:szCs w:val="20"/>
        </w:rPr>
        <w:t xml:space="preserve"> się poza obręb arkusza na odległość ca 10 ÷ 20 mm oraz na całej długości podgrzewanej rolki. Po nałożeniu izolacji należy w jak najszybszym terminie położyć zaprojektowaną nawierzchnię asfaltową, aby ograniczyć czas wystawienia izolacji na działanie czynn</w:t>
      </w:r>
      <w:r>
        <w:rPr>
          <w:rFonts w:cs="Arial"/>
          <w:szCs w:val="20"/>
        </w:rPr>
        <w:t>ików atmosferycznych.</w:t>
      </w:r>
    </w:p>
    <w:p w:rsidR="00B77F00" w:rsidRDefault="00B77F00">
      <w:pPr>
        <w:pStyle w:val="Standard"/>
        <w:jc w:val="both"/>
        <w:rPr>
          <w:rFonts w:cs="Arial"/>
          <w:szCs w:val="20"/>
        </w:rPr>
      </w:pPr>
    </w:p>
    <w:p w:rsidR="00B77F00" w:rsidRDefault="00865FA3">
      <w:pPr>
        <w:pStyle w:val="Standard"/>
        <w:jc w:val="both"/>
        <w:rPr>
          <w:rFonts w:cs="Arial"/>
          <w:b/>
          <w:bCs/>
          <w:szCs w:val="20"/>
        </w:rPr>
      </w:pPr>
      <w:r>
        <w:rPr>
          <w:rFonts w:cs="Arial"/>
          <w:b/>
          <w:bCs/>
          <w:szCs w:val="20"/>
        </w:rPr>
        <w:t>6. KONTROLA JAKOŚCI ROBÓT</w:t>
      </w:r>
    </w:p>
    <w:p w:rsidR="00B77F00" w:rsidRDefault="00865FA3">
      <w:pPr>
        <w:pStyle w:val="Standard"/>
        <w:jc w:val="both"/>
        <w:rPr>
          <w:rFonts w:cs="Arial"/>
          <w:szCs w:val="20"/>
        </w:rPr>
      </w:pPr>
      <w:r>
        <w:rPr>
          <w:rFonts w:cs="Arial"/>
          <w:szCs w:val="20"/>
        </w:rPr>
        <w:t>6.1. Ogólne zasady kontroli jakości robót</w:t>
      </w:r>
    </w:p>
    <w:p w:rsidR="00B77F00" w:rsidRDefault="00865FA3">
      <w:pPr>
        <w:pStyle w:val="Standard"/>
        <w:jc w:val="both"/>
        <w:rPr>
          <w:rFonts w:cs="Arial"/>
          <w:szCs w:val="20"/>
        </w:rPr>
      </w:pPr>
      <w:r>
        <w:rPr>
          <w:rFonts w:cs="Arial"/>
          <w:szCs w:val="20"/>
        </w:rPr>
        <w:t>Ogólne zasady kontroli jakości robót podano w ST DM.00.00.00 „Wymagania ogólne”.</w:t>
      </w:r>
    </w:p>
    <w:p w:rsidR="00B77F00" w:rsidRDefault="00865FA3">
      <w:pPr>
        <w:pStyle w:val="Standard"/>
        <w:jc w:val="both"/>
        <w:rPr>
          <w:rFonts w:cs="Arial"/>
          <w:szCs w:val="20"/>
        </w:rPr>
      </w:pPr>
      <w:r>
        <w:rPr>
          <w:rFonts w:cs="Arial"/>
          <w:szCs w:val="20"/>
        </w:rPr>
        <w:t>6.2. Szczegółowe zasady kontroli jakości robót</w:t>
      </w:r>
    </w:p>
    <w:p w:rsidR="00B77F00" w:rsidRDefault="00865FA3">
      <w:pPr>
        <w:pStyle w:val="Standard"/>
        <w:jc w:val="both"/>
        <w:rPr>
          <w:rFonts w:cs="Arial"/>
          <w:szCs w:val="20"/>
        </w:rPr>
      </w:pPr>
      <w:r>
        <w:rPr>
          <w:rFonts w:cs="Arial"/>
          <w:szCs w:val="20"/>
        </w:rPr>
        <w:t>6.2.1. Kontrola jakości</w:t>
      </w:r>
    </w:p>
    <w:p w:rsidR="00B77F00" w:rsidRDefault="00865FA3">
      <w:pPr>
        <w:pStyle w:val="Standard"/>
        <w:jc w:val="both"/>
        <w:rPr>
          <w:rFonts w:cs="Arial"/>
          <w:szCs w:val="20"/>
        </w:rPr>
      </w:pPr>
      <w:r>
        <w:rPr>
          <w:rFonts w:cs="Arial"/>
          <w:szCs w:val="20"/>
        </w:rPr>
        <w:t xml:space="preserve">Sprawdzeniu </w:t>
      </w:r>
      <w:r>
        <w:rPr>
          <w:rFonts w:cs="Arial"/>
          <w:szCs w:val="20"/>
        </w:rPr>
        <w:t>jakości robót izolacyjnych podlegają wszystkie fazy i procesy technologiczne w trakcie ich prowadzenia.</w:t>
      </w:r>
    </w:p>
    <w:p w:rsidR="00B77F00" w:rsidRDefault="00865FA3">
      <w:pPr>
        <w:pStyle w:val="Standard"/>
        <w:jc w:val="both"/>
        <w:rPr>
          <w:rFonts w:cs="Arial"/>
          <w:szCs w:val="20"/>
        </w:rPr>
      </w:pPr>
      <w:r>
        <w:rPr>
          <w:rFonts w:cs="Arial"/>
          <w:szCs w:val="20"/>
        </w:rPr>
        <w:t>Ze względu na techniczne znaczenie izolacji, zanikający charakter robót oraz dokumentacyjną formę protokołu, Wykonawca powinien wykazać szczególną dbał</w:t>
      </w:r>
      <w:r>
        <w:rPr>
          <w:rFonts w:cs="Arial"/>
          <w:szCs w:val="20"/>
        </w:rPr>
        <w:t>ość o nadzór i kontrolę robót.</w:t>
      </w:r>
    </w:p>
    <w:p w:rsidR="00B77F00" w:rsidRDefault="00865FA3">
      <w:pPr>
        <w:pStyle w:val="Standard"/>
        <w:jc w:val="both"/>
        <w:rPr>
          <w:rFonts w:cs="Arial"/>
          <w:szCs w:val="20"/>
        </w:rPr>
      </w:pPr>
      <w:r>
        <w:rPr>
          <w:rFonts w:cs="Arial"/>
          <w:szCs w:val="20"/>
        </w:rPr>
        <w:t>W trakcie wykonywania robót oraz po ich zakończeniu należy dokonywać kontroli zwracając szczególną uwagę na:</w:t>
      </w:r>
    </w:p>
    <w:p w:rsidR="00B77F00" w:rsidRDefault="00865FA3">
      <w:pPr>
        <w:pStyle w:val="Standard"/>
        <w:jc w:val="both"/>
        <w:rPr>
          <w:rFonts w:cs="Arial"/>
          <w:szCs w:val="20"/>
        </w:rPr>
      </w:pPr>
      <w:r>
        <w:rPr>
          <w:rFonts w:cs="Arial"/>
          <w:szCs w:val="20"/>
        </w:rPr>
        <w:t>Sprawdzenie materiałów na podstawie zapisów w Dzienniku Budowy i innych dokumentów stwierdzających zgodność użytych</w:t>
      </w:r>
      <w:r>
        <w:rPr>
          <w:rFonts w:cs="Arial"/>
          <w:szCs w:val="20"/>
        </w:rPr>
        <w:t xml:space="preserve"> materiałów z powołanymi normami i niniejszą Specyfikacją. Materiały nie mające dokumentów stwierdzających ich jakość i budzące pod tym względem wątpliwości, powinny być poddawane badaniom przed ich zastosowaniem, a wynik badań odnotowany w Dzienniku Budow</w:t>
      </w:r>
      <w:r>
        <w:rPr>
          <w:rFonts w:cs="Arial"/>
          <w:szCs w:val="20"/>
        </w:rPr>
        <w:t>y,</w:t>
      </w:r>
    </w:p>
    <w:p w:rsidR="00B77F00" w:rsidRDefault="00865FA3">
      <w:pPr>
        <w:pStyle w:val="Standard"/>
        <w:jc w:val="both"/>
        <w:rPr>
          <w:rFonts w:cs="Arial"/>
          <w:szCs w:val="20"/>
        </w:rPr>
      </w:pPr>
      <w:r>
        <w:rPr>
          <w:rFonts w:cs="Arial"/>
          <w:szCs w:val="20"/>
        </w:rPr>
        <w:t>Sprawdzenie równości powierzchni podkładu,</w:t>
      </w:r>
    </w:p>
    <w:p w:rsidR="00B77F00" w:rsidRDefault="00865FA3">
      <w:pPr>
        <w:pStyle w:val="Standard"/>
        <w:jc w:val="both"/>
        <w:rPr>
          <w:rFonts w:cs="Arial"/>
          <w:szCs w:val="20"/>
        </w:rPr>
      </w:pPr>
      <w:r>
        <w:rPr>
          <w:rFonts w:cs="Arial"/>
          <w:szCs w:val="20"/>
        </w:rPr>
        <w:t>Sprawdzenie poprawności układania warstw. Każda warstwa izolacji powinna stanowić jednolitą, czystą powłokę przylegającą do powierzchni podkładu lub do uprzednio ułożonej warstwy,</w:t>
      </w:r>
    </w:p>
    <w:p w:rsidR="00B77F00" w:rsidRDefault="00865FA3">
      <w:pPr>
        <w:pStyle w:val="Standard"/>
        <w:jc w:val="both"/>
        <w:rPr>
          <w:rFonts w:cs="Arial"/>
          <w:szCs w:val="20"/>
        </w:rPr>
      </w:pPr>
      <w:r>
        <w:rPr>
          <w:rFonts w:cs="Arial"/>
          <w:szCs w:val="20"/>
        </w:rPr>
        <w:t>Kontrola ilości ułożonych wa</w:t>
      </w:r>
      <w:r>
        <w:rPr>
          <w:rFonts w:cs="Arial"/>
          <w:szCs w:val="20"/>
        </w:rPr>
        <w:t>rstw i uzyskanie odpowiedniej sumarycznej grubości izolacji.</w:t>
      </w:r>
    </w:p>
    <w:p w:rsidR="00B77F00" w:rsidRDefault="00865FA3">
      <w:pPr>
        <w:pStyle w:val="Standard"/>
        <w:jc w:val="both"/>
        <w:rPr>
          <w:rFonts w:cs="Arial"/>
          <w:szCs w:val="20"/>
        </w:rPr>
      </w:pPr>
      <w:r>
        <w:rPr>
          <w:rFonts w:cs="Arial"/>
          <w:szCs w:val="20"/>
        </w:rPr>
        <w:t>6.2.2. Opis badań</w:t>
      </w:r>
    </w:p>
    <w:p w:rsidR="00B77F00" w:rsidRDefault="00865FA3">
      <w:pPr>
        <w:pStyle w:val="Standard"/>
        <w:jc w:val="both"/>
        <w:rPr>
          <w:rFonts w:cs="Arial"/>
          <w:szCs w:val="20"/>
        </w:rPr>
      </w:pPr>
      <w:r>
        <w:rPr>
          <w:rFonts w:cs="Arial"/>
          <w:szCs w:val="20"/>
        </w:rPr>
        <w:t>a)</w:t>
      </w:r>
      <w:r>
        <w:rPr>
          <w:rFonts w:cs="Arial"/>
          <w:szCs w:val="20"/>
        </w:rPr>
        <w:tab/>
        <w:t xml:space="preserve">Sprawdzenie zgodności z Dokumentacją Projektową należy przeprowadzać przez porównanie wykonanych robót izolacyjnych z Dokumentacją Projektową i opisem technicznym wg wymagań </w:t>
      </w:r>
      <w:r>
        <w:rPr>
          <w:rFonts w:cs="Arial"/>
          <w:szCs w:val="20"/>
        </w:rPr>
        <w:t>z punktu 5 niniejszej Specyfikacji oraz stwierdzenie wzajemnej zgodności za pomocą oględzin zewnętrznych i pomiaru wymiarów liniowych z dokładnością do 0,5cm.</w:t>
      </w:r>
    </w:p>
    <w:p w:rsidR="00B77F00" w:rsidRDefault="00865FA3">
      <w:pPr>
        <w:pStyle w:val="Standard"/>
        <w:jc w:val="both"/>
        <w:rPr>
          <w:rFonts w:cs="Arial"/>
          <w:szCs w:val="20"/>
        </w:rPr>
      </w:pPr>
      <w:r>
        <w:rPr>
          <w:rFonts w:cs="Arial"/>
          <w:szCs w:val="20"/>
        </w:rPr>
        <w:t>b)</w:t>
      </w:r>
      <w:r>
        <w:rPr>
          <w:rFonts w:cs="Arial"/>
          <w:szCs w:val="20"/>
        </w:rPr>
        <w:tab/>
        <w:t>Sprawdzenie materiałów należy przeprowadzać na podstawie ich zaświadczeń jakości, zapisów w Dz</w:t>
      </w:r>
      <w:r>
        <w:rPr>
          <w:rFonts w:cs="Arial"/>
          <w:szCs w:val="20"/>
        </w:rPr>
        <w:t xml:space="preserve">ienniku Budowy i innych dokumentów stwierdzających zgodność użytych materiałów z wymaganiami Dokumentacji Projektowej oraz z normą PN 90/B 04615 „Papy asfaltowe i smołowe. Metody badań” oraz opracowaniem IBDiM „Metody badań i oceny izolacyjnych materiałów </w:t>
      </w:r>
      <w:r>
        <w:rPr>
          <w:rFonts w:cs="Arial"/>
          <w:szCs w:val="20"/>
        </w:rPr>
        <w:t>rolowych i mastyksów”.</w:t>
      </w:r>
      <w:r>
        <w:rPr>
          <w:rFonts w:cs="Arial"/>
          <w:szCs w:val="20"/>
        </w:rPr>
        <w:br/>
      </w:r>
      <w:r>
        <w:rPr>
          <w:rFonts w:cs="Arial"/>
          <w:szCs w:val="20"/>
        </w:rPr>
        <w:lastRenderedPageBreak/>
        <w:t>Materiały nie mające dokumentów stwierdzających ich jakość i budzące pod tym względem wątpliwości powinny być poddane badaniom przed ich zastosowaniem, a wyniki badań odnotowane w Dzienniku Budowy.</w:t>
      </w:r>
    </w:p>
    <w:p w:rsidR="00B77F00" w:rsidRDefault="00865FA3">
      <w:pPr>
        <w:pStyle w:val="Standard"/>
        <w:jc w:val="both"/>
        <w:rPr>
          <w:rFonts w:cs="Arial"/>
          <w:szCs w:val="20"/>
        </w:rPr>
      </w:pPr>
      <w:r>
        <w:rPr>
          <w:rFonts w:cs="Arial"/>
          <w:szCs w:val="20"/>
        </w:rPr>
        <w:t>c)</w:t>
      </w:r>
      <w:r>
        <w:rPr>
          <w:rFonts w:cs="Arial"/>
          <w:szCs w:val="20"/>
        </w:rPr>
        <w:tab/>
        <w:t>Sprawdzenie powierzchni podkładu</w:t>
      </w:r>
      <w:r>
        <w:rPr>
          <w:rFonts w:cs="Arial"/>
          <w:szCs w:val="20"/>
        </w:rPr>
        <w:t xml:space="preserve"> należy przeprowadzać za pomocą łaty o długości 4,0m, przyłożonej w 3 dowolnie wybranych miejscach na każde 20m2 powierzchni podkładu i przez pomiar jego odchylenia od łaty z dokładnością do 1mm na zgodność z wymaganiami 5.2.4 niniejszej Specyfikacji.</w:t>
      </w:r>
      <w:r>
        <w:rPr>
          <w:rFonts w:cs="Arial"/>
          <w:szCs w:val="20"/>
        </w:rPr>
        <w:br/>
      </w:r>
      <w:r>
        <w:rPr>
          <w:rFonts w:cs="Arial"/>
          <w:szCs w:val="20"/>
        </w:rPr>
        <w:t>Spra</w:t>
      </w:r>
      <w:r>
        <w:rPr>
          <w:rFonts w:cs="Arial"/>
          <w:szCs w:val="20"/>
        </w:rPr>
        <w:t>wdzenie wytrzymałości podłoża na odrywanie wykonywane metodą „pull-off” przy średnicy krążka próbnego Ø50 mm wg zasady: 1 oznaczenie na 25m2 izolowanej powierzchni i min. 5 oznaczeń wg PN-92/B-01814.</w:t>
      </w:r>
      <w:r>
        <w:rPr>
          <w:rFonts w:cs="Arial"/>
          <w:szCs w:val="20"/>
        </w:rPr>
        <w:br/>
      </w:r>
      <w:r>
        <w:rPr>
          <w:rFonts w:cs="Arial"/>
          <w:szCs w:val="20"/>
        </w:rPr>
        <w:t>Wyniki badań powinny być zgodne z przedstawionymi w punk</w:t>
      </w:r>
      <w:r>
        <w:rPr>
          <w:rFonts w:cs="Arial"/>
          <w:szCs w:val="20"/>
        </w:rPr>
        <w:t>tach 5.2.4 i 5.2.5. niniejszej Specyfikacji.</w:t>
      </w:r>
    </w:p>
    <w:p w:rsidR="00B77F00" w:rsidRDefault="00865FA3">
      <w:pPr>
        <w:pStyle w:val="Standard"/>
        <w:jc w:val="both"/>
        <w:rPr>
          <w:rFonts w:cs="Arial"/>
          <w:szCs w:val="20"/>
        </w:rPr>
      </w:pPr>
      <w:r>
        <w:rPr>
          <w:rFonts w:cs="Arial"/>
          <w:szCs w:val="20"/>
        </w:rPr>
        <w:t xml:space="preserve">d) </w:t>
      </w:r>
      <w:r>
        <w:rPr>
          <w:rFonts w:cs="Arial"/>
          <w:szCs w:val="20"/>
        </w:rPr>
        <w:tab/>
        <w:t>Sprawdzenie warunków przystąpienia do robót należy przeprowadzać na podstawie zapisów w Dzienniku Budowy na zgodność z wymaganiami punktu 5.3 niniejszej Specyfikacji.</w:t>
      </w:r>
    </w:p>
    <w:p w:rsidR="00B77F00" w:rsidRDefault="00865FA3">
      <w:pPr>
        <w:pStyle w:val="Standard"/>
        <w:jc w:val="both"/>
        <w:rPr>
          <w:rFonts w:cs="Arial"/>
          <w:szCs w:val="20"/>
        </w:rPr>
      </w:pPr>
      <w:r>
        <w:rPr>
          <w:rFonts w:cs="Arial"/>
          <w:szCs w:val="20"/>
        </w:rPr>
        <w:t xml:space="preserve">6.2.3. Sprawdzenie prawidłowości </w:t>
      </w:r>
      <w:r>
        <w:rPr>
          <w:rFonts w:cs="Arial"/>
          <w:szCs w:val="20"/>
        </w:rPr>
        <w:t>wykonania robót</w:t>
      </w:r>
    </w:p>
    <w:p w:rsidR="00B77F00" w:rsidRDefault="00865FA3">
      <w:pPr>
        <w:pStyle w:val="Standard"/>
        <w:jc w:val="both"/>
        <w:rPr>
          <w:rFonts w:cs="Arial"/>
          <w:szCs w:val="20"/>
        </w:rPr>
      </w:pPr>
      <w:r>
        <w:rPr>
          <w:rFonts w:cs="Arial"/>
          <w:szCs w:val="20"/>
        </w:rPr>
        <w:t>a)</w:t>
      </w:r>
      <w:r>
        <w:rPr>
          <w:rFonts w:cs="Arial"/>
          <w:szCs w:val="20"/>
        </w:rPr>
        <w:tab/>
        <w:t>Sprawdzenie przylegania izolacji do podkładu należy przeprowadzać wzrokowo i za pomocą młotka drewnianego przez lekkie opukiwanie warstwy izolacji w 3 dowolnie wybranych miejscach na każde 10 - 20m2 powierzchni izolacji.</w:t>
      </w:r>
    </w:p>
    <w:p w:rsidR="00B77F00" w:rsidRDefault="00865FA3">
      <w:pPr>
        <w:pStyle w:val="Standard"/>
        <w:jc w:val="both"/>
        <w:rPr>
          <w:rFonts w:cs="Arial"/>
          <w:szCs w:val="20"/>
        </w:rPr>
      </w:pPr>
      <w:r>
        <w:rPr>
          <w:rFonts w:cs="Arial"/>
          <w:szCs w:val="20"/>
        </w:rPr>
        <w:t>Charakterystyczn</w:t>
      </w:r>
      <w:r>
        <w:rPr>
          <w:rFonts w:cs="Arial"/>
          <w:szCs w:val="20"/>
        </w:rPr>
        <w:t>y głuchy dźwięk świadczy o nieprzyleganiu i niezwiązaniu izolacji z podkładem.</w:t>
      </w:r>
    </w:p>
    <w:p w:rsidR="00B77F00" w:rsidRDefault="00865FA3">
      <w:pPr>
        <w:pStyle w:val="Standard"/>
        <w:jc w:val="both"/>
        <w:rPr>
          <w:rFonts w:cs="Arial"/>
          <w:szCs w:val="20"/>
        </w:rPr>
      </w:pPr>
      <w:r>
        <w:rPr>
          <w:rFonts w:cs="Arial"/>
          <w:szCs w:val="20"/>
        </w:rPr>
        <w:t>b)</w:t>
      </w:r>
      <w:r>
        <w:rPr>
          <w:rFonts w:cs="Arial"/>
          <w:szCs w:val="20"/>
        </w:rPr>
        <w:tab/>
        <w:t>Sprawdzenie prawidłowości ułożenia powłok bitumicznych należy przeprowadzać wzrokowo w czasie ich wykonywania, kontrolując stosowanie właściwych materiałów i liczbę ich warst</w:t>
      </w:r>
      <w:r>
        <w:rPr>
          <w:rFonts w:cs="Arial"/>
          <w:szCs w:val="20"/>
        </w:rPr>
        <w:t>w.</w:t>
      </w:r>
    </w:p>
    <w:p w:rsidR="00B77F00" w:rsidRDefault="00865FA3">
      <w:pPr>
        <w:pStyle w:val="Standard"/>
        <w:jc w:val="both"/>
        <w:rPr>
          <w:rFonts w:cs="Arial"/>
          <w:szCs w:val="20"/>
        </w:rPr>
      </w:pPr>
      <w:r>
        <w:rPr>
          <w:rFonts w:cs="Arial"/>
          <w:szCs w:val="20"/>
        </w:rPr>
        <w:t xml:space="preserve">c) </w:t>
      </w:r>
      <w:r>
        <w:rPr>
          <w:rFonts w:cs="Arial"/>
          <w:szCs w:val="20"/>
        </w:rPr>
        <w:tab/>
        <w:t>Sprawdzenie prawidłowości ułożenia powłok z materiałów rolowych należy przeprowadzać w trakcie wykonywania izolacji, kontrolując stosowanie właściwych materiałów, wielkość zakładów oraz dokładność przyklejenia do podłoża zgodnie z wymaganiami podany</w:t>
      </w:r>
      <w:r>
        <w:rPr>
          <w:rFonts w:cs="Arial"/>
          <w:szCs w:val="20"/>
        </w:rPr>
        <w:t>mi w niniejszej Specyfikacji Technicznej.</w:t>
      </w:r>
    </w:p>
    <w:p w:rsidR="00B77F00" w:rsidRDefault="00865FA3">
      <w:pPr>
        <w:pStyle w:val="Standard"/>
        <w:jc w:val="both"/>
        <w:rPr>
          <w:rFonts w:cs="Arial"/>
          <w:szCs w:val="20"/>
        </w:rPr>
      </w:pPr>
      <w:r>
        <w:rPr>
          <w:rFonts w:cs="Arial"/>
          <w:szCs w:val="20"/>
        </w:rPr>
        <w:t xml:space="preserve">d) </w:t>
      </w:r>
      <w:r>
        <w:rPr>
          <w:rFonts w:cs="Arial"/>
          <w:szCs w:val="20"/>
        </w:rPr>
        <w:tab/>
        <w:t>Sprawdzenie zabezpieczenia szczelin dylatacyjnych, osadzenia urządzeń odwadniających i zabezpieczenia elementów konstrukcyjnych należy przeprowadzać w trakcie wykonywania izolacji, kontrolując zachowanie wymaga</w:t>
      </w:r>
      <w:r>
        <w:rPr>
          <w:rFonts w:cs="Arial"/>
          <w:szCs w:val="20"/>
        </w:rPr>
        <w:t>ń zawartych na Dokumentacji Projektowej oraz w Katalogu Detali Mostowych Generalnej Dyrekcji Dróg Krajowych i Autostrad, opracowanie „Transprojekt” Warszawa.</w:t>
      </w:r>
    </w:p>
    <w:p w:rsidR="00B77F00" w:rsidRDefault="00865FA3">
      <w:pPr>
        <w:pStyle w:val="Standard"/>
        <w:jc w:val="both"/>
        <w:rPr>
          <w:rFonts w:cs="Arial"/>
          <w:szCs w:val="20"/>
        </w:rPr>
      </w:pPr>
      <w:r>
        <w:rPr>
          <w:rFonts w:cs="Arial"/>
          <w:szCs w:val="20"/>
        </w:rPr>
        <w:t>6.2.4. Ocena wyników badań</w:t>
      </w:r>
    </w:p>
    <w:p w:rsidR="00B77F00" w:rsidRDefault="00865FA3">
      <w:pPr>
        <w:pStyle w:val="Standard"/>
        <w:jc w:val="both"/>
        <w:rPr>
          <w:rFonts w:cs="Arial"/>
          <w:szCs w:val="20"/>
        </w:rPr>
      </w:pPr>
      <w:r>
        <w:rPr>
          <w:rFonts w:cs="Arial"/>
          <w:szCs w:val="20"/>
        </w:rPr>
        <w:t>Jeżeli badania przewidziane w 6.2.2. dadzą wynik dodatni - wykonanie ro</w:t>
      </w:r>
      <w:r>
        <w:rPr>
          <w:rFonts w:cs="Arial"/>
          <w:szCs w:val="20"/>
        </w:rPr>
        <w:t>bót izolacyjnych należy uznać za zgodne z wymaganiami niniejszej Specyfikacji.</w:t>
      </w:r>
    </w:p>
    <w:p w:rsidR="00B77F00" w:rsidRDefault="00865FA3">
      <w:pPr>
        <w:pStyle w:val="Standard"/>
        <w:jc w:val="both"/>
        <w:rPr>
          <w:rFonts w:cs="Arial"/>
          <w:szCs w:val="20"/>
        </w:rPr>
      </w:pPr>
      <w:r>
        <w:rPr>
          <w:rFonts w:cs="Arial"/>
          <w:szCs w:val="20"/>
        </w:rPr>
        <w:t>W przypadku gdy choćby jedno z badań dało wynik ujemny, należy odbierane roboty izolacyjne uznać za niezgodne z wymaganiami niniejszej Specyfikacji.</w:t>
      </w:r>
    </w:p>
    <w:p w:rsidR="00B77F00" w:rsidRDefault="00865FA3">
      <w:pPr>
        <w:pStyle w:val="Standard"/>
        <w:jc w:val="both"/>
        <w:rPr>
          <w:rFonts w:cs="Arial"/>
          <w:szCs w:val="20"/>
        </w:rPr>
      </w:pPr>
      <w:r>
        <w:rPr>
          <w:rFonts w:cs="Arial"/>
          <w:szCs w:val="20"/>
        </w:rPr>
        <w:t>W razie uznania robót izolac</w:t>
      </w:r>
      <w:r>
        <w:rPr>
          <w:rFonts w:cs="Arial"/>
          <w:szCs w:val="20"/>
        </w:rPr>
        <w:t>yjnych za niezgodne z wymaganiami niniejszej Specyfikacji, komisja przeprowadzająca badania powinna ustalić, czy należy całkowicie lub częściowo uznać roboty za niezgodne z wymaganiami niniejszej Specyfikacji i nakazać ponowne ich wykonanie albo nakazać wy</w:t>
      </w:r>
      <w:r>
        <w:rPr>
          <w:rFonts w:cs="Arial"/>
          <w:szCs w:val="20"/>
        </w:rPr>
        <w:t>konanie poprawek, które doprowadzą do zgodności robót z wymaganiami niniejszej Specyfikacji.</w:t>
      </w:r>
    </w:p>
    <w:p w:rsidR="00B77F00" w:rsidRDefault="00B77F00">
      <w:pPr>
        <w:pStyle w:val="Standard"/>
        <w:jc w:val="both"/>
        <w:rPr>
          <w:rFonts w:cs="Arial"/>
          <w:szCs w:val="20"/>
        </w:rPr>
      </w:pPr>
    </w:p>
    <w:p w:rsidR="00B77F00" w:rsidRDefault="00865FA3">
      <w:pPr>
        <w:pStyle w:val="Standard"/>
        <w:jc w:val="both"/>
        <w:rPr>
          <w:rFonts w:cs="Arial"/>
          <w:b/>
          <w:bCs/>
          <w:szCs w:val="20"/>
        </w:rPr>
      </w:pPr>
      <w:r>
        <w:rPr>
          <w:rFonts w:cs="Arial"/>
          <w:b/>
          <w:bCs/>
          <w:szCs w:val="20"/>
        </w:rPr>
        <w:t>7. OBMIAR ROBÓT</w:t>
      </w:r>
    </w:p>
    <w:p w:rsidR="00B77F00" w:rsidRDefault="00865FA3">
      <w:pPr>
        <w:pStyle w:val="Standard"/>
        <w:jc w:val="both"/>
        <w:rPr>
          <w:rFonts w:cs="Arial"/>
          <w:szCs w:val="20"/>
        </w:rPr>
      </w:pPr>
      <w:r>
        <w:rPr>
          <w:rFonts w:cs="Arial"/>
          <w:szCs w:val="20"/>
        </w:rPr>
        <w:t>7.1. Ogólne zasady obmiaru robót</w:t>
      </w:r>
    </w:p>
    <w:p w:rsidR="00B77F00" w:rsidRDefault="00865FA3">
      <w:pPr>
        <w:pStyle w:val="Standard"/>
        <w:jc w:val="both"/>
        <w:rPr>
          <w:rFonts w:cs="Arial"/>
          <w:szCs w:val="20"/>
        </w:rPr>
      </w:pPr>
      <w:r>
        <w:rPr>
          <w:rFonts w:cs="Arial"/>
          <w:szCs w:val="20"/>
        </w:rPr>
        <w:t>Ogólne zasady obmiaru robót podano w ST DM.00.00.00 „Wymagania ogólne”.</w:t>
      </w:r>
    </w:p>
    <w:p w:rsidR="00B77F00" w:rsidRDefault="00865FA3">
      <w:pPr>
        <w:pStyle w:val="Standard"/>
        <w:jc w:val="both"/>
        <w:rPr>
          <w:rFonts w:cs="Arial"/>
          <w:szCs w:val="20"/>
        </w:rPr>
      </w:pPr>
      <w:r>
        <w:rPr>
          <w:rFonts w:cs="Arial"/>
          <w:szCs w:val="20"/>
        </w:rPr>
        <w:t>7.2. Jednostka obmiarowa</w:t>
      </w:r>
    </w:p>
    <w:p w:rsidR="00B77F00" w:rsidRDefault="00865FA3">
      <w:pPr>
        <w:pStyle w:val="Standard"/>
        <w:jc w:val="both"/>
        <w:rPr>
          <w:rFonts w:cs="Arial"/>
          <w:szCs w:val="20"/>
        </w:rPr>
      </w:pPr>
      <w:r>
        <w:rPr>
          <w:rFonts w:cs="Arial"/>
          <w:szCs w:val="20"/>
        </w:rPr>
        <w:t>Jednostką obmiar</w:t>
      </w:r>
      <w:r>
        <w:rPr>
          <w:rFonts w:cs="Arial"/>
          <w:szCs w:val="20"/>
        </w:rPr>
        <w:t>u jest 1m2 (metr kwadratowy) izolowanej powierzchni płyty pomostowej.</w:t>
      </w:r>
    </w:p>
    <w:p w:rsidR="00B77F00" w:rsidRDefault="00B77F00">
      <w:pPr>
        <w:pStyle w:val="Standard"/>
        <w:jc w:val="both"/>
        <w:rPr>
          <w:rFonts w:cs="Arial"/>
          <w:szCs w:val="20"/>
        </w:rPr>
      </w:pPr>
    </w:p>
    <w:p w:rsidR="00B77F00" w:rsidRDefault="00865FA3">
      <w:pPr>
        <w:pStyle w:val="Standard"/>
        <w:jc w:val="both"/>
        <w:rPr>
          <w:rFonts w:cs="Arial"/>
          <w:b/>
          <w:bCs/>
          <w:szCs w:val="20"/>
        </w:rPr>
      </w:pPr>
      <w:r>
        <w:rPr>
          <w:rFonts w:cs="Arial"/>
          <w:b/>
          <w:bCs/>
          <w:szCs w:val="20"/>
        </w:rPr>
        <w:t>8. ODBIÓR ROBÓT</w:t>
      </w:r>
    </w:p>
    <w:p w:rsidR="00B77F00" w:rsidRDefault="00865FA3">
      <w:pPr>
        <w:pStyle w:val="Standard"/>
        <w:jc w:val="both"/>
        <w:rPr>
          <w:rFonts w:cs="Arial"/>
          <w:szCs w:val="20"/>
        </w:rPr>
      </w:pPr>
      <w:r>
        <w:rPr>
          <w:rFonts w:cs="Arial"/>
          <w:szCs w:val="20"/>
        </w:rPr>
        <w:t>8.1. Ogólne zasady odbioru robót</w:t>
      </w:r>
    </w:p>
    <w:p w:rsidR="00B77F00" w:rsidRDefault="00865FA3">
      <w:pPr>
        <w:pStyle w:val="Standard"/>
        <w:jc w:val="both"/>
        <w:rPr>
          <w:rFonts w:cs="Arial"/>
          <w:szCs w:val="20"/>
        </w:rPr>
      </w:pPr>
      <w:r>
        <w:rPr>
          <w:rFonts w:cs="Arial"/>
          <w:szCs w:val="20"/>
        </w:rPr>
        <w:t>Ogólne zasady odbioru robót podano w ST DM.00.00.00 „Wymagania ogólne”.</w:t>
      </w:r>
    </w:p>
    <w:p w:rsidR="00B77F00" w:rsidRDefault="00865FA3">
      <w:pPr>
        <w:pStyle w:val="Standard"/>
        <w:jc w:val="both"/>
        <w:rPr>
          <w:rFonts w:cs="Arial"/>
          <w:szCs w:val="20"/>
        </w:rPr>
      </w:pPr>
      <w:r>
        <w:rPr>
          <w:rFonts w:cs="Arial"/>
          <w:szCs w:val="20"/>
        </w:rPr>
        <w:t>8.2. Szczegółowe zasady odbioru robót</w:t>
      </w:r>
    </w:p>
    <w:p w:rsidR="00B77F00" w:rsidRDefault="00865FA3">
      <w:pPr>
        <w:pStyle w:val="Standard"/>
        <w:jc w:val="both"/>
        <w:rPr>
          <w:rFonts w:cs="Arial"/>
          <w:szCs w:val="20"/>
        </w:rPr>
      </w:pPr>
      <w:r>
        <w:rPr>
          <w:rFonts w:cs="Arial"/>
          <w:szCs w:val="20"/>
        </w:rPr>
        <w:t>Odbiory należy przeprowadz</w:t>
      </w:r>
      <w:r>
        <w:rPr>
          <w:rFonts w:cs="Arial"/>
          <w:szCs w:val="20"/>
        </w:rPr>
        <w:t>ać dla każdej warstwy pokrycia osobno - przy czym sporządza się jeden protokół odbioru izolacji po wykonaniu powłoki izolacyjnej.</w:t>
      </w:r>
    </w:p>
    <w:p w:rsidR="00B77F00" w:rsidRDefault="00865FA3">
      <w:pPr>
        <w:pStyle w:val="Standard"/>
        <w:jc w:val="both"/>
        <w:rPr>
          <w:rFonts w:cs="Arial"/>
          <w:szCs w:val="20"/>
        </w:rPr>
      </w:pPr>
      <w:r>
        <w:rPr>
          <w:rFonts w:cs="Arial"/>
          <w:szCs w:val="20"/>
        </w:rPr>
        <w:t>W protokole odbioru należy odnotować fakt dokonywania poprawek określając ich rodzaj i miejsce</w:t>
      </w:r>
    </w:p>
    <w:p w:rsidR="00B77F00" w:rsidRDefault="00865FA3">
      <w:pPr>
        <w:pStyle w:val="Standard"/>
        <w:jc w:val="both"/>
        <w:rPr>
          <w:rFonts w:cs="Arial"/>
          <w:szCs w:val="20"/>
        </w:rPr>
      </w:pPr>
      <w:r>
        <w:rPr>
          <w:rFonts w:cs="Arial"/>
          <w:szCs w:val="20"/>
        </w:rPr>
        <w:t>Podstawą do odbioru robót izola</w:t>
      </w:r>
      <w:r>
        <w:rPr>
          <w:rFonts w:cs="Arial"/>
          <w:szCs w:val="20"/>
        </w:rPr>
        <w:t>cyjnych są badania obejmujące:</w:t>
      </w:r>
    </w:p>
    <w:p w:rsidR="00B77F00" w:rsidRDefault="00865FA3">
      <w:pPr>
        <w:pStyle w:val="Standard"/>
        <w:jc w:val="both"/>
        <w:rPr>
          <w:rFonts w:cs="Arial"/>
          <w:szCs w:val="20"/>
        </w:rPr>
      </w:pPr>
      <w:r>
        <w:rPr>
          <w:rFonts w:cs="Arial"/>
          <w:szCs w:val="20"/>
        </w:rPr>
        <w:t>-sprawdzenie zgodności z Dokumentacją Projektową,</w:t>
      </w:r>
    </w:p>
    <w:p w:rsidR="00B77F00" w:rsidRDefault="00865FA3">
      <w:pPr>
        <w:pStyle w:val="Standard"/>
        <w:jc w:val="both"/>
        <w:rPr>
          <w:rFonts w:cs="Arial"/>
          <w:szCs w:val="20"/>
        </w:rPr>
      </w:pPr>
      <w:r>
        <w:rPr>
          <w:rFonts w:cs="Arial"/>
          <w:szCs w:val="20"/>
        </w:rPr>
        <w:t>-sprawdzenie materiałów,</w:t>
      </w:r>
    </w:p>
    <w:p w:rsidR="00B77F00" w:rsidRDefault="00865FA3">
      <w:pPr>
        <w:pStyle w:val="Standard"/>
        <w:jc w:val="both"/>
        <w:rPr>
          <w:rFonts w:cs="Arial"/>
          <w:szCs w:val="20"/>
        </w:rPr>
      </w:pPr>
      <w:r>
        <w:rPr>
          <w:rFonts w:cs="Arial"/>
          <w:szCs w:val="20"/>
        </w:rPr>
        <w:t>-sprawdzenie podłoża pod izolację,</w:t>
      </w:r>
    </w:p>
    <w:p w:rsidR="00B77F00" w:rsidRDefault="00865FA3">
      <w:pPr>
        <w:pStyle w:val="Standard"/>
        <w:jc w:val="both"/>
        <w:rPr>
          <w:rFonts w:cs="Arial"/>
          <w:szCs w:val="20"/>
        </w:rPr>
      </w:pPr>
      <w:r>
        <w:rPr>
          <w:rFonts w:cs="Arial"/>
          <w:szCs w:val="20"/>
        </w:rPr>
        <w:t>-sprawdzenie warunków prowadzenia robót,</w:t>
      </w:r>
    </w:p>
    <w:p w:rsidR="00B77F00" w:rsidRDefault="00865FA3">
      <w:pPr>
        <w:pStyle w:val="Standard"/>
        <w:jc w:val="both"/>
        <w:rPr>
          <w:rFonts w:cs="Arial"/>
          <w:szCs w:val="20"/>
        </w:rPr>
      </w:pPr>
      <w:r>
        <w:rPr>
          <w:rFonts w:cs="Arial"/>
          <w:szCs w:val="20"/>
        </w:rPr>
        <w:t>-sprawdzenie prawidłowości wykonanych robót.</w:t>
      </w:r>
    </w:p>
    <w:p w:rsidR="00B77F00" w:rsidRDefault="00865FA3">
      <w:pPr>
        <w:pStyle w:val="Standard"/>
        <w:jc w:val="both"/>
        <w:rPr>
          <w:rFonts w:cs="Arial"/>
          <w:szCs w:val="20"/>
        </w:rPr>
      </w:pPr>
      <w:r>
        <w:rPr>
          <w:rFonts w:cs="Arial"/>
          <w:szCs w:val="20"/>
        </w:rPr>
        <w:t xml:space="preserve">Do odbioru robót Wykonawca </w:t>
      </w:r>
      <w:r>
        <w:rPr>
          <w:rFonts w:cs="Arial"/>
          <w:szCs w:val="20"/>
        </w:rPr>
        <w:t>zobowiązany jest przedłożyć:</w:t>
      </w:r>
    </w:p>
    <w:p w:rsidR="00B77F00" w:rsidRDefault="00865FA3">
      <w:pPr>
        <w:pStyle w:val="Standard"/>
        <w:jc w:val="both"/>
        <w:rPr>
          <w:rFonts w:cs="Arial"/>
          <w:szCs w:val="20"/>
        </w:rPr>
      </w:pPr>
      <w:r>
        <w:rPr>
          <w:rFonts w:cs="Arial"/>
          <w:szCs w:val="20"/>
        </w:rPr>
        <w:t>-protokoły badań kontrolnych lub zaświadczenie jakości materiałów,</w:t>
      </w:r>
    </w:p>
    <w:p w:rsidR="00B77F00" w:rsidRDefault="00865FA3">
      <w:pPr>
        <w:pStyle w:val="Standard"/>
        <w:jc w:val="both"/>
        <w:rPr>
          <w:rFonts w:cs="Arial"/>
          <w:szCs w:val="20"/>
        </w:rPr>
      </w:pPr>
      <w:r>
        <w:rPr>
          <w:rFonts w:cs="Arial"/>
          <w:szCs w:val="20"/>
        </w:rPr>
        <w:t>-protokoły odbiorów częściowych,</w:t>
      </w:r>
    </w:p>
    <w:p w:rsidR="00B77F00" w:rsidRDefault="00865FA3">
      <w:pPr>
        <w:pStyle w:val="Standard"/>
        <w:jc w:val="both"/>
        <w:rPr>
          <w:rFonts w:cs="Arial"/>
          <w:szCs w:val="20"/>
        </w:rPr>
      </w:pPr>
      <w:r>
        <w:rPr>
          <w:rFonts w:cs="Arial"/>
          <w:szCs w:val="20"/>
        </w:rPr>
        <w:t>-zapisy w Dzienniku Budowy.</w:t>
      </w:r>
    </w:p>
    <w:p w:rsidR="00B77F00" w:rsidRDefault="00B77F00">
      <w:pPr>
        <w:pStyle w:val="Standard"/>
        <w:jc w:val="both"/>
        <w:rPr>
          <w:rFonts w:cs="Arial"/>
          <w:szCs w:val="20"/>
        </w:rPr>
      </w:pPr>
    </w:p>
    <w:p w:rsidR="00B77F00" w:rsidRDefault="00865FA3">
      <w:pPr>
        <w:pStyle w:val="Standard"/>
        <w:jc w:val="both"/>
        <w:rPr>
          <w:rFonts w:cs="Arial"/>
          <w:b/>
          <w:bCs/>
          <w:szCs w:val="20"/>
        </w:rPr>
      </w:pPr>
      <w:r>
        <w:rPr>
          <w:rFonts w:cs="Arial"/>
          <w:b/>
          <w:bCs/>
          <w:szCs w:val="20"/>
        </w:rPr>
        <w:t>9. PODSTAWA PŁATNOŚCI</w:t>
      </w:r>
    </w:p>
    <w:p w:rsidR="00B77F00" w:rsidRDefault="00865FA3">
      <w:pPr>
        <w:pStyle w:val="Standard"/>
        <w:jc w:val="both"/>
        <w:rPr>
          <w:rFonts w:cs="Arial"/>
          <w:szCs w:val="20"/>
        </w:rPr>
      </w:pPr>
      <w:r>
        <w:rPr>
          <w:rFonts w:cs="Arial"/>
          <w:szCs w:val="20"/>
        </w:rPr>
        <w:t>9.1. Ogólne ustalenia dotyczące podstawy płatności</w:t>
      </w:r>
    </w:p>
    <w:p w:rsidR="00B77F00" w:rsidRDefault="00865FA3">
      <w:pPr>
        <w:pStyle w:val="Standard"/>
        <w:jc w:val="both"/>
        <w:rPr>
          <w:rFonts w:cs="Arial"/>
          <w:szCs w:val="20"/>
        </w:rPr>
      </w:pPr>
      <w:r>
        <w:rPr>
          <w:rFonts w:cs="Arial"/>
          <w:szCs w:val="20"/>
        </w:rPr>
        <w:t>Ogólne ustalenia dotyc</w:t>
      </w:r>
      <w:r>
        <w:rPr>
          <w:rFonts w:cs="Arial"/>
          <w:szCs w:val="20"/>
        </w:rPr>
        <w:t>zące podstawy płatności podano w ST DM.00.00.00 „Wymagania ogólne”.</w:t>
      </w:r>
    </w:p>
    <w:p w:rsidR="00B77F00" w:rsidRDefault="00865FA3">
      <w:pPr>
        <w:pStyle w:val="Standard"/>
        <w:jc w:val="both"/>
        <w:rPr>
          <w:rFonts w:cs="Arial"/>
          <w:szCs w:val="20"/>
        </w:rPr>
      </w:pPr>
      <w:r>
        <w:rPr>
          <w:rFonts w:cs="Arial"/>
          <w:szCs w:val="20"/>
        </w:rPr>
        <w:t>9.2. Cena jednostki obmiarowej</w:t>
      </w:r>
    </w:p>
    <w:p w:rsidR="00B77F00" w:rsidRDefault="00865FA3">
      <w:pPr>
        <w:pStyle w:val="Standard"/>
        <w:jc w:val="both"/>
        <w:rPr>
          <w:rFonts w:cs="Arial"/>
          <w:szCs w:val="20"/>
        </w:rPr>
      </w:pPr>
      <w:r>
        <w:rPr>
          <w:rFonts w:cs="Arial"/>
          <w:szCs w:val="20"/>
        </w:rPr>
        <w:t>Podstawą płatności jest cena jednostkowa, która obejmuje:</w:t>
      </w:r>
    </w:p>
    <w:p w:rsidR="00B77F00" w:rsidRDefault="00865FA3">
      <w:pPr>
        <w:pStyle w:val="Standard"/>
        <w:jc w:val="both"/>
        <w:rPr>
          <w:rFonts w:cs="Arial"/>
          <w:szCs w:val="20"/>
        </w:rPr>
      </w:pPr>
      <w:r>
        <w:rPr>
          <w:rFonts w:cs="Arial"/>
          <w:szCs w:val="20"/>
        </w:rPr>
        <w:t>-zakup i dostarczenie materiałów i pozostałych czynników produkcji,</w:t>
      </w:r>
    </w:p>
    <w:p w:rsidR="00B77F00" w:rsidRDefault="00865FA3">
      <w:pPr>
        <w:pStyle w:val="Standard"/>
        <w:jc w:val="both"/>
        <w:rPr>
          <w:rFonts w:cs="Arial"/>
          <w:szCs w:val="20"/>
        </w:rPr>
      </w:pPr>
      <w:r>
        <w:rPr>
          <w:rFonts w:cs="Arial"/>
          <w:szCs w:val="20"/>
        </w:rPr>
        <w:t xml:space="preserve">-przygotowanie, oczyszczenie </w:t>
      </w:r>
      <w:r>
        <w:rPr>
          <w:rFonts w:cs="Arial"/>
          <w:szCs w:val="20"/>
        </w:rPr>
        <w:t>i zagruntowanie powierzchni betonu,</w:t>
      </w:r>
    </w:p>
    <w:p w:rsidR="00B77F00" w:rsidRDefault="00865FA3">
      <w:pPr>
        <w:pStyle w:val="Standard"/>
        <w:jc w:val="both"/>
        <w:rPr>
          <w:rFonts w:cs="Arial"/>
          <w:szCs w:val="20"/>
        </w:rPr>
      </w:pPr>
      <w:r>
        <w:rPr>
          <w:rFonts w:cs="Arial"/>
          <w:szCs w:val="20"/>
        </w:rPr>
        <w:t>-ułożenie izolacji zgodnie ze Specyfikacją i Dokumentacją Projektową,</w:t>
      </w:r>
    </w:p>
    <w:p w:rsidR="00B77F00" w:rsidRDefault="00865FA3">
      <w:pPr>
        <w:pStyle w:val="Standard"/>
        <w:jc w:val="both"/>
        <w:rPr>
          <w:rFonts w:cs="Arial"/>
          <w:szCs w:val="20"/>
        </w:rPr>
      </w:pPr>
      <w:r>
        <w:rPr>
          <w:rFonts w:cs="Arial"/>
          <w:szCs w:val="20"/>
        </w:rPr>
        <w:t>-zakłady, odpady i ubytki materiałowe,</w:t>
      </w:r>
    </w:p>
    <w:p w:rsidR="00B77F00" w:rsidRDefault="00865FA3">
      <w:pPr>
        <w:pStyle w:val="Standard"/>
        <w:jc w:val="both"/>
        <w:rPr>
          <w:rFonts w:cs="Arial"/>
          <w:szCs w:val="20"/>
        </w:rPr>
      </w:pPr>
      <w:r>
        <w:rPr>
          <w:rFonts w:cs="Arial"/>
          <w:szCs w:val="20"/>
        </w:rPr>
        <w:t>-wykonanie i rozbiórkę niezbędnych rusztowań, pomostów roboczych i namiotów,</w:t>
      </w:r>
    </w:p>
    <w:p w:rsidR="00B77F00" w:rsidRDefault="00865FA3">
      <w:pPr>
        <w:pStyle w:val="Standard"/>
        <w:jc w:val="both"/>
        <w:rPr>
          <w:rFonts w:cs="Arial"/>
          <w:szCs w:val="20"/>
        </w:rPr>
      </w:pPr>
      <w:r>
        <w:rPr>
          <w:rFonts w:cs="Arial"/>
          <w:szCs w:val="20"/>
        </w:rPr>
        <w:t>-koszt opracowania projektu org</w:t>
      </w:r>
      <w:r>
        <w:rPr>
          <w:rFonts w:cs="Arial"/>
          <w:szCs w:val="20"/>
        </w:rPr>
        <w:t>anizacji i harmonogramu robót,</w:t>
      </w:r>
    </w:p>
    <w:p w:rsidR="00B77F00" w:rsidRDefault="00865FA3">
      <w:pPr>
        <w:pStyle w:val="Standard"/>
        <w:jc w:val="both"/>
        <w:rPr>
          <w:rFonts w:cs="Arial"/>
          <w:szCs w:val="20"/>
        </w:rPr>
      </w:pPr>
      <w:r>
        <w:rPr>
          <w:rFonts w:cs="Arial"/>
          <w:szCs w:val="20"/>
        </w:rPr>
        <w:t>-oczyszczenie miejsca pracy.</w:t>
      </w:r>
    </w:p>
    <w:p w:rsidR="00B77F00" w:rsidRDefault="00B77F00">
      <w:pPr>
        <w:pStyle w:val="Standard"/>
        <w:jc w:val="both"/>
        <w:rPr>
          <w:rFonts w:cs="Arial"/>
          <w:szCs w:val="20"/>
        </w:rPr>
      </w:pPr>
    </w:p>
    <w:p w:rsidR="00B77F00" w:rsidRDefault="00865FA3">
      <w:pPr>
        <w:pStyle w:val="Standard"/>
        <w:ind w:left="486" w:hanging="429"/>
        <w:jc w:val="both"/>
        <w:rPr>
          <w:rFonts w:cs="Arial"/>
          <w:b/>
          <w:bCs/>
          <w:szCs w:val="20"/>
        </w:rPr>
      </w:pPr>
      <w:r>
        <w:rPr>
          <w:rFonts w:cs="Arial"/>
          <w:b/>
          <w:bCs/>
          <w:szCs w:val="20"/>
        </w:rPr>
        <w:t>W wycenie pozycji należy ująć wszystkie niezbędne materiały oraz czynniki do wykonania robót.</w:t>
      </w:r>
    </w:p>
    <w:p w:rsidR="00B77F00" w:rsidRDefault="00B77F00">
      <w:pPr>
        <w:pStyle w:val="Standard"/>
        <w:jc w:val="both"/>
        <w:rPr>
          <w:rFonts w:cs="Arial"/>
          <w:szCs w:val="20"/>
        </w:rPr>
      </w:pPr>
    </w:p>
    <w:p w:rsidR="00B77F00" w:rsidRDefault="00865FA3">
      <w:pPr>
        <w:pStyle w:val="Standard"/>
        <w:jc w:val="both"/>
        <w:rPr>
          <w:rFonts w:cs="Arial"/>
          <w:b/>
          <w:bCs/>
          <w:szCs w:val="20"/>
        </w:rPr>
      </w:pPr>
      <w:r>
        <w:rPr>
          <w:rFonts w:cs="Arial"/>
          <w:b/>
          <w:bCs/>
          <w:szCs w:val="20"/>
        </w:rPr>
        <w:t>10. PRZEPISY ZWIĄZANE</w:t>
      </w:r>
    </w:p>
    <w:p w:rsidR="00B77F00" w:rsidRDefault="00865FA3">
      <w:pPr>
        <w:pStyle w:val="Standard"/>
        <w:jc w:val="both"/>
        <w:rPr>
          <w:rFonts w:cs="Arial"/>
          <w:szCs w:val="20"/>
        </w:rPr>
      </w:pPr>
      <w:r>
        <w:rPr>
          <w:rFonts w:cs="Arial"/>
          <w:szCs w:val="20"/>
        </w:rPr>
        <w:t>10.1. Normy</w:t>
      </w:r>
    </w:p>
    <w:p w:rsidR="00B77F00" w:rsidRDefault="00865FA3">
      <w:pPr>
        <w:pStyle w:val="Standard"/>
        <w:jc w:val="both"/>
        <w:rPr>
          <w:rFonts w:cs="Arial"/>
          <w:szCs w:val="20"/>
        </w:rPr>
      </w:pPr>
      <w:r>
        <w:rPr>
          <w:rFonts w:cs="Arial"/>
          <w:szCs w:val="20"/>
        </w:rPr>
        <w:t>PN-90/B-04615</w:t>
      </w:r>
      <w:r>
        <w:rPr>
          <w:rFonts w:cs="Arial"/>
          <w:szCs w:val="20"/>
        </w:rPr>
        <w:tab/>
        <w:t>Papy asfaltowe i smołowe. Metody badań</w:t>
      </w:r>
    </w:p>
    <w:p w:rsidR="00B77F00" w:rsidRDefault="00865FA3">
      <w:pPr>
        <w:pStyle w:val="Standard"/>
        <w:jc w:val="both"/>
        <w:rPr>
          <w:rFonts w:cs="Arial"/>
          <w:szCs w:val="20"/>
        </w:rPr>
      </w:pPr>
      <w:r>
        <w:rPr>
          <w:rFonts w:cs="Arial"/>
          <w:szCs w:val="20"/>
        </w:rPr>
        <w:t>PN-92/B-01814</w:t>
      </w:r>
      <w:r>
        <w:rPr>
          <w:rFonts w:cs="Arial"/>
          <w:szCs w:val="20"/>
        </w:rPr>
        <w:tab/>
        <w:t>Antykorozyjne zabezpieczenia w budownictwie. Konstrukcje betonowe i żelbetowe. Metoda badania przyczepności powłok ochronnych.</w:t>
      </w:r>
    </w:p>
    <w:p w:rsidR="00B77F00" w:rsidRDefault="00B77F00">
      <w:pPr>
        <w:pStyle w:val="Standard"/>
        <w:jc w:val="both"/>
        <w:rPr>
          <w:rFonts w:cs="Arial"/>
          <w:szCs w:val="20"/>
        </w:rPr>
      </w:pPr>
    </w:p>
    <w:p w:rsidR="00B77F00" w:rsidRDefault="00865FA3">
      <w:pPr>
        <w:pStyle w:val="Standard"/>
        <w:jc w:val="both"/>
        <w:rPr>
          <w:rFonts w:cs="Arial"/>
          <w:szCs w:val="20"/>
        </w:rPr>
      </w:pPr>
      <w:r>
        <w:rPr>
          <w:rFonts w:cs="Arial"/>
          <w:szCs w:val="20"/>
        </w:rPr>
        <w:t>10.2. Inne przepisy</w:t>
      </w:r>
    </w:p>
    <w:p w:rsidR="00B77F00" w:rsidRDefault="00865FA3">
      <w:pPr>
        <w:pStyle w:val="Standard"/>
        <w:jc w:val="both"/>
        <w:rPr>
          <w:rFonts w:cs="Arial"/>
          <w:szCs w:val="20"/>
        </w:rPr>
      </w:pPr>
      <w:r>
        <w:rPr>
          <w:rFonts w:cs="Arial"/>
          <w:szCs w:val="20"/>
        </w:rPr>
        <w:t>Metody badań i oceny izolacyjnych materiałów rolowych i mastyksów, IBDiM Warszawa</w:t>
      </w:r>
    </w:p>
    <w:p w:rsidR="00B77F00" w:rsidRDefault="00865FA3">
      <w:pPr>
        <w:pStyle w:val="Standard"/>
        <w:jc w:val="both"/>
        <w:rPr>
          <w:rFonts w:cs="Arial"/>
          <w:szCs w:val="20"/>
        </w:rPr>
      </w:pPr>
      <w:r>
        <w:rPr>
          <w:rFonts w:cs="Arial"/>
          <w:szCs w:val="20"/>
        </w:rPr>
        <w:t xml:space="preserve">Zasady wykonywania </w:t>
      </w:r>
      <w:r>
        <w:rPr>
          <w:rFonts w:cs="Arial"/>
          <w:szCs w:val="20"/>
        </w:rPr>
        <w:t>izolacji przeciwwodnych z pap samoprzylepnych na drogowych obiektach mostowych, IBDiM Warszawa1991</w:t>
      </w:r>
    </w:p>
    <w:p w:rsidR="00B77F00" w:rsidRDefault="00865FA3">
      <w:pPr>
        <w:pStyle w:val="Standard"/>
        <w:jc w:val="both"/>
        <w:rPr>
          <w:rFonts w:cs="Arial"/>
          <w:szCs w:val="20"/>
        </w:rPr>
      </w:pPr>
      <w:r>
        <w:rPr>
          <w:rFonts w:cs="Arial"/>
          <w:szCs w:val="20"/>
        </w:rPr>
        <w:t>Zalecenia wykonywania izolacji z pap zgrzewalnych i nawierzchni asfaltowych na drogowych obiektach mostowych, IBDiM Warszawa 2005</w:t>
      </w:r>
    </w:p>
    <w:p w:rsidR="00B77F00" w:rsidRDefault="00B77F00">
      <w:pPr>
        <w:pStyle w:val="Standard"/>
        <w:spacing w:line="100" w:lineRule="atLeast"/>
        <w:jc w:val="both"/>
      </w:pPr>
    </w:p>
    <w:p w:rsidR="00B77F00" w:rsidRDefault="00B77F00">
      <w:pPr>
        <w:pStyle w:val="Textbody"/>
        <w:jc w:val="both"/>
        <w:rPr>
          <w:shd w:val="clear" w:color="auto" w:fill="FFFF66"/>
        </w:rPr>
        <w:sectPr w:rsidR="00B77F00">
          <w:headerReference w:type="default" r:id="rId43"/>
          <w:footerReference w:type="default" r:id="rId44"/>
          <w:pgSz w:w="11906" w:h="16838"/>
          <w:pgMar w:top="632" w:right="1134" w:bottom="1785" w:left="1134" w:header="708" w:footer="1134" w:gutter="0"/>
          <w:cols w:space="708"/>
        </w:sectPr>
      </w:pPr>
    </w:p>
    <w:p w:rsidR="00B77F00" w:rsidRDefault="00865FA3">
      <w:pPr>
        <w:pStyle w:val="Nagwek2"/>
        <w:spacing w:after="60" w:line="322" w:lineRule="exact"/>
      </w:pPr>
      <w:bookmarkStart w:id="18" w:name="__RefHeading___Toc718710_469610192"/>
      <w:r>
        <w:rPr>
          <w:color w:val="000000"/>
        </w:rPr>
        <w:lastRenderedPageBreak/>
        <w:t>M.27.15.00 Zabezpieczenia</w:t>
      </w:r>
      <w:r>
        <w:rPr>
          <w:color w:val="000000"/>
        </w:rPr>
        <w:t xml:space="preserve"> antykorozyjne powierzchni betonowych</w:t>
      </w:r>
      <w:bookmarkEnd w:id="18"/>
    </w:p>
    <w:p w:rsidR="00B77F00" w:rsidRDefault="00865FA3">
      <w:pPr>
        <w:pStyle w:val="Nagwek3"/>
        <w:jc w:val="both"/>
      </w:pPr>
      <w:bookmarkStart w:id="19" w:name="__RefHeading___Toc132736_513951418"/>
      <w:r>
        <w:t>M.27.15.01 Zabezpieczenie antykorozyjne powierzchni betonowych powłoką akrylową</w:t>
      </w:r>
      <w:bookmarkEnd w:id="19"/>
    </w:p>
    <w:p w:rsidR="00B77F00" w:rsidRDefault="00865FA3">
      <w:pPr>
        <w:pStyle w:val="Standard"/>
        <w:jc w:val="both"/>
        <w:rPr>
          <w:rFonts w:cs="Arial"/>
          <w:b/>
          <w:szCs w:val="20"/>
        </w:rPr>
      </w:pPr>
      <w:r>
        <w:rPr>
          <w:rFonts w:cs="Arial"/>
          <w:b/>
          <w:szCs w:val="20"/>
        </w:rPr>
        <w:t>1.WSTĘP</w:t>
      </w:r>
    </w:p>
    <w:p w:rsidR="00B77F00" w:rsidRDefault="00865FA3">
      <w:pPr>
        <w:pStyle w:val="Standard"/>
        <w:jc w:val="both"/>
        <w:rPr>
          <w:rFonts w:cs="Arial"/>
          <w:szCs w:val="20"/>
        </w:rPr>
      </w:pPr>
      <w:r>
        <w:rPr>
          <w:rFonts w:cs="Arial"/>
          <w:szCs w:val="20"/>
        </w:rPr>
        <w:t>1.1. Przedmiot Specyfikacji Technicznej (ST)</w:t>
      </w:r>
    </w:p>
    <w:p w:rsidR="00B77F00" w:rsidRDefault="00865FA3">
      <w:pPr>
        <w:pStyle w:val="Standard"/>
        <w:jc w:val="both"/>
      </w:pPr>
      <w:r>
        <w:rPr>
          <w:rFonts w:cs="Arial"/>
          <w:szCs w:val="20"/>
        </w:rPr>
        <w:t xml:space="preserve">Przedmiotem niniejszej Specyfikacji Technicznej są wymagania dotyczące wykonania i </w:t>
      </w:r>
      <w:r>
        <w:rPr>
          <w:rFonts w:cs="Arial"/>
          <w:szCs w:val="20"/>
        </w:rPr>
        <w:t xml:space="preserve">odbioru zabezpieczenia antykorozyjnego powierzchni betonowych powłoką malarską dla </w:t>
      </w:r>
      <w:r>
        <w:rPr>
          <w:rStyle w:val="WW-DefaultParagraphFont"/>
          <w:rFonts w:eastAsia="Times New Roman" w:cs="Arial"/>
          <w:color w:val="000000"/>
          <w:spacing w:val="-3"/>
          <w:lang w:val="pl-PL" w:bidi="ar-SA"/>
        </w:rPr>
        <w:t>zamierzenia budowlanego: „Remont mostu na rzece Wiązownica w msc. Wrzos w ciągu drogi powiatowej nr 3501W Wrzeszczów – Wrzos - Domaniów w km 4+206”.</w:t>
      </w:r>
    </w:p>
    <w:p w:rsidR="00B77F00" w:rsidRDefault="00865FA3">
      <w:pPr>
        <w:pStyle w:val="Standard"/>
        <w:jc w:val="both"/>
        <w:rPr>
          <w:rFonts w:cs="Arial"/>
          <w:szCs w:val="20"/>
        </w:rPr>
      </w:pPr>
      <w:r>
        <w:rPr>
          <w:rFonts w:cs="Arial"/>
          <w:szCs w:val="20"/>
        </w:rPr>
        <w:t>1.2. Zakres stosowania ST</w:t>
      </w:r>
    </w:p>
    <w:p w:rsidR="00B77F00" w:rsidRDefault="00865FA3">
      <w:pPr>
        <w:pStyle w:val="Standard"/>
        <w:jc w:val="both"/>
        <w:rPr>
          <w:rFonts w:cs="Arial"/>
          <w:szCs w:val="20"/>
        </w:rPr>
      </w:pPr>
      <w:r>
        <w:rPr>
          <w:rFonts w:cs="Arial"/>
          <w:szCs w:val="20"/>
        </w:rPr>
        <w:t>Specyfikacja Techniczna jest stosowana jako dokument przetargowy i kontraktowy przy zlecaniu i realizacji robót wymienionych w punkcie 1.1.</w:t>
      </w:r>
    </w:p>
    <w:p w:rsidR="00B77F00" w:rsidRDefault="00865FA3">
      <w:pPr>
        <w:pStyle w:val="Standard"/>
        <w:jc w:val="both"/>
        <w:rPr>
          <w:rFonts w:cs="Arial"/>
          <w:szCs w:val="20"/>
        </w:rPr>
      </w:pPr>
      <w:r>
        <w:rPr>
          <w:rFonts w:cs="Arial"/>
          <w:szCs w:val="20"/>
        </w:rPr>
        <w:t>1.3. Zakres robót obję</w:t>
      </w:r>
      <w:r>
        <w:rPr>
          <w:rFonts w:cs="Arial"/>
          <w:szCs w:val="20"/>
        </w:rPr>
        <w:t>tych ST</w:t>
      </w:r>
    </w:p>
    <w:p w:rsidR="00B77F00" w:rsidRDefault="00865FA3">
      <w:pPr>
        <w:pStyle w:val="Standard"/>
        <w:jc w:val="both"/>
        <w:rPr>
          <w:rFonts w:cs="Arial"/>
          <w:szCs w:val="20"/>
        </w:rPr>
      </w:pPr>
      <w:r>
        <w:rPr>
          <w:rFonts w:cs="Arial"/>
          <w:szCs w:val="20"/>
        </w:rPr>
        <w:t>Roboty, których dotyczy Specyfikacja obejmują wszystkie czynności umożliwiające i mające na celu wykonanie robót wymienionych w p.1.1.</w:t>
      </w:r>
    </w:p>
    <w:p w:rsidR="00B77F00" w:rsidRDefault="00865FA3">
      <w:pPr>
        <w:pStyle w:val="Standard"/>
        <w:jc w:val="both"/>
        <w:rPr>
          <w:rFonts w:cs="Arial"/>
          <w:szCs w:val="20"/>
        </w:rPr>
      </w:pPr>
      <w:r>
        <w:rPr>
          <w:rFonts w:cs="Arial"/>
          <w:szCs w:val="20"/>
        </w:rPr>
        <w:t>Szczegółowy zakres wykonania zabezpieczenia elementów obiektów jest określony w Dokumentacji Projektowej.</w:t>
      </w:r>
    </w:p>
    <w:p w:rsidR="00B77F00" w:rsidRDefault="00865FA3">
      <w:pPr>
        <w:pStyle w:val="Standard"/>
        <w:jc w:val="both"/>
        <w:rPr>
          <w:rFonts w:cs="Arial"/>
          <w:szCs w:val="20"/>
        </w:rPr>
      </w:pPr>
      <w:r>
        <w:rPr>
          <w:rFonts w:cs="Arial"/>
          <w:szCs w:val="20"/>
        </w:rPr>
        <w:t xml:space="preserve"> 1.4. O</w:t>
      </w:r>
      <w:r>
        <w:rPr>
          <w:rFonts w:cs="Arial"/>
          <w:szCs w:val="20"/>
        </w:rPr>
        <w:t>kreślenia podstawowe</w:t>
      </w:r>
    </w:p>
    <w:p w:rsidR="00B77F00" w:rsidRDefault="00865FA3">
      <w:pPr>
        <w:pStyle w:val="Standard"/>
        <w:jc w:val="both"/>
        <w:rPr>
          <w:rFonts w:cs="Arial"/>
          <w:szCs w:val="20"/>
        </w:rPr>
      </w:pPr>
      <w:r>
        <w:rPr>
          <w:rFonts w:cs="Arial"/>
          <w:szCs w:val="20"/>
        </w:rPr>
        <w:t>1.4.1. Antykorozyjne zabezpieczenie betonu – zabezpieczenie betonu przed korozją poprzez ograniczenie lub wyeliminowanie działania agresywnego czynników atmosferycznych lub wody na konstrukcję.</w:t>
      </w:r>
      <w:r>
        <w:rPr>
          <w:rFonts w:cs="Arial"/>
          <w:szCs w:val="20"/>
        </w:rPr>
        <w:br/>
      </w:r>
      <w:r>
        <w:rPr>
          <w:rFonts w:cs="Arial"/>
          <w:szCs w:val="20"/>
        </w:rPr>
        <w:t>1.4.2. Hydrofobizacja powierzchni – proce</w:t>
      </w:r>
      <w:r>
        <w:rPr>
          <w:rFonts w:cs="Arial"/>
          <w:szCs w:val="20"/>
        </w:rPr>
        <w:t>s polegający na nasyceniu powierzchniowych warstw stwardniałego betonu substancjami chemicznymi, powodującymi brak zwilżalności zabezpieczonych powierzchni przez wodę.</w:t>
      </w:r>
    </w:p>
    <w:p w:rsidR="00B77F00" w:rsidRDefault="00865FA3">
      <w:pPr>
        <w:pStyle w:val="Standard"/>
        <w:jc w:val="both"/>
        <w:rPr>
          <w:rFonts w:cs="Arial"/>
          <w:szCs w:val="20"/>
        </w:rPr>
      </w:pPr>
      <w:r>
        <w:rPr>
          <w:rFonts w:cs="Arial"/>
          <w:szCs w:val="20"/>
        </w:rPr>
        <w:t>1.4.3. Impregnacja powierzchniowa – proces polegający na nasyceniu powierzchni betonu śr</w:t>
      </w:r>
      <w:r>
        <w:rPr>
          <w:rFonts w:cs="Arial"/>
          <w:szCs w:val="20"/>
        </w:rPr>
        <w:t>odkami uszczelniającymi jego pory i nadającymi powierzchni właściwości hydrofobowe.</w:t>
      </w:r>
      <w:r>
        <w:rPr>
          <w:rFonts w:cs="Arial"/>
          <w:szCs w:val="20"/>
        </w:rPr>
        <w:br/>
      </w:r>
      <w:r>
        <w:rPr>
          <w:rFonts w:cs="Arial"/>
          <w:szCs w:val="20"/>
        </w:rPr>
        <w:t>1.4.4. Powłoka – warstwa wykonana z materiałów ciekłych, upłynnionych lub sproszkowanych nanoszonych na odpowiednio przygotowane podłoże za pomocą technik malarskich.</w:t>
      </w:r>
      <w:r>
        <w:rPr>
          <w:rFonts w:cs="Arial"/>
          <w:szCs w:val="20"/>
        </w:rPr>
        <w:br/>
      </w:r>
      <w:r>
        <w:rPr>
          <w:rFonts w:cs="Arial"/>
          <w:szCs w:val="20"/>
        </w:rPr>
        <w:t>1.4.5</w:t>
      </w:r>
      <w:r>
        <w:rPr>
          <w:rFonts w:cs="Arial"/>
          <w:szCs w:val="20"/>
        </w:rPr>
        <w:t>. Punkt rosy – temperatura betonu, w której przy określonej temperaturze powietrza i wilgotności występuje kondensacja pary wodnej w postaci rosy.</w:t>
      </w:r>
    </w:p>
    <w:p w:rsidR="00B77F00" w:rsidRDefault="00865FA3">
      <w:pPr>
        <w:pStyle w:val="Standard"/>
        <w:jc w:val="both"/>
        <w:rPr>
          <w:rFonts w:cs="Arial"/>
          <w:szCs w:val="20"/>
        </w:rPr>
      </w:pPr>
      <w:r>
        <w:rPr>
          <w:rFonts w:cs="Arial"/>
          <w:szCs w:val="20"/>
        </w:rPr>
        <w:t>1.4.6. Atest – wykaz parametrów technicznych materiału gwarantowanych przez producenta.</w:t>
      </w:r>
      <w:r>
        <w:rPr>
          <w:rFonts w:cs="Arial"/>
          <w:szCs w:val="20"/>
        </w:rPr>
        <w:br/>
      </w:r>
      <w:r>
        <w:rPr>
          <w:rFonts w:cs="Arial"/>
          <w:szCs w:val="20"/>
        </w:rPr>
        <w:t xml:space="preserve"> 1.5. Ogólne wymagani</w:t>
      </w:r>
      <w:r>
        <w:rPr>
          <w:rFonts w:cs="Arial"/>
          <w:szCs w:val="20"/>
        </w:rPr>
        <w:t>a dotyczące robót</w:t>
      </w:r>
    </w:p>
    <w:p w:rsidR="00B77F00" w:rsidRDefault="00865FA3">
      <w:pPr>
        <w:pStyle w:val="Standard"/>
        <w:jc w:val="both"/>
        <w:rPr>
          <w:rFonts w:cs="Arial"/>
          <w:szCs w:val="20"/>
        </w:rPr>
      </w:pPr>
      <w:r>
        <w:rPr>
          <w:rFonts w:cs="Arial"/>
          <w:szCs w:val="20"/>
        </w:rPr>
        <w:t>Wykonawca robót jest odpowiedzialny za jakość ich wykonania oraz za zgodność z Dokumentacją Projektowa ST i poleceniami Inżyniera.</w:t>
      </w:r>
    </w:p>
    <w:p w:rsidR="00B77F00" w:rsidRDefault="00865FA3">
      <w:pPr>
        <w:pStyle w:val="Standard"/>
        <w:jc w:val="both"/>
      </w:pPr>
      <w:r>
        <w:rPr>
          <w:rFonts w:cs="Arial"/>
          <w:szCs w:val="20"/>
        </w:rPr>
        <w:t xml:space="preserve">Ogólne wymagania dotyczące robót podano w ST MDU. 00.00.00 „Wymagania ogólne” </w:t>
      </w:r>
      <w:r>
        <w:rPr>
          <w:rFonts w:cs="Arial"/>
          <w:szCs w:val="20"/>
        </w:rPr>
        <w:t>.</w:t>
      </w:r>
      <w:r>
        <w:rPr>
          <w:rFonts w:cs="Arial"/>
          <w:szCs w:val="20"/>
        </w:rPr>
        <w:br/>
      </w:r>
    </w:p>
    <w:p w:rsidR="00B77F00" w:rsidRDefault="00865FA3">
      <w:pPr>
        <w:pStyle w:val="Standard"/>
        <w:ind w:left="720" w:hanging="705"/>
        <w:jc w:val="both"/>
        <w:rPr>
          <w:rFonts w:cs="Arial"/>
          <w:b/>
          <w:bCs/>
          <w:szCs w:val="20"/>
        </w:rPr>
      </w:pPr>
      <w:r>
        <w:rPr>
          <w:rFonts w:cs="Arial"/>
          <w:b/>
          <w:bCs/>
          <w:szCs w:val="20"/>
        </w:rPr>
        <w:t>2. MATERIAŁY</w:t>
      </w:r>
    </w:p>
    <w:p w:rsidR="00B77F00" w:rsidRDefault="00865FA3">
      <w:pPr>
        <w:pStyle w:val="Standard"/>
        <w:jc w:val="both"/>
        <w:rPr>
          <w:rFonts w:cs="Arial"/>
          <w:szCs w:val="20"/>
        </w:rPr>
      </w:pPr>
      <w:r>
        <w:rPr>
          <w:rFonts w:cs="Arial"/>
          <w:szCs w:val="20"/>
        </w:rPr>
        <w:t>2.1.Wymagania</w:t>
      </w:r>
      <w:r>
        <w:rPr>
          <w:rFonts w:cs="Arial"/>
          <w:szCs w:val="20"/>
        </w:rPr>
        <w:t xml:space="preserve"> ogólne</w:t>
      </w:r>
    </w:p>
    <w:p w:rsidR="00B77F00" w:rsidRDefault="00865FA3">
      <w:pPr>
        <w:pStyle w:val="Standard"/>
        <w:jc w:val="both"/>
        <w:rPr>
          <w:rFonts w:cs="Arial"/>
          <w:szCs w:val="20"/>
        </w:rPr>
      </w:pPr>
      <w:r>
        <w:rPr>
          <w:rFonts w:cs="Arial"/>
          <w:szCs w:val="20"/>
        </w:rPr>
        <w:t>2.1.1.  Wszystkie materiały stosowane do antykorozyjnego zabezpieczenia betonu powinny posiadać Aprobatę Techniczną wydaną przez IBDiM.</w:t>
      </w:r>
    </w:p>
    <w:p w:rsidR="00B77F00" w:rsidRDefault="00865FA3">
      <w:pPr>
        <w:pStyle w:val="Standard"/>
        <w:jc w:val="both"/>
        <w:rPr>
          <w:rFonts w:cs="Arial"/>
          <w:szCs w:val="20"/>
        </w:rPr>
      </w:pPr>
      <w:r>
        <w:rPr>
          <w:rFonts w:cs="Arial"/>
          <w:szCs w:val="20"/>
        </w:rPr>
        <w:t xml:space="preserve">2.1.2. Przed zastosowaniem materiałów do zabezpieczenia antykorozyjnego betonu, Wykonawca powinien przedstawić </w:t>
      </w:r>
      <w:r>
        <w:rPr>
          <w:rFonts w:cs="Arial"/>
          <w:szCs w:val="20"/>
        </w:rPr>
        <w:t>Inżynierowi numer partii towaru oraz aktualne wyniki badań w ramach nadzoru wewnętrznego producenta materiału lub świadectwo wprowadzenia systemu zapewnienia jakości wg ISO.</w:t>
      </w:r>
    </w:p>
    <w:p w:rsidR="00B77F00" w:rsidRDefault="00865FA3">
      <w:pPr>
        <w:pStyle w:val="Standard"/>
        <w:jc w:val="both"/>
        <w:rPr>
          <w:rFonts w:cs="Arial"/>
          <w:szCs w:val="20"/>
        </w:rPr>
      </w:pPr>
      <w:r>
        <w:rPr>
          <w:rFonts w:cs="Arial"/>
          <w:szCs w:val="20"/>
        </w:rPr>
        <w:t>2.1.3. Do zabezpieczenia antykorozyjnego betonu można stosować tylko materiały, kt</w:t>
      </w:r>
      <w:r>
        <w:rPr>
          <w:rFonts w:cs="Arial"/>
          <w:szCs w:val="20"/>
        </w:rPr>
        <w:t>órym nie upłynął czas przydatności do użycia.</w:t>
      </w:r>
    </w:p>
    <w:p w:rsidR="00B77F00" w:rsidRDefault="00865FA3">
      <w:pPr>
        <w:pStyle w:val="Standard"/>
        <w:jc w:val="both"/>
        <w:rPr>
          <w:rFonts w:cs="Arial"/>
          <w:szCs w:val="20"/>
        </w:rPr>
      </w:pPr>
      <w:r>
        <w:rPr>
          <w:rFonts w:cs="Arial"/>
          <w:szCs w:val="20"/>
        </w:rPr>
        <w:t>2.2. Wymagania szczegółowe</w:t>
      </w:r>
    </w:p>
    <w:p w:rsidR="00B77F00" w:rsidRDefault="00865FA3">
      <w:pPr>
        <w:pStyle w:val="Standard"/>
        <w:jc w:val="both"/>
      </w:pPr>
      <w:r>
        <w:rPr>
          <w:rFonts w:cs="Arial"/>
          <w:szCs w:val="20"/>
        </w:rPr>
        <w:t>2.2.1. Wytrzymałość na odrywanie powłoki od podłoża betonowego powinna wg PN-92/B-01814 wynosić:</w:t>
      </w:r>
      <w:r>
        <w:rPr>
          <w:rFonts w:cs="Arial"/>
          <w:szCs w:val="20"/>
        </w:rPr>
        <w:br/>
      </w:r>
      <w:r>
        <w:rPr>
          <w:rFonts w:cs="Arial"/>
          <w:szCs w:val="20"/>
        </w:rPr>
        <w:t>- dla konstrukcji sprężonych dla których należy stosować powłoki z minimalną zdolnośc</w:t>
      </w:r>
      <w:r>
        <w:rPr>
          <w:rFonts w:cs="Arial"/>
          <w:szCs w:val="20"/>
        </w:rPr>
        <w:t>ią pokrywania zarysowań (nie więcej niż 0,15 mm):</w:t>
      </w:r>
    </w:p>
    <w:p w:rsidR="00B77F00" w:rsidRDefault="00865FA3">
      <w:pPr>
        <w:pStyle w:val="Standard"/>
        <w:jc w:val="both"/>
        <w:rPr>
          <w:rFonts w:cs="Arial"/>
          <w:szCs w:val="20"/>
        </w:rPr>
      </w:pPr>
      <w:r>
        <w:rPr>
          <w:rFonts w:cs="Arial"/>
          <w:szCs w:val="20"/>
        </w:rPr>
        <w:t>wartość średnia  1,5 MPa,</w:t>
      </w:r>
    </w:p>
    <w:p w:rsidR="00B77F00" w:rsidRDefault="00865FA3">
      <w:pPr>
        <w:pStyle w:val="Standard"/>
        <w:jc w:val="both"/>
        <w:rPr>
          <w:rFonts w:cs="Arial"/>
          <w:szCs w:val="20"/>
        </w:rPr>
      </w:pPr>
      <w:r>
        <w:rPr>
          <w:rFonts w:cs="Arial"/>
          <w:szCs w:val="20"/>
        </w:rPr>
        <w:t>wartość minimalna 1,0 MPa</w:t>
      </w:r>
    </w:p>
    <w:p w:rsidR="00B77F00" w:rsidRDefault="00865FA3">
      <w:pPr>
        <w:pStyle w:val="Standard"/>
        <w:ind w:left="45"/>
        <w:jc w:val="both"/>
        <w:rPr>
          <w:rFonts w:cs="Arial"/>
          <w:szCs w:val="20"/>
        </w:rPr>
      </w:pPr>
      <w:r>
        <w:rPr>
          <w:rFonts w:cs="Arial"/>
          <w:szCs w:val="20"/>
        </w:rPr>
        <w:t>- dla pozostałych konstrukcji należy stosować powłoki z podwyższoną zdolnością pokrywania zarysowań (pokrywających rysy o rozwartości do 0,3 mm):</w:t>
      </w:r>
    </w:p>
    <w:p w:rsidR="00B77F00" w:rsidRDefault="00865FA3">
      <w:pPr>
        <w:pStyle w:val="Standard"/>
        <w:ind w:left="45"/>
        <w:jc w:val="both"/>
        <w:rPr>
          <w:rFonts w:cs="Arial"/>
          <w:szCs w:val="20"/>
        </w:rPr>
      </w:pPr>
      <w:r>
        <w:rPr>
          <w:rFonts w:cs="Arial"/>
          <w:szCs w:val="20"/>
        </w:rPr>
        <w:t xml:space="preserve">- </w:t>
      </w:r>
      <w:r>
        <w:rPr>
          <w:rFonts w:cs="Arial"/>
          <w:szCs w:val="20"/>
        </w:rPr>
        <w:t>wartość średnia 0,8 MPa,</w:t>
      </w:r>
    </w:p>
    <w:p w:rsidR="00B77F00" w:rsidRDefault="00865FA3">
      <w:pPr>
        <w:pStyle w:val="Standard"/>
        <w:ind w:left="45"/>
        <w:jc w:val="both"/>
        <w:rPr>
          <w:rFonts w:cs="Arial"/>
          <w:szCs w:val="20"/>
        </w:rPr>
      </w:pPr>
      <w:r>
        <w:rPr>
          <w:rFonts w:cs="Arial"/>
          <w:szCs w:val="20"/>
        </w:rPr>
        <w:t>- wartość minimalna 0,5 MPa.</w:t>
      </w:r>
    </w:p>
    <w:p w:rsidR="00B77F00" w:rsidRDefault="00865FA3">
      <w:pPr>
        <w:pStyle w:val="Standard"/>
        <w:jc w:val="both"/>
      </w:pPr>
      <w:r>
        <w:rPr>
          <w:rFonts w:cs="Arial"/>
          <w:szCs w:val="20"/>
        </w:rPr>
        <w:t xml:space="preserve">2.2.2. Grubość stosowanej powłoki powinna być zgodna z instrukcjami producenta i wymaganiami Aprobaty </w:t>
      </w:r>
      <w:r>
        <w:rPr>
          <w:rFonts w:cs="Arial"/>
          <w:szCs w:val="20"/>
        </w:rPr>
        <w:lastRenderedPageBreak/>
        <w:t>Technicznej dla danego materiału jednak nie mniejsza niż:</w:t>
      </w:r>
      <w:r>
        <w:rPr>
          <w:rFonts w:cs="Arial"/>
          <w:szCs w:val="20"/>
        </w:rPr>
        <w:br/>
      </w:r>
      <w:r>
        <w:rPr>
          <w:rFonts w:cs="Arial"/>
          <w:szCs w:val="20"/>
        </w:rPr>
        <w:t xml:space="preserve">- dla materiałów elastycznych 300 </w:t>
      </w:r>
      <w:r>
        <w:rPr>
          <w:rFonts w:eastAsia="Times New Roman" w:cs="Arial"/>
          <w:szCs w:val="20"/>
        </w:rPr>
        <w:t>µ</w:t>
      </w:r>
      <w:r>
        <w:rPr>
          <w:rFonts w:cs="Arial"/>
          <w:szCs w:val="20"/>
        </w:rPr>
        <w:t xml:space="preserve">m oraz </w:t>
      </w:r>
      <w:r>
        <w:rPr>
          <w:rFonts w:cs="Arial"/>
          <w:szCs w:val="20"/>
        </w:rPr>
        <w:t>zapewniać zdolność przenoszenia rys do 0,3 mm , oraz równoważna grubość warstwy powietrza S</w:t>
      </w:r>
      <w:r>
        <w:rPr>
          <w:rFonts w:cs="Arial"/>
          <w:szCs w:val="20"/>
          <w:vertAlign w:val="subscript"/>
        </w:rPr>
        <w:t>D</w:t>
      </w:r>
      <w:r>
        <w:rPr>
          <w:rFonts w:cs="Arial"/>
          <w:szCs w:val="20"/>
        </w:rPr>
        <w:t xml:space="preserve"> CO</w:t>
      </w:r>
      <w:r>
        <w:rPr>
          <w:rFonts w:cs="Arial"/>
          <w:szCs w:val="20"/>
          <w:vertAlign w:val="subscript"/>
        </w:rPr>
        <w:t>2</w:t>
      </w:r>
      <w:r>
        <w:rPr>
          <w:rFonts w:cs="Arial"/>
          <w:szCs w:val="20"/>
        </w:rPr>
        <w:t xml:space="preserve"> minimum 84 m</w:t>
      </w:r>
    </w:p>
    <w:p w:rsidR="00B77F00" w:rsidRDefault="00865FA3">
      <w:pPr>
        <w:pStyle w:val="Standard"/>
        <w:jc w:val="both"/>
      </w:pPr>
      <w:r>
        <w:rPr>
          <w:rFonts w:cs="Arial"/>
          <w:szCs w:val="20"/>
        </w:rPr>
        <w:t>i S</w:t>
      </w:r>
      <w:r>
        <w:rPr>
          <w:rFonts w:cs="Arial"/>
          <w:szCs w:val="20"/>
          <w:vertAlign w:val="subscript"/>
        </w:rPr>
        <w:t>D</w:t>
      </w:r>
      <w:r>
        <w:rPr>
          <w:rFonts w:cs="Arial"/>
          <w:szCs w:val="20"/>
        </w:rPr>
        <w:t xml:space="preserve"> H</w:t>
      </w:r>
      <w:r>
        <w:rPr>
          <w:rFonts w:cs="Arial"/>
          <w:szCs w:val="20"/>
          <w:vertAlign w:val="subscript"/>
        </w:rPr>
        <w:t>2</w:t>
      </w:r>
      <w:r>
        <w:rPr>
          <w:rFonts w:cs="Arial"/>
          <w:szCs w:val="20"/>
        </w:rPr>
        <w:t>O maksimum 0,78 m.</w:t>
      </w:r>
    </w:p>
    <w:p w:rsidR="00B77F00" w:rsidRDefault="00865FA3">
      <w:pPr>
        <w:pStyle w:val="Standard"/>
        <w:jc w:val="both"/>
      </w:pPr>
      <w:r>
        <w:rPr>
          <w:rFonts w:cs="Arial"/>
          <w:szCs w:val="20"/>
        </w:rPr>
        <w:t xml:space="preserve">- dla materiałów sztywnych 130 </w:t>
      </w:r>
      <w:r>
        <w:rPr>
          <w:rFonts w:eastAsia="Times New Roman" w:cs="Arial"/>
          <w:szCs w:val="20"/>
        </w:rPr>
        <w:t>µ</w:t>
      </w:r>
      <w:r>
        <w:rPr>
          <w:rFonts w:cs="Arial"/>
          <w:szCs w:val="20"/>
        </w:rPr>
        <w:t>m przy zachowaniu równoważnej grubości warstwy powietrza S</w:t>
      </w:r>
      <w:r>
        <w:rPr>
          <w:rFonts w:cs="Arial"/>
          <w:szCs w:val="20"/>
          <w:vertAlign w:val="subscript"/>
        </w:rPr>
        <w:t>D</w:t>
      </w:r>
      <w:r>
        <w:rPr>
          <w:rFonts w:cs="Arial"/>
          <w:szCs w:val="20"/>
        </w:rPr>
        <w:t xml:space="preserve"> CO</w:t>
      </w:r>
      <w:r>
        <w:rPr>
          <w:rFonts w:cs="Arial"/>
          <w:szCs w:val="20"/>
          <w:vertAlign w:val="subscript"/>
        </w:rPr>
        <w:t>2</w:t>
      </w:r>
      <w:r>
        <w:rPr>
          <w:rFonts w:cs="Arial"/>
          <w:szCs w:val="20"/>
        </w:rPr>
        <w:t xml:space="preserve"> minimum 429 m i S</w:t>
      </w:r>
      <w:r>
        <w:rPr>
          <w:rFonts w:cs="Arial"/>
          <w:szCs w:val="20"/>
          <w:vertAlign w:val="subscript"/>
        </w:rPr>
        <w:t>D</w:t>
      </w:r>
      <w:r>
        <w:rPr>
          <w:rFonts w:cs="Arial"/>
          <w:szCs w:val="20"/>
        </w:rPr>
        <w:t xml:space="preserve"> H</w:t>
      </w:r>
      <w:r>
        <w:rPr>
          <w:rFonts w:cs="Arial"/>
          <w:szCs w:val="20"/>
          <w:vertAlign w:val="subscript"/>
        </w:rPr>
        <w:t>2</w:t>
      </w:r>
      <w:r>
        <w:rPr>
          <w:rFonts w:cs="Arial"/>
          <w:szCs w:val="20"/>
        </w:rPr>
        <w:t xml:space="preserve">O </w:t>
      </w:r>
      <w:r>
        <w:rPr>
          <w:rFonts w:cs="Arial"/>
          <w:szCs w:val="20"/>
        </w:rPr>
        <w:t>maksimum 2,4 m.</w:t>
      </w:r>
    </w:p>
    <w:p w:rsidR="00B77F00" w:rsidRDefault="00B77F00">
      <w:pPr>
        <w:pStyle w:val="Standard"/>
        <w:jc w:val="both"/>
        <w:rPr>
          <w:rFonts w:cs="Arial"/>
          <w:szCs w:val="20"/>
        </w:rPr>
      </w:pPr>
    </w:p>
    <w:p w:rsidR="00B77F00" w:rsidRDefault="00865FA3">
      <w:pPr>
        <w:pStyle w:val="Standard"/>
        <w:jc w:val="both"/>
        <w:rPr>
          <w:rFonts w:cs="Arial"/>
          <w:b/>
          <w:szCs w:val="20"/>
        </w:rPr>
      </w:pPr>
      <w:r>
        <w:rPr>
          <w:rFonts w:cs="Arial"/>
          <w:b/>
          <w:szCs w:val="20"/>
        </w:rPr>
        <w:t>3. SPRZĘT</w:t>
      </w:r>
    </w:p>
    <w:p w:rsidR="00B77F00" w:rsidRDefault="00865FA3">
      <w:pPr>
        <w:pStyle w:val="Standard"/>
        <w:ind w:left="26"/>
        <w:jc w:val="both"/>
        <w:rPr>
          <w:rFonts w:cs="Arial"/>
          <w:szCs w:val="20"/>
        </w:rPr>
      </w:pPr>
      <w:r>
        <w:rPr>
          <w:rFonts w:cs="Arial"/>
          <w:szCs w:val="20"/>
        </w:rPr>
        <w:t>Sprzęt i narzędzia do prac związanych z antykorozyjnym zabezpieczeniem betonu powinny zapewnić ciągłość prac i uzyskanie wymaganej jakości robót.</w:t>
      </w:r>
    </w:p>
    <w:p w:rsidR="00B77F00" w:rsidRDefault="00865FA3">
      <w:pPr>
        <w:pStyle w:val="Standard"/>
        <w:jc w:val="both"/>
        <w:rPr>
          <w:rFonts w:cs="Arial"/>
          <w:szCs w:val="20"/>
        </w:rPr>
      </w:pPr>
      <w:r>
        <w:rPr>
          <w:rFonts w:cs="Arial"/>
          <w:szCs w:val="20"/>
        </w:rPr>
        <w:t>Wybór sprzętu i narzędzi do wykonania robót należy do Wykonawcy i powinien być zaak</w:t>
      </w:r>
      <w:r>
        <w:rPr>
          <w:rFonts w:cs="Arial"/>
          <w:szCs w:val="20"/>
        </w:rPr>
        <w:t>ceptowany przez Inżyniera.</w:t>
      </w:r>
    </w:p>
    <w:p w:rsidR="00B77F00" w:rsidRDefault="00865FA3">
      <w:pPr>
        <w:pStyle w:val="Standard"/>
        <w:jc w:val="both"/>
        <w:rPr>
          <w:rFonts w:cs="Arial"/>
          <w:szCs w:val="20"/>
        </w:rPr>
      </w:pPr>
      <w:r>
        <w:rPr>
          <w:rFonts w:cs="Arial"/>
          <w:szCs w:val="20"/>
        </w:rPr>
        <w:t xml:space="preserve"> </w:t>
      </w:r>
    </w:p>
    <w:p w:rsidR="00B77F00" w:rsidRDefault="00865FA3">
      <w:pPr>
        <w:pStyle w:val="Standard"/>
        <w:ind w:left="39" w:hanging="26"/>
        <w:jc w:val="both"/>
      </w:pPr>
      <w:r>
        <w:rPr>
          <w:rFonts w:cs="Arial"/>
          <w:b/>
          <w:szCs w:val="20"/>
        </w:rPr>
        <w:t>4.TRANSPORT</w:t>
      </w:r>
      <w:r>
        <w:rPr>
          <w:rFonts w:cs="Arial"/>
          <w:b/>
          <w:szCs w:val="20"/>
        </w:rPr>
        <w:br/>
      </w:r>
      <w:r>
        <w:rPr>
          <w:rFonts w:cs="Arial"/>
          <w:szCs w:val="20"/>
        </w:rPr>
        <w:t>Wybrany przez Wykonawcę sposób transportu materiałów do antykorozyjnego zabezpieczenia betonu nie może powodować obniżenia ich jakości.</w:t>
      </w:r>
    </w:p>
    <w:p w:rsidR="00B77F00" w:rsidRDefault="00865FA3">
      <w:pPr>
        <w:pStyle w:val="Standard"/>
        <w:jc w:val="both"/>
        <w:rPr>
          <w:rFonts w:cs="Arial"/>
          <w:szCs w:val="20"/>
        </w:rPr>
      </w:pPr>
      <w:r>
        <w:rPr>
          <w:rFonts w:cs="Arial"/>
          <w:szCs w:val="20"/>
        </w:rPr>
        <w:t>Przewóz składników chemicznych i materiałów do antykorozyjnego zabezpieczenia b</w:t>
      </w:r>
      <w:r>
        <w:rPr>
          <w:rFonts w:cs="Arial"/>
          <w:szCs w:val="20"/>
        </w:rPr>
        <w:t>etonu powinien się odbywać zgodnie z obowiązującymi przepisami, w szczelnych i nieuszkodzonych opakowaniach.</w:t>
      </w:r>
      <w:r>
        <w:rPr>
          <w:rFonts w:cs="Arial"/>
          <w:szCs w:val="20"/>
        </w:rPr>
        <w:br/>
      </w:r>
    </w:p>
    <w:p w:rsidR="00B77F00" w:rsidRDefault="00865FA3">
      <w:pPr>
        <w:pStyle w:val="Standard"/>
        <w:jc w:val="both"/>
        <w:rPr>
          <w:rFonts w:cs="Arial"/>
          <w:b/>
          <w:szCs w:val="20"/>
        </w:rPr>
      </w:pPr>
      <w:r>
        <w:rPr>
          <w:rFonts w:cs="Arial"/>
          <w:b/>
          <w:szCs w:val="20"/>
        </w:rPr>
        <w:t>5. WYKONANIE ROBÓT</w:t>
      </w:r>
    </w:p>
    <w:p w:rsidR="00B77F00" w:rsidRDefault="00865FA3">
      <w:pPr>
        <w:pStyle w:val="Standard"/>
        <w:jc w:val="both"/>
        <w:rPr>
          <w:rFonts w:cs="Arial"/>
          <w:szCs w:val="20"/>
        </w:rPr>
      </w:pPr>
      <w:r>
        <w:rPr>
          <w:rFonts w:cs="Arial"/>
          <w:szCs w:val="20"/>
        </w:rPr>
        <w:t>5.1. Ogólne warunki wykonania</w:t>
      </w:r>
    </w:p>
    <w:p w:rsidR="00B77F00" w:rsidRDefault="00865FA3">
      <w:pPr>
        <w:pStyle w:val="Standard"/>
        <w:jc w:val="both"/>
        <w:rPr>
          <w:rFonts w:cs="Arial"/>
          <w:szCs w:val="20"/>
        </w:rPr>
      </w:pPr>
      <w:r>
        <w:rPr>
          <w:rFonts w:cs="Arial"/>
          <w:szCs w:val="20"/>
        </w:rPr>
        <w:t xml:space="preserve">5.1.1. Roboty związane z antykorozyjnym zabezpieczeniem powierzchni betonowych powinny być </w:t>
      </w:r>
      <w:r>
        <w:rPr>
          <w:rFonts w:cs="Arial"/>
          <w:szCs w:val="20"/>
        </w:rPr>
        <w:t>wykonywane przez pracowników posiadających świadectwa ukończenia szkolenia w zakresie tych prac wydane przez instytuty branżowe lub zakłady naukowe na wyższych uczelniach.</w:t>
      </w:r>
      <w:r>
        <w:rPr>
          <w:rFonts w:cs="Arial"/>
          <w:szCs w:val="20"/>
        </w:rPr>
        <w:br/>
      </w:r>
      <w:r>
        <w:rPr>
          <w:rFonts w:cs="Arial"/>
          <w:szCs w:val="20"/>
        </w:rPr>
        <w:t xml:space="preserve">5.1.2. Wykonawca obowiązany jest przygotować podłoże betonowe w sposób podany przez </w:t>
      </w:r>
      <w:r>
        <w:rPr>
          <w:rFonts w:cs="Arial"/>
          <w:szCs w:val="20"/>
        </w:rPr>
        <w:t>producenta powłoki a szczególnie usunąć niezwiązane części betonu i wszystkie szkodliwe substancje mogące powodować korozję betonu lub osłabienie  połączenia powłoki z podłożem betonowym.</w:t>
      </w:r>
      <w:r>
        <w:rPr>
          <w:rFonts w:cs="Arial"/>
          <w:szCs w:val="20"/>
        </w:rPr>
        <w:br/>
      </w:r>
      <w:r>
        <w:rPr>
          <w:rFonts w:cs="Arial"/>
          <w:szCs w:val="20"/>
        </w:rPr>
        <w:t>5.1.3. Wytrzymałość na odrywanie (wg PN-92/B-018) prawidłowo przygot</w:t>
      </w:r>
      <w:r>
        <w:rPr>
          <w:rFonts w:cs="Arial"/>
          <w:szCs w:val="20"/>
        </w:rPr>
        <w:t>owanego podłoża betonowego powinna wynosić:</w:t>
      </w:r>
    </w:p>
    <w:p w:rsidR="00B77F00" w:rsidRDefault="00865FA3">
      <w:pPr>
        <w:pStyle w:val="Standard"/>
        <w:jc w:val="both"/>
        <w:rPr>
          <w:rFonts w:cs="Arial"/>
          <w:szCs w:val="20"/>
        </w:rPr>
      </w:pPr>
      <w:r>
        <w:rPr>
          <w:rFonts w:cs="Arial"/>
          <w:szCs w:val="20"/>
        </w:rPr>
        <w:t>- dla powierzchni pokrywanych powłokami ochronnymi z minimalną zdolnością pokrywania zarysowań (konstrukcje sprężone):</w:t>
      </w:r>
    </w:p>
    <w:p w:rsidR="00B77F00" w:rsidRDefault="00865FA3">
      <w:pPr>
        <w:pStyle w:val="Standard"/>
        <w:jc w:val="both"/>
      </w:pPr>
      <w:r>
        <w:rPr>
          <w:rFonts w:cs="Arial"/>
          <w:szCs w:val="20"/>
        </w:rPr>
        <w:t xml:space="preserve">wartość średnia  </w:t>
      </w:r>
      <w:r>
        <w:rPr>
          <w:rFonts w:cs="Arial"/>
          <w:color w:val="000000"/>
          <w:szCs w:val="20"/>
        </w:rPr>
        <w:t xml:space="preserve">≥ </w:t>
      </w:r>
      <w:r>
        <w:rPr>
          <w:rFonts w:cs="Arial"/>
          <w:szCs w:val="20"/>
        </w:rPr>
        <w:t>1,5 MPa,</w:t>
      </w:r>
    </w:p>
    <w:p w:rsidR="00B77F00" w:rsidRDefault="00865FA3">
      <w:pPr>
        <w:pStyle w:val="Standard"/>
        <w:jc w:val="both"/>
        <w:rPr>
          <w:rFonts w:cs="Arial"/>
          <w:szCs w:val="20"/>
        </w:rPr>
      </w:pPr>
      <w:r>
        <w:rPr>
          <w:rFonts w:cs="Arial"/>
          <w:szCs w:val="20"/>
        </w:rPr>
        <w:t>wartość minimalna 1,0 MPa</w:t>
      </w:r>
    </w:p>
    <w:p w:rsidR="00B77F00" w:rsidRDefault="00865FA3">
      <w:pPr>
        <w:pStyle w:val="Standard"/>
        <w:jc w:val="both"/>
        <w:rPr>
          <w:rFonts w:cs="Arial"/>
          <w:szCs w:val="20"/>
        </w:rPr>
      </w:pPr>
      <w:r>
        <w:rPr>
          <w:rFonts w:cs="Arial"/>
          <w:szCs w:val="20"/>
        </w:rPr>
        <w:t>- dla powierzchni pokrywanych powłokami</w:t>
      </w:r>
      <w:r>
        <w:rPr>
          <w:rFonts w:cs="Arial"/>
          <w:szCs w:val="20"/>
        </w:rPr>
        <w:t xml:space="preserve"> ochronnymi z podwyższoną zdolnością pokrywania zarysowań ( pozostałe konstrukcje żelbetowe ):</w:t>
      </w:r>
    </w:p>
    <w:p w:rsidR="00B77F00" w:rsidRDefault="00865FA3">
      <w:pPr>
        <w:pStyle w:val="Standard"/>
        <w:jc w:val="both"/>
      </w:pPr>
      <w:r>
        <w:rPr>
          <w:rFonts w:cs="Arial"/>
          <w:szCs w:val="20"/>
        </w:rPr>
        <w:t xml:space="preserve">wartość średnia  </w:t>
      </w:r>
      <w:r>
        <w:rPr>
          <w:rFonts w:cs="Arial"/>
          <w:color w:val="000000"/>
          <w:szCs w:val="20"/>
        </w:rPr>
        <w:t xml:space="preserve">≥ </w:t>
      </w:r>
      <w:r>
        <w:rPr>
          <w:rFonts w:cs="Arial"/>
          <w:szCs w:val="20"/>
        </w:rPr>
        <w:t>1,5 MPa,</w:t>
      </w:r>
    </w:p>
    <w:p w:rsidR="00B77F00" w:rsidRDefault="00865FA3">
      <w:pPr>
        <w:pStyle w:val="Standard"/>
        <w:jc w:val="both"/>
        <w:rPr>
          <w:rFonts w:cs="Arial"/>
          <w:szCs w:val="20"/>
        </w:rPr>
      </w:pPr>
      <w:r>
        <w:rPr>
          <w:rFonts w:cs="Arial"/>
          <w:szCs w:val="20"/>
        </w:rPr>
        <w:t>wartość minimalna 1,0 MPa.</w:t>
      </w:r>
    </w:p>
    <w:p w:rsidR="00B77F00" w:rsidRDefault="00865FA3">
      <w:pPr>
        <w:pStyle w:val="Standard"/>
        <w:jc w:val="both"/>
      </w:pPr>
      <w:r>
        <w:rPr>
          <w:rFonts w:cs="Arial"/>
          <w:szCs w:val="20"/>
        </w:rPr>
        <w:t>5.1.4. Należy wykonać przynajmniej jedno oznaczenie wytrzymałości na odrywanie betonu na każde 50 m</w:t>
      </w:r>
      <w:r>
        <w:rPr>
          <w:rFonts w:cs="Arial"/>
          <w:szCs w:val="20"/>
          <w:vertAlign w:val="superscript"/>
        </w:rPr>
        <w:t>2</w:t>
      </w:r>
      <w:r>
        <w:rPr>
          <w:rFonts w:cs="Arial"/>
          <w:szCs w:val="20"/>
        </w:rPr>
        <w:t xml:space="preserve"> powie</w:t>
      </w:r>
      <w:r>
        <w:rPr>
          <w:rFonts w:cs="Arial"/>
          <w:szCs w:val="20"/>
        </w:rPr>
        <w:t>rzchni oczyszczonego podłoża, przy czym minimalna liczba oznaczeń wynosi 5 dla jednego obiektu.</w:t>
      </w:r>
    </w:p>
    <w:p w:rsidR="00B77F00" w:rsidRDefault="00865FA3">
      <w:pPr>
        <w:pStyle w:val="Standard"/>
        <w:jc w:val="both"/>
        <w:rPr>
          <w:rFonts w:cs="Arial"/>
          <w:szCs w:val="20"/>
        </w:rPr>
      </w:pPr>
      <w:r>
        <w:rPr>
          <w:rFonts w:cs="Arial"/>
          <w:szCs w:val="20"/>
        </w:rPr>
        <w:t xml:space="preserve">5.1.5. Wilgotność podłoża bezpośrednio przed wykonywaniem robót powinna spełniać wymagania podane w instrukcjach producenta materiału powłoki, ale nie może być </w:t>
      </w:r>
      <w:r>
        <w:rPr>
          <w:rFonts w:cs="Arial"/>
          <w:szCs w:val="20"/>
        </w:rPr>
        <w:t>większa niż: 4% dla materiałów stosowanych na suche podłoże, dla materiałów stosowanych na mokre podłoże dopuszczalne jest matowo-wilgotne podłoże.</w:t>
      </w:r>
    </w:p>
    <w:p w:rsidR="00B77F00" w:rsidRDefault="00865FA3">
      <w:pPr>
        <w:pStyle w:val="Standard"/>
        <w:jc w:val="both"/>
        <w:rPr>
          <w:rFonts w:cs="Arial"/>
          <w:szCs w:val="20"/>
        </w:rPr>
      </w:pPr>
      <w:r>
        <w:rPr>
          <w:rFonts w:cs="Arial"/>
          <w:szCs w:val="20"/>
        </w:rPr>
        <w:t>5.1.6. Temperatura podłoża betonowego i powietrza powinna wynosić:</w:t>
      </w:r>
    </w:p>
    <w:p w:rsidR="00B77F00" w:rsidRDefault="00865FA3">
      <w:pPr>
        <w:pStyle w:val="Standard"/>
        <w:jc w:val="both"/>
      </w:pPr>
      <w:r>
        <w:rPr>
          <w:rFonts w:cs="Arial"/>
          <w:szCs w:val="20"/>
        </w:rPr>
        <w:t>- dla materiałów na bazie cementów i ceme</w:t>
      </w:r>
      <w:r>
        <w:rPr>
          <w:rFonts w:cs="Arial"/>
          <w:szCs w:val="20"/>
        </w:rPr>
        <w:t>ntów modyfikowanych żywicami syntetycznymi nie mniej niż +5</w:t>
      </w:r>
      <w:r>
        <w:rPr>
          <w:rFonts w:cs="Arial"/>
          <w:szCs w:val="20"/>
          <w:vertAlign w:val="superscript"/>
        </w:rPr>
        <w:t>0</w:t>
      </w:r>
      <w:r>
        <w:rPr>
          <w:rFonts w:cs="Arial"/>
          <w:szCs w:val="20"/>
        </w:rPr>
        <w:t xml:space="preserve"> C lecz nie więcej niż + 25</w:t>
      </w:r>
      <w:r>
        <w:rPr>
          <w:rFonts w:cs="Arial"/>
          <w:szCs w:val="20"/>
          <w:vertAlign w:val="superscript"/>
        </w:rPr>
        <w:t>0</w:t>
      </w:r>
      <w:r>
        <w:rPr>
          <w:rFonts w:cs="Arial"/>
          <w:szCs w:val="20"/>
        </w:rPr>
        <w:t xml:space="preserve"> C,</w:t>
      </w:r>
    </w:p>
    <w:p w:rsidR="00B77F00" w:rsidRDefault="00865FA3">
      <w:pPr>
        <w:pStyle w:val="Standard"/>
        <w:jc w:val="both"/>
      </w:pPr>
      <w:r>
        <w:rPr>
          <w:rFonts w:cs="Arial"/>
          <w:szCs w:val="20"/>
        </w:rPr>
        <w:t>- dla materiałów na bazie  żywic syntetycznych nie mniej niż +8</w:t>
      </w:r>
      <w:r>
        <w:rPr>
          <w:rFonts w:cs="Arial"/>
          <w:szCs w:val="20"/>
          <w:vertAlign w:val="superscript"/>
        </w:rPr>
        <w:t>0</w:t>
      </w:r>
      <w:r>
        <w:rPr>
          <w:rFonts w:cs="Arial"/>
          <w:szCs w:val="20"/>
        </w:rPr>
        <w:t xml:space="preserve"> C (temperatura podłoża musi być wyższa o 3</w:t>
      </w:r>
      <w:r>
        <w:rPr>
          <w:rFonts w:cs="Arial"/>
          <w:szCs w:val="20"/>
          <w:vertAlign w:val="superscript"/>
        </w:rPr>
        <w:t>0</w:t>
      </w:r>
      <w:r>
        <w:rPr>
          <w:rFonts w:cs="Arial"/>
          <w:szCs w:val="20"/>
        </w:rPr>
        <w:t xml:space="preserve"> K od punktu rosy) i nie więcej niż +30</w:t>
      </w:r>
      <w:r>
        <w:rPr>
          <w:rFonts w:cs="Arial"/>
          <w:szCs w:val="20"/>
          <w:vertAlign w:val="superscript"/>
        </w:rPr>
        <w:t>0</w:t>
      </w:r>
      <w:r>
        <w:rPr>
          <w:rFonts w:cs="Arial"/>
          <w:szCs w:val="20"/>
        </w:rPr>
        <w:t xml:space="preserve"> C.</w:t>
      </w:r>
    </w:p>
    <w:p w:rsidR="00B77F00" w:rsidRDefault="00865FA3">
      <w:pPr>
        <w:pStyle w:val="Standard"/>
        <w:jc w:val="both"/>
        <w:rPr>
          <w:rFonts w:cs="Arial"/>
          <w:szCs w:val="20"/>
        </w:rPr>
      </w:pPr>
      <w:r>
        <w:rPr>
          <w:rFonts w:cs="Arial"/>
          <w:szCs w:val="20"/>
        </w:rPr>
        <w:t>5.1.7. Do mi</w:t>
      </w:r>
      <w:r>
        <w:rPr>
          <w:rFonts w:cs="Arial"/>
          <w:szCs w:val="20"/>
        </w:rPr>
        <w:t>eszania składników materiałów i materiałów jednoskładnikowych należy stosować wolnoobrotowe mieszadło mechaniczne.</w:t>
      </w:r>
    </w:p>
    <w:p w:rsidR="00B77F00" w:rsidRDefault="00865FA3">
      <w:pPr>
        <w:pStyle w:val="Standard"/>
        <w:jc w:val="both"/>
        <w:rPr>
          <w:rFonts w:cs="Arial"/>
          <w:szCs w:val="20"/>
        </w:rPr>
      </w:pPr>
      <w:r>
        <w:rPr>
          <w:rFonts w:cs="Arial"/>
          <w:szCs w:val="20"/>
        </w:rPr>
        <w:t xml:space="preserve">5.1.8. Powierzchnie betonowe zabezpieczone metodą hydrofobizacji lub impregnacji powierzchniowej nie powinny wykazywać zacieków, przebarwień </w:t>
      </w:r>
      <w:r>
        <w:rPr>
          <w:rFonts w:cs="Arial"/>
          <w:szCs w:val="20"/>
        </w:rPr>
        <w:t>i innych wad.</w:t>
      </w:r>
    </w:p>
    <w:p w:rsidR="00B77F00" w:rsidRDefault="00865FA3">
      <w:pPr>
        <w:pStyle w:val="Standard"/>
        <w:jc w:val="both"/>
        <w:rPr>
          <w:rFonts w:cs="Arial"/>
          <w:szCs w:val="20"/>
        </w:rPr>
      </w:pPr>
      <w:r>
        <w:rPr>
          <w:rFonts w:cs="Arial"/>
          <w:szCs w:val="20"/>
        </w:rPr>
        <w:t>5.1.9. Powierzchnie powłok nie powinny wykazywać przebarwień, nierówności, zmian faktury i innych wad. Wymagane jest stosowanie jasnych kolorów.</w:t>
      </w:r>
    </w:p>
    <w:p w:rsidR="00B77F00" w:rsidRDefault="00865FA3">
      <w:pPr>
        <w:pStyle w:val="Standard"/>
        <w:jc w:val="both"/>
      </w:pPr>
      <w:r>
        <w:rPr>
          <w:rFonts w:cs="Arial"/>
          <w:szCs w:val="20"/>
        </w:rPr>
        <w:t>5.1.10. Bezpośrednio po ukończeniu prac związanych z zabezpieczeniem antykorozyjnym betonu należy</w:t>
      </w:r>
      <w:r>
        <w:rPr>
          <w:rFonts w:cs="Arial"/>
          <w:szCs w:val="20"/>
        </w:rPr>
        <w:t xml:space="preserve"> chronić tę powierzchnię przed intensywnym nasłonecznieniem, silnym wiatrem, a także deszczem (chyba że instrukcje producenta materiału mówią inaczej) oraz spadkiem temperatury powietrza poniżej 5</w:t>
      </w:r>
      <w:r>
        <w:rPr>
          <w:rFonts w:cs="Arial"/>
          <w:szCs w:val="20"/>
          <w:vertAlign w:val="superscript"/>
        </w:rPr>
        <w:t>0</w:t>
      </w:r>
      <w:r>
        <w:rPr>
          <w:rFonts w:cs="Arial"/>
          <w:szCs w:val="20"/>
        </w:rPr>
        <w:t xml:space="preserve"> C i przegrzaniem powyżej 25</w:t>
      </w:r>
      <w:r>
        <w:rPr>
          <w:rFonts w:cs="Arial"/>
          <w:szCs w:val="20"/>
          <w:vertAlign w:val="superscript"/>
        </w:rPr>
        <w:t>0</w:t>
      </w:r>
      <w:r>
        <w:rPr>
          <w:rFonts w:cs="Arial"/>
          <w:szCs w:val="20"/>
        </w:rPr>
        <w:t xml:space="preserve"> C.</w:t>
      </w:r>
    </w:p>
    <w:p w:rsidR="00B77F00" w:rsidRDefault="00865FA3">
      <w:pPr>
        <w:pStyle w:val="Standard"/>
        <w:jc w:val="both"/>
        <w:rPr>
          <w:rFonts w:cs="Arial"/>
          <w:szCs w:val="20"/>
        </w:rPr>
      </w:pPr>
      <w:r>
        <w:rPr>
          <w:rFonts w:cs="Arial"/>
          <w:szCs w:val="20"/>
        </w:rPr>
        <w:t>5.1.11. Wykonanie, zabezpi</w:t>
      </w:r>
      <w:r>
        <w:rPr>
          <w:rFonts w:cs="Arial"/>
          <w:szCs w:val="20"/>
        </w:rPr>
        <w:t xml:space="preserve">eczenie, utrzymanie oraz rozbiórka rusztowań, pomostów roboczych i innych </w:t>
      </w:r>
      <w:r>
        <w:rPr>
          <w:rFonts w:cs="Arial"/>
          <w:szCs w:val="20"/>
        </w:rPr>
        <w:lastRenderedPageBreak/>
        <w:t>urządzeń pomocniczych niezbędnych do prowadzenia prac związanych z naprawą betonu należy do Wykonawcy.</w:t>
      </w:r>
    </w:p>
    <w:p w:rsidR="00B77F00" w:rsidRDefault="00865FA3">
      <w:pPr>
        <w:pStyle w:val="Standard"/>
        <w:jc w:val="both"/>
        <w:rPr>
          <w:rFonts w:cs="Arial"/>
          <w:szCs w:val="20"/>
        </w:rPr>
      </w:pPr>
      <w:r>
        <w:rPr>
          <w:rFonts w:cs="Arial"/>
          <w:szCs w:val="20"/>
        </w:rPr>
        <w:t>5.2. Bezpieczeństwo robót i ochrona środowiska</w:t>
      </w:r>
    </w:p>
    <w:p w:rsidR="00B77F00" w:rsidRDefault="00865FA3">
      <w:pPr>
        <w:pStyle w:val="Standard"/>
        <w:jc w:val="both"/>
      </w:pPr>
      <w:r>
        <w:rPr>
          <w:rFonts w:cs="Arial"/>
          <w:szCs w:val="20"/>
        </w:rPr>
        <w:t>5.2.1. Materiały do antykorozyjn</w:t>
      </w:r>
      <w:r>
        <w:rPr>
          <w:rFonts w:cs="Arial"/>
          <w:szCs w:val="20"/>
        </w:rPr>
        <w:t>ego zabezpieczenia betonu powinny być dostarczane w szczelnych pojemnikach i składowane w suchych pomieszczeniach w temperaturach nie niższych niż +5</w:t>
      </w:r>
      <w:r>
        <w:rPr>
          <w:rFonts w:cs="Arial"/>
          <w:szCs w:val="20"/>
          <w:vertAlign w:val="superscript"/>
        </w:rPr>
        <w:t>0</w:t>
      </w:r>
      <w:r>
        <w:rPr>
          <w:rFonts w:cs="Arial"/>
          <w:szCs w:val="20"/>
        </w:rPr>
        <w:t xml:space="preserve"> C i wyższych niż +25</w:t>
      </w:r>
      <w:r>
        <w:rPr>
          <w:rFonts w:cs="Arial"/>
          <w:szCs w:val="20"/>
          <w:vertAlign w:val="superscript"/>
        </w:rPr>
        <w:t>0</w:t>
      </w:r>
      <w:r>
        <w:rPr>
          <w:rFonts w:cs="Arial"/>
          <w:szCs w:val="20"/>
        </w:rPr>
        <w:t xml:space="preserve"> C.</w:t>
      </w:r>
    </w:p>
    <w:p w:rsidR="00B77F00" w:rsidRDefault="00865FA3">
      <w:pPr>
        <w:pStyle w:val="Standard"/>
        <w:jc w:val="both"/>
      </w:pPr>
      <w:r>
        <w:rPr>
          <w:rFonts w:cs="Arial"/>
          <w:szCs w:val="20"/>
        </w:rPr>
        <w:t>5.2.2. Transport i magazynowanie materiałów na ba</w:t>
      </w:r>
      <w:r>
        <w:rPr>
          <w:rFonts w:cs="Arial"/>
          <w:szCs w:val="20"/>
        </w:rPr>
        <w:t>zie żywic syntetycznych oraz rozpuszczalników powinny odpowiadać ogólnym wymaganiom, jak dla materiałów toksycznych i łatwopalnych.</w:t>
      </w:r>
      <w:r>
        <w:rPr>
          <w:rFonts w:cs="Arial"/>
          <w:szCs w:val="20"/>
        </w:rPr>
        <w:br/>
      </w:r>
      <w:r>
        <w:rPr>
          <w:rFonts w:cs="Arial"/>
          <w:szCs w:val="20"/>
        </w:rPr>
        <w:t>5.2.3. Sposób prowadzenia prac związanych z antykorozyjnym zabezpieczen</w:t>
      </w:r>
      <w:r>
        <w:rPr>
          <w:rFonts w:cs="Arial"/>
          <w:szCs w:val="20"/>
        </w:rPr>
        <w:t>iem betonu może powodować skażenia środowiska. Resztek materiałów pozostałych w pojemnikach i po myciu przyrządów roboczych nie wolno wylewać do kanalizacji. Wszelkie odpady tych materiałów Wykonawca obowiązany jest usunąć z terenu i poddać je utylizacji.</w:t>
      </w:r>
    </w:p>
    <w:p w:rsidR="00B77F00" w:rsidRDefault="00865FA3">
      <w:pPr>
        <w:pStyle w:val="Standard"/>
        <w:jc w:val="both"/>
        <w:rPr>
          <w:rFonts w:cs="Arial"/>
          <w:szCs w:val="20"/>
        </w:rPr>
      </w:pPr>
      <w:r>
        <w:rPr>
          <w:rFonts w:cs="Arial"/>
          <w:szCs w:val="20"/>
        </w:rPr>
        <w:t>5.2.4. Wykonawca obowiązany jest zabezpieczyć teren przed zanieczyszczeniem odpadami materiałów szczególnie nanoszonych metodą natryskową.</w:t>
      </w:r>
    </w:p>
    <w:p w:rsidR="00B77F00" w:rsidRDefault="00B77F00">
      <w:pPr>
        <w:pStyle w:val="Standard"/>
        <w:jc w:val="both"/>
        <w:rPr>
          <w:rFonts w:cs="Arial"/>
          <w:szCs w:val="20"/>
        </w:rPr>
      </w:pPr>
    </w:p>
    <w:p w:rsidR="00B77F00" w:rsidRDefault="00865FA3">
      <w:pPr>
        <w:pStyle w:val="Standard"/>
        <w:jc w:val="both"/>
        <w:rPr>
          <w:rFonts w:cs="Arial"/>
          <w:b/>
          <w:szCs w:val="20"/>
        </w:rPr>
      </w:pPr>
      <w:r>
        <w:rPr>
          <w:rFonts w:cs="Arial"/>
          <w:b/>
          <w:szCs w:val="20"/>
        </w:rPr>
        <w:t>6. KONTROLA JAKOŚCI ROBÓT</w:t>
      </w:r>
    </w:p>
    <w:p w:rsidR="00B77F00" w:rsidRDefault="00865FA3">
      <w:pPr>
        <w:pStyle w:val="Standard"/>
        <w:jc w:val="both"/>
        <w:rPr>
          <w:rFonts w:cs="Arial"/>
          <w:szCs w:val="20"/>
        </w:rPr>
      </w:pPr>
      <w:r>
        <w:rPr>
          <w:rFonts w:cs="Arial"/>
          <w:szCs w:val="20"/>
        </w:rPr>
        <w:t>6.1. Ogólne zasady kontroli jakości robót</w:t>
      </w:r>
    </w:p>
    <w:p w:rsidR="00B77F00" w:rsidRDefault="00865FA3">
      <w:pPr>
        <w:pStyle w:val="Standard"/>
        <w:jc w:val="both"/>
        <w:rPr>
          <w:rFonts w:cs="Arial"/>
          <w:szCs w:val="20"/>
        </w:rPr>
      </w:pPr>
      <w:r>
        <w:rPr>
          <w:rFonts w:cs="Arial"/>
          <w:szCs w:val="20"/>
        </w:rPr>
        <w:t>6.1.1.  Przeprowadzenie wszystkich badań materia</w:t>
      </w:r>
      <w:r>
        <w:rPr>
          <w:rFonts w:cs="Arial"/>
          <w:szCs w:val="20"/>
        </w:rPr>
        <w:t>łów i jakości robót związanych z wypełnianiem ubytków w betonie należy do Wykonawcy.</w:t>
      </w:r>
    </w:p>
    <w:p w:rsidR="00B77F00" w:rsidRDefault="00865FA3">
      <w:pPr>
        <w:pStyle w:val="Standard"/>
        <w:jc w:val="both"/>
        <w:rPr>
          <w:rFonts w:cs="Arial"/>
          <w:szCs w:val="20"/>
        </w:rPr>
      </w:pPr>
      <w:r>
        <w:rPr>
          <w:rFonts w:cs="Arial"/>
          <w:szCs w:val="20"/>
        </w:rPr>
        <w:t>6.1.2. Do obowiązków Inżyniera należy  porównanie uzyskanych wyników badań z wymaganiami zawartymi w niniejszej specyfikacji.</w:t>
      </w:r>
    </w:p>
    <w:p w:rsidR="00B77F00" w:rsidRDefault="00865FA3">
      <w:pPr>
        <w:pStyle w:val="Standard"/>
        <w:jc w:val="both"/>
        <w:rPr>
          <w:rFonts w:cs="Arial"/>
          <w:szCs w:val="20"/>
        </w:rPr>
      </w:pPr>
      <w:r>
        <w:rPr>
          <w:rFonts w:cs="Arial"/>
          <w:szCs w:val="20"/>
        </w:rPr>
        <w:t>6.1.3. Gdy jakość zastosowanego materiału lub</w:t>
      </w:r>
      <w:r>
        <w:rPr>
          <w:rFonts w:cs="Arial"/>
          <w:szCs w:val="20"/>
        </w:rPr>
        <w:t xml:space="preserve"> wykonanej roboty budzi wątpliwości Zamawiający może poddać je kontrolnemu badaniu w pełnym zakresie. W przypadku negatywnego wyniku tego badania, koszty z tym związane obciążają Wykonawcę</w:t>
      </w:r>
    </w:p>
    <w:p w:rsidR="00B77F00" w:rsidRDefault="00865FA3">
      <w:pPr>
        <w:pStyle w:val="Standard"/>
        <w:jc w:val="both"/>
        <w:rPr>
          <w:rFonts w:cs="Arial"/>
          <w:szCs w:val="20"/>
        </w:rPr>
      </w:pPr>
      <w:r>
        <w:rPr>
          <w:rFonts w:cs="Arial"/>
          <w:szCs w:val="20"/>
        </w:rPr>
        <w:t>6.2. Kontrola materiałów</w:t>
      </w:r>
    </w:p>
    <w:p w:rsidR="00B77F00" w:rsidRDefault="00865FA3">
      <w:pPr>
        <w:pStyle w:val="Standard"/>
        <w:jc w:val="both"/>
        <w:rPr>
          <w:rFonts w:cs="Arial"/>
          <w:szCs w:val="20"/>
        </w:rPr>
      </w:pPr>
      <w:r>
        <w:rPr>
          <w:rFonts w:cs="Arial"/>
          <w:szCs w:val="20"/>
        </w:rPr>
        <w:t>6.2.1. Wykonawca obowiązany jest przedstaw</w:t>
      </w:r>
      <w:r>
        <w:rPr>
          <w:rFonts w:cs="Arial"/>
          <w:szCs w:val="20"/>
        </w:rPr>
        <w:t>ić Inżynierowi do akceptacji Aprobaty Techniczne IBDiM i atesty materiałów.</w:t>
      </w:r>
    </w:p>
    <w:p w:rsidR="00B77F00" w:rsidRDefault="00865FA3">
      <w:pPr>
        <w:pStyle w:val="Standard"/>
        <w:jc w:val="both"/>
        <w:rPr>
          <w:rFonts w:cs="Arial"/>
          <w:szCs w:val="20"/>
        </w:rPr>
      </w:pPr>
      <w:r>
        <w:rPr>
          <w:rFonts w:cs="Arial"/>
          <w:szCs w:val="20"/>
        </w:rPr>
        <w:t>6.2.2. Inżynier obowiązany jest do sprawdzenia daty produkcji, daty przydatności do stosowania, stanu opakowań oraz właściwego przechowywania materiałów.</w:t>
      </w:r>
    </w:p>
    <w:p w:rsidR="00B77F00" w:rsidRDefault="00865FA3">
      <w:pPr>
        <w:pStyle w:val="Standard"/>
        <w:jc w:val="both"/>
        <w:rPr>
          <w:rFonts w:cs="Arial"/>
          <w:szCs w:val="20"/>
        </w:rPr>
      </w:pPr>
      <w:r>
        <w:rPr>
          <w:rFonts w:cs="Arial"/>
          <w:szCs w:val="20"/>
        </w:rPr>
        <w:t>6.3. Kontrola przygotowani</w:t>
      </w:r>
      <w:r>
        <w:rPr>
          <w:rFonts w:cs="Arial"/>
          <w:szCs w:val="20"/>
        </w:rPr>
        <w:t>a podłoża</w:t>
      </w:r>
    </w:p>
    <w:p w:rsidR="00B77F00" w:rsidRDefault="00865FA3">
      <w:pPr>
        <w:pStyle w:val="Standard"/>
        <w:jc w:val="both"/>
        <w:rPr>
          <w:rFonts w:cs="Arial"/>
          <w:szCs w:val="20"/>
        </w:rPr>
      </w:pPr>
      <w:r>
        <w:rPr>
          <w:rFonts w:cs="Arial"/>
          <w:szCs w:val="20"/>
        </w:rPr>
        <w:t>Wykonawca zobowiązany jest przedstawić Inżynierowi do akceptacji wyniki badań podłoża.</w:t>
      </w:r>
      <w:r>
        <w:rPr>
          <w:rFonts w:cs="Arial"/>
          <w:szCs w:val="20"/>
        </w:rPr>
        <w:br/>
      </w:r>
      <w:r>
        <w:rPr>
          <w:rFonts w:cs="Arial"/>
          <w:szCs w:val="20"/>
        </w:rPr>
        <w:t>6.4. Kontrola wykonanych robót</w:t>
      </w:r>
    </w:p>
    <w:p w:rsidR="00B77F00" w:rsidRDefault="00865FA3">
      <w:pPr>
        <w:pStyle w:val="Standard"/>
        <w:jc w:val="both"/>
        <w:rPr>
          <w:rFonts w:cs="Arial"/>
          <w:szCs w:val="20"/>
        </w:rPr>
      </w:pPr>
      <w:r>
        <w:rPr>
          <w:rFonts w:cs="Arial"/>
          <w:szCs w:val="20"/>
        </w:rPr>
        <w:t>6.4.1. Po wykonaniu robót Wykonawca obowiązany jest przedstawić Inżynierowi do akceptacji wyniki badań:</w:t>
      </w:r>
    </w:p>
    <w:p w:rsidR="00B77F00" w:rsidRDefault="00865FA3">
      <w:pPr>
        <w:pStyle w:val="Standard"/>
        <w:jc w:val="both"/>
      </w:pPr>
      <w:r>
        <w:rPr>
          <w:rFonts w:cs="Arial"/>
          <w:szCs w:val="20"/>
        </w:rPr>
        <w:t xml:space="preserve">- wytrzymałości warstwy </w:t>
      </w:r>
      <w:r>
        <w:rPr>
          <w:rFonts w:cs="Arial"/>
          <w:szCs w:val="20"/>
        </w:rPr>
        <w:t>zastosowanego materiału na odrywanie metodą określoną „pull-off”, przy średnicy krążka próbnego  50 mm (wg zasady 1 oznaczenie na 25 m</w:t>
      </w:r>
      <w:r>
        <w:rPr>
          <w:rFonts w:cs="Arial"/>
          <w:szCs w:val="20"/>
          <w:vertAlign w:val="superscript"/>
        </w:rPr>
        <w:t>2</w:t>
      </w:r>
      <w:r>
        <w:rPr>
          <w:rFonts w:cs="Arial"/>
          <w:szCs w:val="20"/>
        </w:rPr>
        <w:t>, przy min 5 oznaczeniach wg PN-92/B-01814),</w:t>
      </w:r>
    </w:p>
    <w:p w:rsidR="00B77F00" w:rsidRDefault="00865FA3">
      <w:pPr>
        <w:pStyle w:val="Standard"/>
        <w:jc w:val="both"/>
      </w:pPr>
      <w:r>
        <w:rPr>
          <w:rFonts w:cs="Arial"/>
          <w:szCs w:val="20"/>
        </w:rPr>
        <w:t>- grubości wykonanej powłoki lub wyprawy zmierzonej w oderwanej próbce metod</w:t>
      </w:r>
      <w:r>
        <w:rPr>
          <w:rFonts w:cs="Arial"/>
          <w:szCs w:val="20"/>
        </w:rPr>
        <w:t>ą „pull-off”.</w:t>
      </w:r>
      <w:r>
        <w:rPr>
          <w:rFonts w:cs="Arial"/>
          <w:szCs w:val="20"/>
        </w:rPr>
        <w:br/>
      </w:r>
      <w:r>
        <w:rPr>
          <w:rFonts w:cs="Arial"/>
          <w:szCs w:val="20"/>
        </w:rPr>
        <w:t xml:space="preserve">Wyniki te powinny być zgodne z wymaganiami przedstawionymi w punkcie 2.2. </w:t>
      </w:r>
      <w:r>
        <w:rPr>
          <w:rFonts w:cs="Arial"/>
          <w:szCs w:val="20"/>
        </w:rPr>
        <w:br/>
      </w:r>
    </w:p>
    <w:p w:rsidR="00B77F00" w:rsidRDefault="00865FA3">
      <w:pPr>
        <w:pStyle w:val="Standard"/>
        <w:jc w:val="both"/>
        <w:rPr>
          <w:rFonts w:cs="Arial"/>
          <w:b/>
          <w:szCs w:val="20"/>
        </w:rPr>
      </w:pPr>
      <w:r>
        <w:rPr>
          <w:rFonts w:cs="Arial"/>
          <w:b/>
          <w:szCs w:val="20"/>
        </w:rPr>
        <w:t>7. OBMIAR ROBÓT</w:t>
      </w:r>
    </w:p>
    <w:p w:rsidR="00B77F00" w:rsidRDefault="00865FA3">
      <w:pPr>
        <w:pStyle w:val="Standard"/>
        <w:jc w:val="both"/>
        <w:rPr>
          <w:rFonts w:cs="Arial"/>
          <w:szCs w:val="20"/>
        </w:rPr>
      </w:pPr>
      <w:r>
        <w:rPr>
          <w:rFonts w:cs="Arial"/>
          <w:szCs w:val="20"/>
        </w:rPr>
        <w:t>Jednostką obmiaru jest 1 metr kwadratowy powierzchni podlegającej zabezpieczeniu.</w:t>
      </w:r>
    </w:p>
    <w:p w:rsidR="00B77F00" w:rsidRDefault="00B77F00">
      <w:pPr>
        <w:pStyle w:val="Standard"/>
        <w:jc w:val="both"/>
        <w:rPr>
          <w:rFonts w:cs="Arial"/>
          <w:szCs w:val="20"/>
        </w:rPr>
      </w:pPr>
    </w:p>
    <w:p w:rsidR="00B77F00" w:rsidRDefault="00865FA3">
      <w:pPr>
        <w:pStyle w:val="Standard"/>
        <w:jc w:val="both"/>
        <w:rPr>
          <w:rFonts w:cs="Arial"/>
          <w:b/>
          <w:szCs w:val="20"/>
        </w:rPr>
      </w:pPr>
      <w:r>
        <w:rPr>
          <w:rFonts w:cs="Arial"/>
          <w:b/>
          <w:szCs w:val="20"/>
        </w:rPr>
        <w:t>8. ODBIÓR ROBÓT</w:t>
      </w:r>
    </w:p>
    <w:p w:rsidR="00B77F00" w:rsidRDefault="00865FA3">
      <w:pPr>
        <w:pStyle w:val="Standard"/>
        <w:jc w:val="both"/>
        <w:rPr>
          <w:rFonts w:cs="Arial"/>
          <w:szCs w:val="20"/>
        </w:rPr>
      </w:pPr>
      <w:r>
        <w:rPr>
          <w:rFonts w:cs="Arial"/>
          <w:szCs w:val="20"/>
        </w:rPr>
        <w:t>8.1. Odbiorowi podlegają:</w:t>
      </w:r>
    </w:p>
    <w:p w:rsidR="00B77F00" w:rsidRDefault="00865FA3">
      <w:pPr>
        <w:pStyle w:val="Standard"/>
        <w:jc w:val="both"/>
        <w:rPr>
          <w:rFonts w:cs="Arial"/>
          <w:szCs w:val="20"/>
        </w:rPr>
      </w:pPr>
      <w:r>
        <w:rPr>
          <w:rFonts w:cs="Arial"/>
          <w:szCs w:val="20"/>
        </w:rPr>
        <w:t>- roboty ulegające zakry</w:t>
      </w:r>
      <w:r>
        <w:rPr>
          <w:rFonts w:cs="Arial"/>
          <w:szCs w:val="20"/>
        </w:rPr>
        <w:t>ciu w trakcie antykorozyjnego zabezpieczenia powierzchni betonu (odbiór międzyoperacyjny),</w:t>
      </w:r>
      <w:r>
        <w:rPr>
          <w:rFonts w:cs="Arial"/>
          <w:szCs w:val="20"/>
        </w:rPr>
        <w:br/>
      </w:r>
      <w:r>
        <w:rPr>
          <w:rFonts w:cs="Arial"/>
          <w:szCs w:val="20"/>
        </w:rPr>
        <w:t>- roboty objęte umową po ich całkowitym zakończeniu (odbiór końcowy).</w:t>
      </w:r>
    </w:p>
    <w:p w:rsidR="00B77F00" w:rsidRDefault="00865FA3">
      <w:pPr>
        <w:pStyle w:val="Standard"/>
        <w:jc w:val="both"/>
        <w:rPr>
          <w:rFonts w:cs="Arial"/>
          <w:szCs w:val="20"/>
        </w:rPr>
      </w:pPr>
      <w:r>
        <w:rPr>
          <w:rFonts w:cs="Arial"/>
          <w:szCs w:val="20"/>
        </w:rPr>
        <w:t>8.2. Podstawą odbioru międzyoperacyjnego jest pisemne stwierdzenie Inżyniera w Dzienniku Budowy</w:t>
      </w:r>
      <w:r>
        <w:rPr>
          <w:rFonts w:cs="Arial"/>
          <w:szCs w:val="20"/>
        </w:rPr>
        <w:t xml:space="preserve"> wykonania robót określonego rodzaju, zgodnie z Dokumentacją Techniczną, wymaganiami zawartymi w ST oraz wyrażenie zgody na przystąpienie przez Wykonawcę do realizacji kolejnej fazy robót.</w:t>
      </w:r>
    </w:p>
    <w:p w:rsidR="00B77F00" w:rsidRDefault="00865FA3">
      <w:pPr>
        <w:pStyle w:val="Standard"/>
        <w:jc w:val="both"/>
        <w:rPr>
          <w:rFonts w:cs="Arial"/>
          <w:szCs w:val="20"/>
        </w:rPr>
      </w:pPr>
      <w:r>
        <w:rPr>
          <w:rFonts w:cs="Arial"/>
          <w:szCs w:val="20"/>
        </w:rPr>
        <w:t>8.3. Podstawą odbioru końcowego jest pisemne stwierdzenie przez Inż</w:t>
      </w:r>
      <w:r>
        <w:rPr>
          <w:rFonts w:cs="Arial"/>
          <w:szCs w:val="20"/>
        </w:rPr>
        <w:t>yniera w Dzienniku Budowy zakończenia wszystkich robót związanych z antykorozyjnym zabezpieczeniem powierzchni betonu i spełnienia wymagań określonych w Dokumentacji  Projektowej, ST oraz innych warunków dotyczących tych robót zawartych w umowie.</w:t>
      </w:r>
    </w:p>
    <w:p w:rsidR="00B77F00" w:rsidRDefault="00865FA3">
      <w:pPr>
        <w:pStyle w:val="Standard"/>
        <w:jc w:val="both"/>
        <w:rPr>
          <w:rFonts w:cs="Arial"/>
          <w:szCs w:val="20"/>
        </w:rPr>
      </w:pPr>
      <w:r>
        <w:rPr>
          <w:rFonts w:cs="Arial"/>
          <w:szCs w:val="20"/>
        </w:rPr>
        <w:t xml:space="preserve"> </w:t>
      </w:r>
    </w:p>
    <w:p w:rsidR="00B77F00" w:rsidRDefault="00865FA3">
      <w:pPr>
        <w:pStyle w:val="Standard"/>
        <w:jc w:val="both"/>
        <w:rPr>
          <w:rFonts w:cs="Arial"/>
          <w:b/>
          <w:szCs w:val="20"/>
        </w:rPr>
      </w:pPr>
      <w:r>
        <w:rPr>
          <w:rFonts w:cs="Arial"/>
          <w:b/>
          <w:szCs w:val="20"/>
        </w:rPr>
        <w:t>9. PODS</w:t>
      </w:r>
      <w:r>
        <w:rPr>
          <w:rFonts w:cs="Arial"/>
          <w:b/>
          <w:szCs w:val="20"/>
        </w:rPr>
        <w:t>TAWA PŁATNOŚCI</w:t>
      </w:r>
    </w:p>
    <w:p w:rsidR="00B77F00" w:rsidRDefault="00865FA3">
      <w:pPr>
        <w:pStyle w:val="Standard"/>
        <w:jc w:val="both"/>
      </w:pPr>
      <w:r>
        <w:rPr>
          <w:rFonts w:cs="Arial"/>
          <w:szCs w:val="20"/>
        </w:rPr>
        <w:t>Płaci się za wykonaną i odebraną ilość m</w:t>
      </w:r>
      <w:r>
        <w:rPr>
          <w:rFonts w:cs="Arial"/>
          <w:szCs w:val="20"/>
          <w:vertAlign w:val="superscript"/>
        </w:rPr>
        <w:t>2</w:t>
      </w:r>
      <w:r>
        <w:rPr>
          <w:rFonts w:cs="Arial"/>
          <w:szCs w:val="20"/>
        </w:rPr>
        <w:t xml:space="preserve"> powierzchni zabezpieczenia antykorozyjnego. Cena jednostkowa obejmuje:</w:t>
      </w:r>
    </w:p>
    <w:p w:rsidR="00B77F00" w:rsidRDefault="00865FA3">
      <w:pPr>
        <w:pStyle w:val="Standard"/>
        <w:jc w:val="both"/>
        <w:rPr>
          <w:rFonts w:cs="Arial"/>
          <w:szCs w:val="20"/>
        </w:rPr>
      </w:pPr>
      <w:r>
        <w:rPr>
          <w:rFonts w:cs="Arial"/>
          <w:szCs w:val="20"/>
        </w:rPr>
        <w:t>- zakup i dostarczenie i magazynowanie materiałów, konstrukcji lub wyrobów potrzebnych do wykonania robót,</w:t>
      </w:r>
    </w:p>
    <w:p w:rsidR="00B77F00" w:rsidRDefault="00865FA3">
      <w:pPr>
        <w:pStyle w:val="Standard"/>
        <w:jc w:val="both"/>
        <w:rPr>
          <w:rFonts w:cs="Arial"/>
          <w:szCs w:val="20"/>
        </w:rPr>
      </w:pPr>
      <w:r>
        <w:rPr>
          <w:rFonts w:cs="Arial"/>
          <w:szCs w:val="20"/>
        </w:rPr>
        <w:lastRenderedPageBreak/>
        <w:t xml:space="preserve">– wykonanie i </w:t>
      </w:r>
      <w:r>
        <w:rPr>
          <w:rFonts w:cs="Arial"/>
          <w:szCs w:val="20"/>
        </w:rPr>
        <w:t>rozbiórkę niezbędnych rusztowań, pomostów roboczych, użycie środków pływających i innych urządzeń pomocniczych, niezbędnych do wykonania lub zabezpieczenia robót prowadzonych przy odbywającym się ruchu drogowym na obiekcie lub pod obiektem,</w:t>
      </w:r>
    </w:p>
    <w:p w:rsidR="00B77F00" w:rsidRDefault="00865FA3">
      <w:pPr>
        <w:pStyle w:val="Standard"/>
        <w:jc w:val="both"/>
        <w:rPr>
          <w:rFonts w:cs="Arial"/>
          <w:szCs w:val="20"/>
        </w:rPr>
      </w:pPr>
      <w:r>
        <w:rPr>
          <w:rFonts w:cs="Arial"/>
          <w:szCs w:val="20"/>
        </w:rPr>
        <w:t>- wykonanie zab</w:t>
      </w:r>
      <w:r>
        <w:rPr>
          <w:rFonts w:cs="Arial"/>
          <w:szCs w:val="20"/>
        </w:rPr>
        <w:t>ezpieczenia antykorozyjnego powierzchni betonu</w:t>
      </w:r>
    </w:p>
    <w:p w:rsidR="00B77F00" w:rsidRDefault="00865FA3">
      <w:pPr>
        <w:pStyle w:val="Standard"/>
        <w:ind w:left="486" w:hanging="429"/>
        <w:jc w:val="both"/>
        <w:rPr>
          <w:rFonts w:cs="Arial"/>
          <w:b/>
          <w:bCs/>
          <w:color w:val="000000"/>
          <w:szCs w:val="20"/>
        </w:rPr>
      </w:pPr>
      <w:r>
        <w:rPr>
          <w:rFonts w:cs="Arial"/>
          <w:b/>
          <w:bCs/>
          <w:color w:val="000000"/>
          <w:szCs w:val="20"/>
        </w:rPr>
        <w:t>W wycenie pozycji należy ująć wszystkie niezbędne materiały oraz czynniki do wykonania robót.</w:t>
      </w:r>
    </w:p>
    <w:p w:rsidR="00B77F00" w:rsidRDefault="00B77F00">
      <w:pPr>
        <w:pStyle w:val="Standard"/>
        <w:jc w:val="both"/>
        <w:rPr>
          <w:rFonts w:cs="Arial"/>
          <w:szCs w:val="20"/>
        </w:rPr>
      </w:pPr>
    </w:p>
    <w:p w:rsidR="00B77F00" w:rsidRDefault="00865FA3">
      <w:pPr>
        <w:pStyle w:val="Standard"/>
        <w:jc w:val="both"/>
        <w:rPr>
          <w:rFonts w:cs="Arial"/>
          <w:b/>
          <w:szCs w:val="20"/>
        </w:rPr>
      </w:pPr>
      <w:r>
        <w:rPr>
          <w:rFonts w:cs="Arial"/>
          <w:b/>
          <w:szCs w:val="20"/>
        </w:rPr>
        <w:t>10. PRZEPISY ZWIĄZANE</w:t>
      </w:r>
    </w:p>
    <w:p w:rsidR="00B77F00" w:rsidRDefault="00865FA3">
      <w:pPr>
        <w:pStyle w:val="Standard"/>
        <w:jc w:val="both"/>
        <w:rPr>
          <w:rFonts w:cs="Arial"/>
          <w:szCs w:val="20"/>
        </w:rPr>
      </w:pPr>
      <w:r>
        <w:rPr>
          <w:rFonts w:cs="Arial"/>
          <w:szCs w:val="20"/>
        </w:rPr>
        <w:t>PN-92/B-01814</w:t>
      </w:r>
      <w:r>
        <w:rPr>
          <w:rFonts w:cs="Arial"/>
          <w:szCs w:val="20"/>
        </w:rPr>
        <w:tab/>
        <w:t>Antykorozyjne zabezpieczenie w budownictwie. Konstrukcje betonowe i żelbetowe</w:t>
      </w:r>
      <w:r>
        <w:rPr>
          <w:rFonts w:cs="Arial"/>
          <w:szCs w:val="20"/>
        </w:rPr>
        <w:t>. Metoda badania przyczepności powłok ochronnych.</w:t>
      </w:r>
    </w:p>
    <w:p w:rsidR="00B77F00" w:rsidRDefault="00865FA3">
      <w:pPr>
        <w:pStyle w:val="Nagwek1"/>
        <w:pageBreakBefore/>
        <w:jc w:val="both"/>
      </w:pPr>
      <w:bookmarkStart w:id="20" w:name="__RefHeading___Toc132760_513951418"/>
      <w:r>
        <w:lastRenderedPageBreak/>
        <w:t>M.28.00.00 Wyposażenie obiektóW</w:t>
      </w:r>
      <w:bookmarkEnd w:id="20"/>
    </w:p>
    <w:p w:rsidR="00B77F00" w:rsidRDefault="00865FA3">
      <w:pPr>
        <w:pStyle w:val="Nagwek2"/>
        <w:jc w:val="both"/>
      </w:pPr>
      <w:bookmarkStart w:id="21" w:name="__RefHeading___Toc22127_226129707"/>
      <w:r>
        <w:t>M.28.02.00 Barieroporęcze</w:t>
      </w:r>
      <w:bookmarkEnd w:id="21"/>
    </w:p>
    <w:p w:rsidR="00B77F00" w:rsidRDefault="00865FA3">
      <w:pPr>
        <w:pStyle w:val="Nagwek3"/>
        <w:jc w:val="both"/>
      </w:pPr>
      <w:bookmarkStart w:id="22" w:name="__RefHeading___Toc106231_992416677"/>
      <w:r>
        <w:t>M.28.02.01 Barieroporęcze stalowe z pochwytem dla pieszych na obiekcie inżynierskim</w:t>
      </w:r>
      <w:bookmarkEnd w:id="22"/>
    </w:p>
    <w:p w:rsidR="00B77F00" w:rsidRDefault="00865FA3">
      <w:pPr>
        <w:pStyle w:val="Standard"/>
        <w:jc w:val="both"/>
        <w:rPr>
          <w:b/>
          <w:bCs/>
        </w:rPr>
      </w:pPr>
      <w:r>
        <w:rPr>
          <w:b/>
          <w:bCs/>
        </w:rPr>
        <w:t>1.</w:t>
      </w:r>
      <w:r>
        <w:rPr>
          <w:b/>
          <w:bCs/>
        </w:rPr>
        <w:tab/>
        <w:t>WSTĘP</w:t>
      </w:r>
    </w:p>
    <w:p w:rsidR="00B77F00" w:rsidRDefault="00865FA3">
      <w:pPr>
        <w:pStyle w:val="Standard"/>
        <w:jc w:val="both"/>
      </w:pPr>
      <w:r>
        <w:t>1.1.</w:t>
      </w:r>
      <w:r>
        <w:tab/>
        <w:t>Przedmiot Specyfikacji</w:t>
      </w:r>
    </w:p>
    <w:p w:rsidR="00B77F00" w:rsidRDefault="00865FA3">
      <w:pPr>
        <w:pStyle w:val="Standard"/>
        <w:jc w:val="both"/>
      </w:pPr>
      <w:r>
        <w:t xml:space="preserve">Przedmiotem niniejszej </w:t>
      </w:r>
      <w:r>
        <w:t>Specyfikacji są wymagania dotyczące montażu i odbioru barier stalowych na obiektach most</w:t>
      </w:r>
      <w:r>
        <w:t xml:space="preserve">owych dla </w:t>
      </w:r>
      <w:r>
        <w:rPr>
          <w:rFonts w:cs="Arial"/>
          <w:szCs w:val="20"/>
        </w:rPr>
        <w:t xml:space="preserve">zamierzenia budowlanego: </w:t>
      </w:r>
      <w:r>
        <w:rPr>
          <w:rStyle w:val="WW-DefaultParagraphFont"/>
          <w:rFonts w:eastAsia="Times New Roman" w:cs="Arial"/>
          <w:color w:val="000000"/>
          <w:spacing w:val="-3"/>
          <w:lang w:val="pl-PL" w:bidi="ar-SA"/>
        </w:rPr>
        <w:t>„Remont mostu na rzece Wiązownica w msc. Wrzos w ciągu drogi powiatowej nr 3501W Wrzeszczów – Wrzos - Domaniów w km 4+206”.</w:t>
      </w:r>
    </w:p>
    <w:p w:rsidR="00B77F00" w:rsidRDefault="00865FA3">
      <w:pPr>
        <w:pStyle w:val="Standard"/>
        <w:jc w:val="both"/>
      </w:pPr>
      <w:r>
        <w:t>1.2.</w:t>
      </w:r>
      <w:r>
        <w:tab/>
        <w:t>Zakres stosowania Specyfikacji</w:t>
      </w:r>
    </w:p>
    <w:p w:rsidR="00B77F00" w:rsidRDefault="00865FA3">
      <w:pPr>
        <w:pStyle w:val="Standard"/>
        <w:jc w:val="both"/>
      </w:pPr>
      <w:r>
        <w:t>Specyfikacja jest stosowana jako dokument przetargowy i kontraktowy przy zlecaniu i realizacji robót wymienionych w pkt.1.1.</w:t>
      </w:r>
    </w:p>
    <w:p w:rsidR="00B77F00" w:rsidRDefault="00865FA3">
      <w:pPr>
        <w:pStyle w:val="Standard"/>
        <w:jc w:val="both"/>
      </w:pPr>
      <w:r>
        <w:t>1.3.</w:t>
      </w:r>
      <w:r>
        <w:tab/>
        <w:t xml:space="preserve">Zakres </w:t>
      </w:r>
      <w:r>
        <w:t>robót objętych Specyfikacją</w:t>
      </w:r>
    </w:p>
    <w:p w:rsidR="00B77F00" w:rsidRDefault="00865FA3">
      <w:pPr>
        <w:pStyle w:val="Standard"/>
        <w:jc w:val="both"/>
      </w:pPr>
      <w:r>
        <w:t>Roboty, których dotyczy Specyfikacja, obejmują wszystkie czynności umożliwiające i mające na celu:</w:t>
      </w:r>
    </w:p>
    <w:p w:rsidR="00B77F00" w:rsidRDefault="00865FA3">
      <w:pPr>
        <w:pStyle w:val="Standard"/>
        <w:jc w:val="both"/>
      </w:pPr>
      <w:r>
        <w:t>-</w:t>
      </w:r>
      <w:r>
        <w:tab/>
        <w:t>zakup i montaż barier mostowych  typu H2/W3 na obiekcie mostowym</w:t>
      </w:r>
    </w:p>
    <w:p w:rsidR="00B77F00" w:rsidRDefault="00865FA3">
      <w:pPr>
        <w:pStyle w:val="Standard"/>
        <w:jc w:val="both"/>
      </w:pPr>
      <w:r>
        <w:t>-</w:t>
      </w:r>
      <w:r>
        <w:tab/>
        <w:t>wykonanie i montaż zakotwień bariery typu H2/W3  dostosowany</w:t>
      </w:r>
      <w:r>
        <w:t>ch do miejsca ułożenia na obiektach mostowych</w:t>
      </w:r>
    </w:p>
    <w:p w:rsidR="00B77F00" w:rsidRDefault="00865FA3">
      <w:pPr>
        <w:pStyle w:val="Standard"/>
        <w:jc w:val="both"/>
      </w:pPr>
      <w:r>
        <w:t>- montaż bariery na dojazdach</w:t>
      </w:r>
    </w:p>
    <w:p w:rsidR="00B77F00" w:rsidRDefault="00865FA3">
      <w:pPr>
        <w:pStyle w:val="Standard"/>
        <w:jc w:val="both"/>
      </w:pPr>
      <w:r>
        <w:t>1.4.</w:t>
      </w:r>
      <w:r>
        <w:tab/>
        <w:t>Określenia podstawowe</w:t>
      </w:r>
    </w:p>
    <w:p w:rsidR="00B77F00" w:rsidRDefault="00865FA3">
      <w:pPr>
        <w:pStyle w:val="Standard"/>
        <w:jc w:val="both"/>
      </w:pPr>
      <w:r>
        <w:t>Określenia podane w niniejszej Specyfikacji są zgodne z obowiązującymi odpowiednimi normami oraz z określeniami podanymi w DM.00.00.00.</w:t>
      </w:r>
    </w:p>
    <w:p w:rsidR="00B77F00" w:rsidRDefault="00865FA3">
      <w:pPr>
        <w:pStyle w:val="Standard"/>
        <w:jc w:val="both"/>
      </w:pPr>
      <w:r>
        <w:t xml:space="preserve">Bariera ochronna </w:t>
      </w:r>
      <w:r>
        <w:t>- urządzenie bezpieczeństwa ruchu drogowego stosowane w celu zapobieżenia wyjechania pojazdu z korony drogi, przejechaniu pojazdu na jezdnię przeznaczoną dla przeciwnego kierunku ruchu lub niedopuszczenie do powstania kolizji pojazdu z obiektami lub przesz</w:t>
      </w:r>
      <w:r>
        <w:t>kodami stałymi znajdującymi się w pobliżu jezdni.</w:t>
      </w:r>
    </w:p>
    <w:p w:rsidR="00B77F00" w:rsidRDefault="00865FA3">
      <w:pPr>
        <w:pStyle w:val="Standard"/>
        <w:jc w:val="both"/>
      </w:pPr>
      <w:r>
        <w:t>Bariera ochronna stalowa - bariera ochronna, której podstawowym elementem jest prowadnica (profilowana taśma stalowa) wykonana ze stali.</w:t>
      </w:r>
    </w:p>
    <w:p w:rsidR="00B77F00" w:rsidRDefault="00865FA3">
      <w:pPr>
        <w:pStyle w:val="Standard"/>
        <w:jc w:val="both"/>
      </w:pPr>
      <w:r>
        <w:t>1.5.</w:t>
      </w:r>
      <w:r>
        <w:tab/>
        <w:t>Ogólne wymagania dotyczące robót</w:t>
      </w:r>
    </w:p>
    <w:p w:rsidR="00B77F00" w:rsidRDefault="00865FA3">
      <w:pPr>
        <w:pStyle w:val="Standard"/>
        <w:jc w:val="both"/>
      </w:pPr>
      <w:r>
        <w:t>Wykonawca robót jest odpowiedzi</w:t>
      </w:r>
      <w:r>
        <w:t>alny za jakość ich wykonania oraz za zgodność z Rysunkami, Specyfikacją i poleceniami Inżyniera. Ogólne wymagania dotyczące robót podano w DM.00.00.00 „Wymagania ogólne”.</w:t>
      </w:r>
    </w:p>
    <w:p w:rsidR="00B77F00" w:rsidRDefault="00B77F00">
      <w:pPr>
        <w:pStyle w:val="Standard"/>
        <w:jc w:val="both"/>
      </w:pPr>
    </w:p>
    <w:p w:rsidR="00B77F00" w:rsidRDefault="00865FA3">
      <w:pPr>
        <w:pStyle w:val="Standard"/>
        <w:jc w:val="both"/>
        <w:rPr>
          <w:b/>
          <w:bCs/>
        </w:rPr>
      </w:pPr>
      <w:r>
        <w:rPr>
          <w:b/>
          <w:bCs/>
        </w:rPr>
        <w:t>2.</w:t>
      </w:r>
      <w:r>
        <w:rPr>
          <w:b/>
          <w:bCs/>
        </w:rPr>
        <w:tab/>
        <w:t>MATERIAŁY</w:t>
      </w:r>
    </w:p>
    <w:p w:rsidR="00B77F00" w:rsidRDefault="00865FA3">
      <w:pPr>
        <w:pStyle w:val="Standard"/>
        <w:jc w:val="both"/>
      </w:pPr>
      <w:r>
        <w:t>Stosuje się stalowe mostowe bariery ochronne typu H2/W3. Rozstaw słupkó</w:t>
      </w:r>
      <w:r>
        <w:t>w bariery wg Producenta.</w:t>
      </w:r>
    </w:p>
    <w:p w:rsidR="00B77F00" w:rsidRDefault="00865FA3">
      <w:pPr>
        <w:pStyle w:val="Standard"/>
        <w:jc w:val="both"/>
      </w:pPr>
      <w:r>
        <w:t>Wszystkie elementy barier powinny być zabezpieczone antykorozyjnie przez metalizację ogniową cynkiem zgodnie z wymogami normy BN-89/1076-02 oraz DIN 50976.</w:t>
      </w:r>
    </w:p>
    <w:p w:rsidR="00B77F00" w:rsidRDefault="00B77F00">
      <w:pPr>
        <w:pStyle w:val="Standard"/>
        <w:jc w:val="both"/>
      </w:pPr>
    </w:p>
    <w:p w:rsidR="00B77F00" w:rsidRDefault="00865FA3">
      <w:pPr>
        <w:pStyle w:val="Standard"/>
        <w:jc w:val="both"/>
        <w:rPr>
          <w:b/>
          <w:bCs/>
        </w:rPr>
      </w:pPr>
      <w:r>
        <w:rPr>
          <w:b/>
          <w:bCs/>
        </w:rPr>
        <w:t>3.</w:t>
      </w:r>
      <w:r>
        <w:rPr>
          <w:b/>
          <w:bCs/>
        </w:rPr>
        <w:tab/>
        <w:t>SPRZĘT</w:t>
      </w:r>
    </w:p>
    <w:p w:rsidR="00B77F00" w:rsidRDefault="00865FA3">
      <w:pPr>
        <w:pStyle w:val="Standard"/>
        <w:jc w:val="both"/>
      </w:pPr>
      <w:r>
        <w:t>Roboty mogą być wykonane ręcznie lub mechanicznie. Roboty możn</w:t>
      </w:r>
      <w:r>
        <w:t>a wykonać przy użyciu dowolnego typu sprzętu zaakceptowanego przez Inżyniera.</w:t>
      </w:r>
    </w:p>
    <w:p w:rsidR="00B77F00" w:rsidRDefault="00865FA3">
      <w:pPr>
        <w:pStyle w:val="Standard"/>
        <w:jc w:val="both"/>
      </w:pPr>
      <w:r>
        <w:t xml:space="preserve"> </w:t>
      </w:r>
    </w:p>
    <w:p w:rsidR="00B77F00" w:rsidRDefault="00865FA3">
      <w:pPr>
        <w:pStyle w:val="Standard"/>
        <w:jc w:val="both"/>
        <w:rPr>
          <w:b/>
          <w:bCs/>
        </w:rPr>
      </w:pPr>
      <w:r>
        <w:rPr>
          <w:b/>
          <w:bCs/>
        </w:rPr>
        <w:t>4.</w:t>
      </w:r>
      <w:r>
        <w:rPr>
          <w:b/>
          <w:bCs/>
        </w:rPr>
        <w:tab/>
        <w:t>TRANSPORT</w:t>
      </w:r>
    </w:p>
    <w:p w:rsidR="00B77F00" w:rsidRDefault="00865FA3">
      <w:pPr>
        <w:pStyle w:val="Standard"/>
        <w:jc w:val="both"/>
      </w:pPr>
      <w:r>
        <w:t>Materiały mogą być przewożone dowolnymi środkami transportu. Należy je umieścić równomiernie na całej powierzchni ładunkowej i zabezpieczyć przed spadaniem lub prz</w:t>
      </w:r>
      <w:r>
        <w:t>esuwaniem oraz przed uszkodzeniami samego elementu jak i nałożonej na niego powłoki antykorozyjnej. Drobne elementy barier należy przewozić w pojemnikach lub skrzyniach.</w:t>
      </w:r>
    </w:p>
    <w:p w:rsidR="00B77F00" w:rsidRDefault="00B77F00">
      <w:pPr>
        <w:pStyle w:val="Standard"/>
        <w:jc w:val="both"/>
      </w:pPr>
    </w:p>
    <w:p w:rsidR="00B77F00" w:rsidRDefault="00865FA3">
      <w:pPr>
        <w:pStyle w:val="Standard"/>
        <w:jc w:val="both"/>
        <w:rPr>
          <w:b/>
          <w:bCs/>
        </w:rPr>
      </w:pPr>
      <w:r>
        <w:rPr>
          <w:b/>
          <w:bCs/>
        </w:rPr>
        <w:t>5.</w:t>
      </w:r>
      <w:r>
        <w:rPr>
          <w:b/>
          <w:bCs/>
        </w:rPr>
        <w:tab/>
        <w:t>WYKONANIE ROBÓT</w:t>
      </w:r>
    </w:p>
    <w:p w:rsidR="00B77F00" w:rsidRDefault="00865FA3">
      <w:pPr>
        <w:pStyle w:val="Standard"/>
        <w:jc w:val="both"/>
      </w:pPr>
      <w:r>
        <w:t xml:space="preserve">5.1. </w:t>
      </w:r>
      <w:r>
        <w:tab/>
        <w:t>Wykonawca przedstawi Inżynierowi do akceptacji rysunki roboc</w:t>
      </w:r>
      <w:r>
        <w:t>ze rozmieszczenia słupków barier i dylatacji barier w odniesieniu do dylatacji ustroju niosącego oraz Program Zapewnienia Jakości zawierający projekt organizacji i harmonogram robót uwzględniający wszystkie warunki, w jakich będą montowane bariery i ich za</w:t>
      </w:r>
      <w:r>
        <w:t>kotwienia na obiektach.</w:t>
      </w:r>
    </w:p>
    <w:p w:rsidR="00B77F00" w:rsidRDefault="00865FA3">
      <w:pPr>
        <w:pStyle w:val="Standard"/>
        <w:jc w:val="both"/>
      </w:pPr>
      <w:r>
        <w:t>5.2.</w:t>
      </w:r>
      <w:r>
        <w:tab/>
        <w:t>Bariery ochronne  H2/W3</w:t>
      </w:r>
    </w:p>
    <w:p w:rsidR="00B77F00" w:rsidRDefault="00865FA3">
      <w:pPr>
        <w:pStyle w:val="Standard"/>
        <w:jc w:val="both"/>
      </w:pPr>
      <w:r>
        <w:t>-</w:t>
      </w:r>
      <w:r>
        <w:tab/>
        <w:t xml:space="preserve">Bariery montować w obiekcie za pomocą kotew. Rozstaw kotew, ilość, średnicę dobrać w zależności </w:t>
      </w:r>
      <w:r>
        <w:lastRenderedPageBreak/>
        <w:t>od rozwiązania systemowego producenta barier</w:t>
      </w:r>
    </w:p>
    <w:p w:rsidR="00B77F00" w:rsidRDefault="00865FA3">
      <w:pPr>
        <w:pStyle w:val="Standard"/>
        <w:jc w:val="both"/>
      </w:pPr>
      <w:r>
        <w:t>-</w:t>
      </w:r>
      <w:r>
        <w:tab/>
        <w:t xml:space="preserve">Bariery powinny być równoległe do krawędzi jezdni lub </w:t>
      </w:r>
      <w:r>
        <w:t>krawężnika,</w:t>
      </w:r>
    </w:p>
    <w:p w:rsidR="00B77F00" w:rsidRDefault="00865FA3">
      <w:pPr>
        <w:pStyle w:val="Standard"/>
        <w:jc w:val="both"/>
      </w:pPr>
      <w:r>
        <w:t>-</w:t>
      </w:r>
      <w:r>
        <w:tab/>
        <w:t>Słupki barier powinny być ustawione pionowo,</w:t>
      </w:r>
    </w:p>
    <w:p w:rsidR="00B77F00" w:rsidRDefault="00865FA3">
      <w:pPr>
        <w:pStyle w:val="Standard"/>
        <w:jc w:val="both"/>
      </w:pPr>
      <w:r>
        <w:t>-</w:t>
      </w:r>
      <w:r>
        <w:tab/>
        <w:t>Kotwy słupków należy montażowo zamocować tak aby nie uległy przesunięciu w czasie  betonowania wypełnień chodników.</w:t>
      </w:r>
    </w:p>
    <w:p w:rsidR="00B77F00" w:rsidRDefault="00865FA3">
      <w:pPr>
        <w:pStyle w:val="Standard"/>
        <w:jc w:val="both"/>
      </w:pPr>
      <w:r>
        <w:t>-</w:t>
      </w:r>
      <w:r>
        <w:tab/>
        <w:t>Połączenie segmentów prowadnicy bariery należy wykonać w taki sposób aby nie</w:t>
      </w:r>
      <w:r>
        <w:t>przetłoczony koniec prowadnicy zwrócony był w kierunku ruchu pojazdów,</w:t>
      </w:r>
    </w:p>
    <w:p w:rsidR="00B77F00" w:rsidRDefault="00865FA3">
      <w:pPr>
        <w:pStyle w:val="Standard"/>
        <w:jc w:val="both"/>
      </w:pPr>
      <w:r>
        <w:t>Doboru zestawu malarskiego dokona Wykonawca i uzgodni z Inżynierem,</w:t>
      </w:r>
    </w:p>
    <w:p w:rsidR="00B77F00" w:rsidRDefault="00865FA3">
      <w:pPr>
        <w:pStyle w:val="Standard"/>
        <w:jc w:val="both"/>
      </w:pPr>
      <w:r>
        <w:t>Roboty malarskie powinny być wykonane zgodnie z instrukcją IBDiM .Katalog metod zabezpieczania przed korozją stalowyc</w:t>
      </w:r>
      <w:r>
        <w:t>h obiektów mostowych”- zeszyt 57.</w:t>
      </w:r>
    </w:p>
    <w:p w:rsidR="00B77F00" w:rsidRDefault="00B77F00">
      <w:pPr>
        <w:pStyle w:val="Standard"/>
        <w:jc w:val="both"/>
      </w:pPr>
    </w:p>
    <w:p w:rsidR="00B77F00" w:rsidRDefault="00865FA3">
      <w:pPr>
        <w:pStyle w:val="Standard"/>
        <w:jc w:val="both"/>
        <w:rPr>
          <w:b/>
          <w:bCs/>
        </w:rPr>
      </w:pPr>
      <w:r>
        <w:rPr>
          <w:b/>
          <w:bCs/>
        </w:rPr>
        <w:t>6.</w:t>
      </w:r>
      <w:r>
        <w:rPr>
          <w:b/>
          <w:bCs/>
        </w:rPr>
        <w:tab/>
        <w:t>KONTROLA JAKOŚCI ROBÓT</w:t>
      </w:r>
    </w:p>
    <w:p w:rsidR="00B77F00" w:rsidRDefault="00865FA3">
      <w:pPr>
        <w:pStyle w:val="Standard"/>
        <w:jc w:val="both"/>
      </w:pPr>
      <w:r>
        <w:t>Sprawdzeniu podlegają prawidłowość ustawienia i zamocowania barier oraz prawidłowość ochrony antykorozyjnej. Dopuszczalna odchyłka od prawidłowego przebiegu bariery wynosi 1 cm na długości 8 m.</w:t>
      </w:r>
    </w:p>
    <w:p w:rsidR="00B77F00" w:rsidRDefault="00B77F00">
      <w:pPr>
        <w:pStyle w:val="Standard"/>
        <w:jc w:val="both"/>
      </w:pPr>
    </w:p>
    <w:p w:rsidR="00B77F00" w:rsidRDefault="00865FA3">
      <w:pPr>
        <w:pStyle w:val="Standard"/>
        <w:jc w:val="both"/>
        <w:rPr>
          <w:b/>
          <w:bCs/>
        </w:rPr>
      </w:pPr>
      <w:r>
        <w:rPr>
          <w:b/>
          <w:bCs/>
        </w:rPr>
        <w:t>7.</w:t>
      </w:r>
      <w:r>
        <w:rPr>
          <w:b/>
          <w:bCs/>
        </w:rPr>
        <w:tab/>
        <w:t>OBMIAR ROBÓT</w:t>
      </w:r>
    </w:p>
    <w:p w:rsidR="00B77F00" w:rsidRDefault="00865FA3">
      <w:pPr>
        <w:pStyle w:val="Standard"/>
        <w:jc w:val="both"/>
      </w:pPr>
      <w:r>
        <w:t>Jednostką obmiaru jest 1 metr (m) zamontowanej i odebranej bariery typu H2/W2/B.</w:t>
      </w:r>
    </w:p>
    <w:p w:rsidR="00B77F00" w:rsidRDefault="00B77F00">
      <w:pPr>
        <w:pStyle w:val="Standard"/>
        <w:jc w:val="both"/>
      </w:pPr>
    </w:p>
    <w:p w:rsidR="00B77F00" w:rsidRDefault="00865FA3">
      <w:pPr>
        <w:pStyle w:val="Standard"/>
        <w:jc w:val="both"/>
        <w:rPr>
          <w:b/>
          <w:bCs/>
        </w:rPr>
      </w:pPr>
      <w:r>
        <w:rPr>
          <w:b/>
          <w:bCs/>
        </w:rPr>
        <w:t>8.</w:t>
      </w:r>
      <w:r>
        <w:rPr>
          <w:b/>
          <w:bCs/>
        </w:rPr>
        <w:tab/>
        <w:t>ODBIÓR ROBÓT</w:t>
      </w:r>
    </w:p>
    <w:p w:rsidR="00B77F00" w:rsidRDefault="00865FA3">
      <w:pPr>
        <w:pStyle w:val="Standard"/>
        <w:jc w:val="both"/>
      </w:pPr>
      <w:r>
        <w:t>Odbiorom częściowym podlegają:</w:t>
      </w:r>
    </w:p>
    <w:p w:rsidR="00B77F00" w:rsidRDefault="00865FA3">
      <w:pPr>
        <w:pStyle w:val="Standard"/>
        <w:jc w:val="both"/>
      </w:pPr>
      <w:r>
        <w:t>-</w:t>
      </w:r>
      <w:r>
        <w:tab/>
        <w:t>dostarczone na budowę elementy stalowe barier,</w:t>
      </w:r>
    </w:p>
    <w:p w:rsidR="00B77F00" w:rsidRDefault="00865FA3">
      <w:pPr>
        <w:pStyle w:val="Standard"/>
        <w:jc w:val="both"/>
      </w:pPr>
      <w:r>
        <w:t>-</w:t>
      </w:r>
      <w:r>
        <w:tab/>
        <w:t>elementy zamocowania barier ,</w:t>
      </w:r>
    </w:p>
    <w:p w:rsidR="00B77F00" w:rsidRDefault="00865FA3">
      <w:pPr>
        <w:pStyle w:val="Standard"/>
        <w:jc w:val="both"/>
      </w:pPr>
      <w:r>
        <w:t>-</w:t>
      </w:r>
      <w:r>
        <w:tab/>
        <w:t>bariera po jej osadzeniu w k</w:t>
      </w:r>
      <w:r>
        <w:t>onstrukcji i wykonaniu połączeń elementów,</w:t>
      </w:r>
    </w:p>
    <w:p w:rsidR="00B77F00" w:rsidRDefault="00865FA3">
      <w:pPr>
        <w:pStyle w:val="Standard"/>
        <w:jc w:val="both"/>
      </w:pPr>
      <w:r>
        <w:t>-</w:t>
      </w:r>
      <w:r>
        <w:tab/>
        <w:t>ochrona antykorozyjna,</w:t>
      </w:r>
    </w:p>
    <w:p w:rsidR="00B77F00" w:rsidRDefault="00865FA3">
      <w:pPr>
        <w:pStyle w:val="Standard"/>
        <w:jc w:val="both"/>
      </w:pPr>
      <w:r>
        <w:t>Odbiór końcowy winien być zakończony spisaniem protokołu.</w:t>
      </w:r>
    </w:p>
    <w:p w:rsidR="00B77F00" w:rsidRDefault="00B77F00">
      <w:pPr>
        <w:pStyle w:val="Standard"/>
        <w:jc w:val="both"/>
      </w:pPr>
    </w:p>
    <w:p w:rsidR="00B77F00" w:rsidRDefault="00865FA3">
      <w:pPr>
        <w:pStyle w:val="Standard"/>
        <w:jc w:val="both"/>
        <w:rPr>
          <w:b/>
          <w:bCs/>
        </w:rPr>
      </w:pPr>
      <w:r>
        <w:rPr>
          <w:b/>
          <w:bCs/>
        </w:rPr>
        <w:t>9.</w:t>
      </w:r>
      <w:r>
        <w:rPr>
          <w:b/>
          <w:bCs/>
        </w:rPr>
        <w:tab/>
        <w:t>PODSTAWA PŁATNOŚCI</w:t>
      </w:r>
    </w:p>
    <w:p w:rsidR="00B77F00" w:rsidRDefault="00865FA3">
      <w:pPr>
        <w:pStyle w:val="Standard"/>
        <w:jc w:val="both"/>
      </w:pPr>
      <w:r>
        <w:t>Cena jednostkowa obejmuje:</w:t>
      </w:r>
    </w:p>
    <w:p w:rsidR="00B77F00" w:rsidRDefault="00865FA3">
      <w:pPr>
        <w:pStyle w:val="Standard"/>
        <w:jc w:val="both"/>
      </w:pPr>
      <w:r>
        <w:t>-</w:t>
      </w:r>
      <w:r>
        <w:tab/>
        <w:t>zakup i dostarczenie elementów bariery i zakotwienia,</w:t>
      </w:r>
    </w:p>
    <w:p w:rsidR="00B77F00" w:rsidRDefault="00865FA3">
      <w:pPr>
        <w:pStyle w:val="Standard"/>
        <w:jc w:val="both"/>
      </w:pPr>
      <w:r>
        <w:t>-</w:t>
      </w:r>
      <w:r>
        <w:tab/>
        <w:t>ustawienie zmontowan</w:t>
      </w:r>
      <w:r>
        <w:t>ie i wyregulowanie bariery,</w:t>
      </w:r>
    </w:p>
    <w:p w:rsidR="00B77F00" w:rsidRDefault="00865FA3">
      <w:pPr>
        <w:pStyle w:val="Standard"/>
        <w:jc w:val="both"/>
      </w:pPr>
      <w:r>
        <w:t>-</w:t>
      </w:r>
      <w:r>
        <w:tab/>
        <w:t>zabezpieczenie antykorozyjne,</w:t>
      </w:r>
    </w:p>
    <w:p w:rsidR="00B77F00" w:rsidRDefault="00865FA3">
      <w:pPr>
        <w:pStyle w:val="Standard"/>
        <w:jc w:val="both"/>
      </w:pPr>
      <w:r>
        <w:t xml:space="preserve">- </w:t>
      </w:r>
      <w:r>
        <w:tab/>
        <w:t>montaż bariery na dojazdach</w:t>
      </w:r>
    </w:p>
    <w:p w:rsidR="00B77F00" w:rsidRDefault="00865FA3">
      <w:pPr>
        <w:pStyle w:val="Standard"/>
        <w:jc w:val="both"/>
      </w:pPr>
      <w:r>
        <w:t>-</w:t>
      </w:r>
      <w:r>
        <w:tab/>
        <w:t>wykonanie połączeń dylatacyjnych.</w:t>
      </w:r>
    </w:p>
    <w:p w:rsidR="00B77F00" w:rsidRDefault="00865FA3">
      <w:pPr>
        <w:pStyle w:val="Standard"/>
        <w:jc w:val="both"/>
      </w:pPr>
      <w:r>
        <w:t>W cenę jednostkową wliczane są odpady oraz koszt opracowania rysunków roboczych.</w:t>
      </w:r>
    </w:p>
    <w:p w:rsidR="00B77F00" w:rsidRDefault="00865FA3">
      <w:pPr>
        <w:pStyle w:val="Standard"/>
        <w:jc w:val="both"/>
      </w:pPr>
      <w:r>
        <w:t>Należy uwzględnić wszystkie niezbędne czynniki</w:t>
      </w:r>
      <w:r>
        <w:t xml:space="preserve"> i materiały do wykonania robót.</w:t>
      </w:r>
    </w:p>
    <w:p w:rsidR="00B77F00" w:rsidRDefault="00B77F00">
      <w:pPr>
        <w:pStyle w:val="Standard"/>
        <w:jc w:val="both"/>
      </w:pPr>
    </w:p>
    <w:p w:rsidR="00B77F00" w:rsidRDefault="00865FA3">
      <w:pPr>
        <w:pStyle w:val="Standard"/>
        <w:jc w:val="both"/>
        <w:rPr>
          <w:b/>
          <w:bCs/>
        </w:rPr>
      </w:pPr>
      <w:r>
        <w:rPr>
          <w:b/>
          <w:bCs/>
        </w:rPr>
        <w:t>10.</w:t>
      </w:r>
      <w:r>
        <w:rPr>
          <w:b/>
          <w:bCs/>
        </w:rPr>
        <w:tab/>
        <w:t>PRZEPISY ZWIĄZANE</w:t>
      </w:r>
    </w:p>
    <w:p w:rsidR="00B77F00" w:rsidRDefault="00865FA3">
      <w:pPr>
        <w:pStyle w:val="Standard"/>
        <w:numPr>
          <w:ilvl w:val="0"/>
          <w:numId w:val="110"/>
        </w:numPr>
        <w:jc w:val="both"/>
      </w:pPr>
      <w:r>
        <w:t>Wytyczne stosowania drogowych barier ochronnych na drogach krajowych z dnia 23.04.2010r opracowane przez Generalną Dyrekcje Dróg Krajowych i Autostrad;</w:t>
      </w:r>
    </w:p>
    <w:p w:rsidR="00B77F00" w:rsidRDefault="00865FA3">
      <w:pPr>
        <w:pStyle w:val="Standard"/>
        <w:numPr>
          <w:ilvl w:val="0"/>
          <w:numId w:val="110"/>
        </w:numPr>
        <w:jc w:val="both"/>
      </w:pPr>
      <w:r>
        <w:t>PN-88/H-84020</w:t>
      </w:r>
      <w:r>
        <w:tab/>
        <w:t xml:space="preserve">Stal niestopowa konstrukcyjna </w:t>
      </w:r>
      <w:r>
        <w:t>ogólnego przeznaczenia. Gatunki.</w:t>
      </w:r>
    </w:p>
    <w:p w:rsidR="00B77F00" w:rsidRDefault="00865FA3">
      <w:pPr>
        <w:pStyle w:val="Standard"/>
        <w:numPr>
          <w:ilvl w:val="0"/>
          <w:numId w:val="110"/>
        </w:numPr>
        <w:jc w:val="both"/>
      </w:pPr>
      <w:r>
        <w:t>PN-89/H-84023.01</w:t>
      </w:r>
      <w:r>
        <w:tab/>
        <w:t>Stal określonego zastosowania. Wymagania ogólne. Gatunki.</w:t>
      </w:r>
    </w:p>
    <w:p w:rsidR="00B77F00" w:rsidRDefault="00865FA3">
      <w:pPr>
        <w:pStyle w:val="Standard"/>
        <w:numPr>
          <w:ilvl w:val="0"/>
          <w:numId w:val="110"/>
        </w:numPr>
        <w:jc w:val="both"/>
      </w:pPr>
      <w:r>
        <w:t>PN-88/M-69433</w:t>
      </w:r>
      <w:r>
        <w:tab/>
        <w:t>Spawalnictwo. Elektrody otulone do spawania stali niskowęglowych i stali o podwyższonej wytrzymałości.</w:t>
      </w:r>
    </w:p>
    <w:p w:rsidR="00B77F00" w:rsidRDefault="00865FA3">
      <w:pPr>
        <w:pStyle w:val="Standard"/>
        <w:numPr>
          <w:ilvl w:val="0"/>
          <w:numId w:val="110"/>
        </w:numPr>
        <w:jc w:val="both"/>
      </w:pPr>
      <w:r>
        <w:t>PN-EN 1317 Systemy ograniczają</w:t>
      </w:r>
      <w:r>
        <w:t>ce drogę.</w:t>
      </w:r>
    </w:p>
    <w:p w:rsidR="00B77F00" w:rsidRDefault="00865FA3">
      <w:pPr>
        <w:pStyle w:val="Standard"/>
        <w:numPr>
          <w:ilvl w:val="0"/>
          <w:numId w:val="110"/>
        </w:numPr>
        <w:jc w:val="both"/>
      </w:pPr>
      <w:r>
        <w:t>BN-89/1076-02</w:t>
      </w:r>
      <w:r>
        <w:tab/>
        <w:t>Ochrona przed korozją. Powłoki metalizacyjne cynkowe i aluminiowe na konstrukcjach stalowych, staliwnych i żeliwnych. Wymagania i badania</w:t>
      </w:r>
    </w:p>
    <w:p w:rsidR="00B77F00" w:rsidRDefault="00865FA3">
      <w:pPr>
        <w:pStyle w:val="Standard"/>
        <w:numPr>
          <w:ilvl w:val="0"/>
          <w:numId w:val="110"/>
        </w:numPr>
        <w:jc w:val="both"/>
      </w:pPr>
      <w:r>
        <w:t>DIN 50976</w:t>
      </w:r>
      <w:r>
        <w:tab/>
        <w:t>Ochrona przeciwkorozyjna</w:t>
      </w:r>
      <w:r>
        <w:t>. Cynkowanie ogniowe pojedynczych części. Wymagania i Badan</w:t>
      </w:r>
      <w:r>
        <w:t>ia</w:t>
      </w:r>
    </w:p>
    <w:p w:rsidR="00B77F00" w:rsidRDefault="00865FA3">
      <w:pPr>
        <w:pStyle w:val="Standard"/>
        <w:numPr>
          <w:ilvl w:val="0"/>
          <w:numId w:val="110"/>
        </w:numPr>
        <w:jc w:val="both"/>
      </w:pPr>
      <w:r>
        <w:t>Korrosionsschutz, Feuerferzinken von Einzelteinen (Stückverzinken) Anforderungen und Prüfung.</w:t>
      </w:r>
    </w:p>
    <w:p w:rsidR="00B77F00" w:rsidRDefault="00865FA3">
      <w:pPr>
        <w:pStyle w:val="Standard"/>
        <w:numPr>
          <w:ilvl w:val="0"/>
          <w:numId w:val="110"/>
        </w:numPr>
        <w:jc w:val="both"/>
      </w:pPr>
      <w:r>
        <w:t>Katalog drogowych barier ochronnych – opracowanie „Transprojektu“ Warszawa, styczeń 1993r.</w:t>
      </w:r>
    </w:p>
    <w:p w:rsidR="00B77F00" w:rsidRDefault="00865FA3">
      <w:pPr>
        <w:pStyle w:val="Standard"/>
        <w:numPr>
          <w:ilvl w:val="0"/>
          <w:numId w:val="110"/>
        </w:numPr>
        <w:jc w:val="both"/>
        <w:rPr>
          <w:rFonts w:cs="Arial"/>
          <w:szCs w:val="20"/>
        </w:rPr>
      </w:pPr>
      <w:r>
        <w:rPr>
          <w:rFonts w:cs="Arial"/>
          <w:szCs w:val="20"/>
        </w:rPr>
        <w:t>ISSN 1231-0638</w:t>
      </w:r>
      <w:r>
        <w:rPr>
          <w:rFonts w:cs="Arial"/>
          <w:szCs w:val="20"/>
        </w:rPr>
        <w:tab/>
        <w:t>Katalog metod zabezpieczania przed korozją stalowych</w:t>
      </w:r>
      <w:r>
        <w:rPr>
          <w:rFonts w:cs="Arial"/>
          <w:szCs w:val="20"/>
        </w:rPr>
        <w:t xml:space="preserve"> obiektów mostowych - zeszyt 57 - instrukcja IBDiM Warszawa 1998.</w:t>
      </w:r>
      <w:bookmarkStart w:id="23" w:name="__RefHeading__1509_533531743"/>
    </w:p>
    <w:p w:rsidR="00B77F00" w:rsidRDefault="00865FA3">
      <w:pPr>
        <w:pStyle w:val="Nagwek1"/>
        <w:pageBreakBefore/>
        <w:jc w:val="both"/>
      </w:pPr>
      <w:bookmarkStart w:id="24" w:name="__RefHeading___Toc106402_992416677"/>
      <w:r>
        <w:lastRenderedPageBreak/>
        <w:t>M.30.00.00 INNE ROBOTY MOSTOWE</w:t>
      </w:r>
      <w:bookmarkEnd w:id="24"/>
    </w:p>
    <w:p w:rsidR="00B77F00" w:rsidRDefault="00865FA3">
      <w:pPr>
        <w:pStyle w:val="Nagwek2"/>
        <w:jc w:val="both"/>
      </w:pPr>
      <w:bookmarkStart w:id="25" w:name="__RefHeading___Toc76437_843032262"/>
      <w:r>
        <w:t>M.30.01.00 Umocnienia</w:t>
      </w:r>
      <w:bookmarkEnd w:id="25"/>
    </w:p>
    <w:p w:rsidR="00B77F00" w:rsidRDefault="00865FA3">
      <w:pPr>
        <w:pStyle w:val="Nagwek3"/>
      </w:pPr>
      <w:bookmarkStart w:id="26" w:name="__RefHeading___Toc76439_843032262"/>
      <w:r>
        <w:t>M.30.01.01. Oczyszczanie koryta cieku</w:t>
      </w:r>
      <w:bookmarkEnd w:id="26"/>
    </w:p>
    <w:p w:rsidR="00B77F00" w:rsidRDefault="00B77F00">
      <w:pPr>
        <w:pStyle w:val="Standard"/>
        <w:jc w:val="both"/>
        <w:rPr>
          <w:rFonts w:cs="Arial"/>
          <w:sz w:val="10"/>
          <w:szCs w:val="10"/>
        </w:rPr>
      </w:pPr>
    </w:p>
    <w:p w:rsidR="00B77F00" w:rsidRDefault="00865FA3">
      <w:pPr>
        <w:pStyle w:val="Standard"/>
        <w:jc w:val="both"/>
        <w:rPr>
          <w:rFonts w:cs="Arial"/>
          <w:b/>
          <w:bCs/>
          <w:szCs w:val="20"/>
        </w:rPr>
      </w:pPr>
      <w:r>
        <w:rPr>
          <w:rFonts w:cs="Arial"/>
          <w:b/>
          <w:bCs/>
          <w:szCs w:val="20"/>
        </w:rPr>
        <w:t>1.</w:t>
      </w:r>
      <w:r>
        <w:rPr>
          <w:rFonts w:cs="Arial"/>
          <w:b/>
          <w:bCs/>
          <w:szCs w:val="20"/>
        </w:rPr>
        <w:tab/>
        <w:t>Wstęp</w:t>
      </w:r>
    </w:p>
    <w:p w:rsidR="00B77F00" w:rsidRDefault="00865FA3">
      <w:pPr>
        <w:pStyle w:val="Standard"/>
        <w:jc w:val="both"/>
        <w:rPr>
          <w:rFonts w:cs="Arial"/>
          <w:szCs w:val="20"/>
        </w:rPr>
      </w:pPr>
      <w:r>
        <w:rPr>
          <w:rFonts w:cs="Arial"/>
          <w:szCs w:val="20"/>
        </w:rPr>
        <w:t>1.1.</w:t>
      </w:r>
      <w:r>
        <w:rPr>
          <w:rFonts w:cs="Arial"/>
          <w:szCs w:val="20"/>
        </w:rPr>
        <w:tab/>
        <w:t>Przedmiot Specyfikacji Technicznej</w:t>
      </w:r>
    </w:p>
    <w:p w:rsidR="00B77F00" w:rsidRDefault="00865FA3">
      <w:pPr>
        <w:pStyle w:val="Standard"/>
        <w:jc w:val="both"/>
      </w:pPr>
      <w:r>
        <w:rPr>
          <w:rFonts w:cs="Arial"/>
          <w:szCs w:val="20"/>
        </w:rPr>
        <w:t xml:space="preserve">Przedmiotem niniejszej specyfikacji są wymagania </w:t>
      </w:r>
      <w:r>
        <w:rPr>
          <w:rFonts w:cs="Arial"/>
          <w:szCs w:val="20"/>
        </w:rPr>
        <w:t xml:space="preserve">dotyczące wykonania i odbioru robót związanych </w:t>
      </w:r>
      <w:r>
        <w:rPr>
          <w:rFonts w:cs="Arial"/>
          <w:szCs w:val="20"/>
        </w:rPr>
        <w:br/>
      </w:r>
      <w:r>
        <w:rPr>
          <w:rFonts w:cs="Arial"/>
          <w:szCs w:val="20"/>
        </w:rPr>
        <w:t xml:space="preserve">z wykonaniem umocnienia </w:t>
      </w:r>
      <w:r>
        <w:rPr>
          <w:rFonts w:cs="Arial"/>
          <w:szCs w:val="20"/>
        </w:rPr>
        <w:t xml:space="preserve">dla inwestycji pn.: </w:t>
      </w:r>
      <w:r>
        <w:rPr>
          <w:rStyle w:val="WW-DefaultParagraphFont"/>
          <w:rFonts w:eastAsia="Times New Roman" w:cs="Arial"/>
          <w:lang w:val="pl-PL"/>
        </w:rPr>
        <w:t>„</w:t>
      </w:r>
      <w:r>
        <w:rPr>
          <w:rStyle w:val="WW-DefaultParagraphFont"/>
          <w:rFonts w:eastAsia="Times New Roman" w:cs="Arial"/>
          <w:color w:val="000000"/>
          <w:spacing w:val="-3"/>
          <w:shd w:val="clear" w:color="auto" w:fill="FFFFFF"/>
          <w:lang w:val="pl-PL"/>
        </w:rPr>
        <w:t>„Remont mostu na rzece Wiązownica w msc. Wrzos w ciągu drogi powiatowej nr 3501W Wrzeszczów – Wrzos - Domaniów w km 4+206”.</w:t>
      </w:r>
    </w:p>
    <w:p w:rsidR="00B77F00" w:rsidRDefault="00865FA3">
      <w:pPr>
        <w:pStyle w:val="Standard"/>
        <w:jc w:val="both"/>
        <w:rPr>
          <w:rFonts w:cs="Arial"/>
          <w:szCs w:val="20"/>
        </w:rPr>
      </w:pPr>
      <w:r>
        <w:rPr>
          <w:rFonts w:cs="Arial"/>
          <w:szCs w:val="20"/>
        </w:rPr>
        <w:t>1.2.</w:t>
      </w:r>
      <w:r>
        <w:rPr>
          <w:rFonts w:cs="Arial"/>
          <w:szCs w:val="20"/>
        </w:rPr>
        <w:tab/>
        <w:t>Zakres stosowania</w:t>
      </w:r>
    </w:p>
    <w:p w:rsidR="00B77F00" w:rsidRDefault="00865FA3">
      <w:pPr>
        <w:pStyle w:val="Standard"/>
        <w:jc w:val="both"/>
        <w:rPr>
          <w:rFonts w:cs="Arial"/>
          <w:szCs w:val="20"/>
        </w:rPr>
      </w:pPr>
      <w:r>
        <w:rPr>
          <w:rFonts w:cs="Arial"/>
          <w:szCs w:val="20"/>
        </w:rPr>
        <w:t xml:space="preserve">Specyfikacja Techniczna jest stosowana jako dokument przetargowy i kontraktowy przy zlecaniu </w:t>
      </w:r>
      <w:r>
        <w:rPr>
          <w:rFonts w:cs="Arial"/>
          <w:szCs w:val="20"/>
        </w:rPr>
        <w:br/>
      </w:r>
      <w:r>
        <w:rPr>
          <w:rFonts w:cs="Arial"/>
          <w:szCs w:val="20"/>
        </w:rPr>
        <w:t>i realizacji robót wymienionych w punkcie 1.1.</w:t>
      </w:r>
    </w:p>
    <w:p w:rsidR="00B77F00" w:rsidRDefault="00865FA3">
      <w:pPr>
        <w:pStyle w:val="Standard"/>
        <w:jc w:val="both"/>
        <w:rPr>
          <w:rFonts w:cs="Arial"/>
          <w:szCs w:val="20"/>
        </w:rPr>
      </w:pPr>
      <w:r>
        <w:rPr>
          <w:rFonts w:cs="Arial"/>
          <w:szCs w:val="20"/>
        </w:rPr>
        <w:t>1.3.</w:t>
      </w:r>
      <w:r>
        <w:rPr>
          <w:rFonts w:cs="Arial"/>
          <w:szCs w:val="20"/>
        </w:rPr>
        <w:tab/>
        <w:t>Zakres robót objętych</w:t>
      </w:r>
    </w:p>
    <w:p w:rsidR="00B77F00" w:rsidRDefault="00865FA3">
      <w:pPr>
        <w:pStyle w:val="Standard"/>
        <w:jc w:val="both"/>
        <w:rPr>
          <w:rFonts w:cs="Arial"/>
          <w:szCs w:val="20"/>
        </w:rPr>
      </w:pPr>
      <w:r>
        <w:rPr>
          <w:rFonts w:cs="Arial"/>
          <w:szCs w:val="20"/>
        </w:rPr>
        <w:t>Ustalenia za</w:t>
      </w:r>
      <w:r>
        <w:rPr>
          <w:rFonts w:cs="Arial"/>
          <w:szCs w:val="20"/>
        </w:rPr>
        <w:t>warte w niniejszej specyfikacji dotyczą zasad prowadzenia robót związanych z dostarczeniem na budowę i ułożeniem elementów umocnienia</w:t>
      </w:r>
    </w:p>
    <w:p w:rsidR="00B77F00" w:rsidRDefault="00865FA3">
      <w:pPr>
        <w:pStyle w:val="Standard"/>
        <w:jc w:val="both"/>
        <w:rPr>
          <w:rFonts w:cs="Arial"/>
          <w:szCs w:val="20"/>
        </w:rPr>
      </w:pPr>
      <w:r>
        <w:rPr>
          <w:rFonts w:cs="Arial"/>
          <w:szCs w:val="20"/>
        </w:rPr>
        <w:t>1.4.</w:t>
      </w:r>
      <w:r>
        <w:rPr>
          <w:rFonts w:cs="Arial"/>
          <w:szCs w:val="20"/>
        </w:rPr>
        <w:tab/>
        <w:t>Określenia podstawowe</w:t>
      </w:r>
    </w:p>
    <w:p w:rsidR="00B77F00" w:rsidRDefault="00865FA3">
      <w:pPr>
        <w:pStyle w:val="Standard"/>
        <w:jc w:val="both"/>
      </w:pPr>
      <w:r>
        <w:rPr>
          <w:rFonts w:cs="Arial"/>
          <w:szCs w:val="20"/>
        </w:rPr>
        <w:t>1.4.1.</w:t>
      </w:r>
      <w:r>
        <w:rPr>
          <w:rFonts w:cs="Arial"/>
          <w:szCs w:val="20"/>
        </w:rPr>
        <w:tab/>
        <w:t xml:space="preserve">Umocnienie stożków - </w:t>
      </w:r>
      <w:r>
        <w:rPr>
          <w:rFonts w:cs="Arial"/>
          <w:szCs w:val="20"/>
        </w:rPr>
        <w:t>ma na celu umocnienie koryta cieku.</w:t>
      </w:r>
    </w:p>
    <w:p w:rsidR="00B77F00" w:rsidRDefault="00865FA3">
      <w:pPr>
        <w:pStyle w:val="Standard"/>
        <w:jc w:val="both"/>
        <w:rPr>
          <w:rFonts w:cs="Arial"/>
          <w:szCs w:val="20"/>
        </w:rPr>
      </w:pPr>
      <w:r>
        <w:rPr>
          <w:rFonts w:cs="Arial"/>
          <w:szCs w:val="20"/>
        </w:rPr>
        <w:t>1.5.</w:t>
      </w:r>
      <w:r>
        <w:rPr>
          <w:rFonts w:cs="Arial"/>
          <w:szCs w:val="20"/>
        </w:rPr>
        <w:tab/>
        <w:t xml:space="preserve">Ogólne wymagania </w:t>
      </w:r>
      <w:r>
        <w:rPr>
          <w:rFonts w:cs="Arial"/>
          <w:szCs w:val="20"/>
        </w:rPr>
        <w:t>dotyczące robót</w:t>
      </w:r>
    </w:p>
    <w:p w:rsidR="00B77F00" w:rsidRDefault="00865FA3">
      <w:pPr>
        <w:pStyle w:val="Standard"/>
        <w:jc w:val="both"/>
        <w:rPr>
          <w:rFonts w:cs="Arial"/>
          <w:szCs w:val="20"/>
        </w:rPr>
      </w:pPr>
      <w:r>
        <w:rPr>
          <w:rFonts w:cs="Arial"/>
          <w:szCs w:val="20"/>
        </w:rPr>
        <w:t>Wykonawca jest odpowiedzialny za jakość stosowanych materiałów i wykonywanych robót oraz za ich zgodność z Dokumentacją Projektową, Specyfikacją Techniczną oraz zaleceniami Inżyniera.</w:t>
      </w:r>
    </w:p>
    <w:p w:rsidR="00B77F00" w:rsidRDefault="00B77F00">
      <w:pPr>
        <w:pStyle w:val="Standard"/>
        <w:jc w:val="both"/>
        <w:rPr>
          <w:rFonts w:cs="Arial"/>
          <w:sz w:val="10"/>
          <w:szCs w:val="10"/>
        </w:rPr>
      </w:pPr>
    </w:p>
    <w:p w:rsidR="00B77F00" w:rsidRDefault="00865FA3">
      <w:pPr>
        <w:pStyle w:val="Standard"/>
        <w:jc w:val="both"/>
        <w:rPr>
          <w:rFonts w:cs="Arial"/>
          <w:b/>
          <w:bCs/>
          <w:szCs w:val="20"/>
        </w:rPr>
      </w:pPr>
      <w:r>
        <w:rPr>
          <w:rFonts w:cs="Arial"/>
          <w:b/>
          <w:bCs/>
          <w:szCs w:val="20"/>
        </w:rPr>
        <w:t>2.</w:t>
      </w:r>
      <w:r>
        <w:rPr>
          <w:rFonts w:cs="Arial"/>
          <w:b/>
          <w:bCs/>
          <w:szCs w:val="20"/>
        </w:rPr>
        <w:tab/>
        <w:t>Materiały</w:t>
      </w:r>
    </w:p>
    <w:p w:rsidR="00B77F00" w:rsidRDefault="00865FA3">
      <w:pPr>
        <w:pStyle w:val="Standard"/>
        <w:jc w:val="both"/>
        <w:rPr>
          <w:rFonts w:cs="Arial"/>
          <w:szCs w:val="20"/>
        </w:rPr>
      </w:pPr>
      <w:r>
        <w:rPr>
          <w:rFonts w:cs="Arial"/>
          <w:szCs w:val="20"/>
        </w:rPr>
        <w:t>Robota nie wymagająca zastosowania materia</w:t>
      </w:r>
      <w:r>
        <w:rPr>
          <w:rFonts w:cs="Arial"/>
          <w:szCs w:val="20"/>
        </w:rPr>
        <w:t>łów.</w:t>
      </w:r>
    </w:p>
    <w:p w:rsidR="00B77F00" w:rsidRDefault="00B77F00">
      <w:pPr>
        <w:pStyle w:val="Standard"/>
        <w:jc w:val="both"/>
        <w:rPr>
          <w:rFonts w:cs="Arial"/>
          <w:szCs w:val="20"/>
        </w:rPr>
      </w:pPr>
    </w:p>
    <w:p w:rsidR="00B77F00" w:rsidRDefault="00865FA3">
      <w:pPr>
        <w:pStyle w:val="Standard"/>
        <w:jc w:val="both"/>
        <w:rPr>
          <w:rFonts w:cs="Arial"/>
          <w:b/>
          <w:bCs/>
          <w:szCs w:val="20"/>
        </w:rPr>
      </w:pPr>
      <w:r>
        <w:rPr>
          <w:rFonts w:cs="Arial"/>
          <w:b/>
          <w:bCs/>
          <w:szCs w:val="20"/>
        </w:rPr>
        <w:t>3.</w:t>
      </w:r>
      <w:r>
        <w:rPr>
          <w:rFonts w:cs="Arial"/>
          <w:b/>
          <w:bCs/>
          <w:szCs w:val="20"/>
        </w:rPr>
        <w:tab/>
        <w:t>Sprzęt</w:t>
      </w:r>
    </w:p>
    <w:p w:rsidR="00B77F00" w:rsidRDefault="00865FA3">
      <w:pPr>
        <w:pStyle w:val="Standard"/>
        <w:jc w:val="both"/>
        <w:rPr>
          <w:rFonts w:cs="Arial"/>
          <w:szCs w:val="20"/>
        </w:rPr>
      </w:pPr>
      <w:r>
        <w:rPr>
          <w:rFonts w:cs="Arial"/>
          <w:szCs w:val="20"/>
        </w:rPr>
        <w:t>Sprzęt używany do wykonania umocnienia musi być zaakceptowany przez Inżyniera.</w:t>
      </w:r>
    </w:p>
    <w:p w:rsidR="00B77F00" w:rsidRDefault="00B77F00">
      <w:pPr>
        <w:pStyle w:val="Standard"/>
        <w:jc w:val="both"/>
        <w:rPr>
          <w:rFonts w:cs="Arial"/>
          <w:szCs w:val="20"/>
        </w:rPr>
      </w:pPr>
    </w:p>
    <w:p w:rsidR="00B77F00" w:rsidRDefault="00865FA3">
      <w:pPr>
        <w:pStyle w:val="Standard"/>
        <w:jc w:val="both"/>
        <w:rPr>
          <w:rFonts w:cs="Arial"/>
          <w:b/>
          <w:bCs/>
          <w:szCs w:val="20"/>
        </w:rPr>
      </w:pPr>
      <w:r>
        <w:rPr>
          <w:rFonts w:cs="Arial"/>
          <w:b/>
          <w:bCs/>
          <w:szCs w:val="20"/>
        </w:rPr>
        <w:t>4.</w:t>
      </w:r>
      <w:r>
        <w:rPr>
          <w:rFonts w:cs="Arial"/>
          <w:b/>
          <w:bCs/>
          <w:szCs w:val="20"/>
        </w:rPr>
        <w:tab/>
        <w:t>Transport</w:t>
      </w:r>
    </w:p>
    <w:p w:rsidR="00B77F00" w:rsidRDefault="00865FA3">
      <w:pPr>
        <w:pStyle w:val="Standard"/>
        <w:jc w:val="both"/>
        <w:rPr>
          <w:rFonts w:cs="Arial"/>
          <w:szCs w:val="20"/>
        </w:rPr>
      </w:pPr>
      <w:r>
        <w:rPr>
          <w:rFonts w:cs="Arial"/>
          <w:szCs w:val="20"/>
        </w:rPr>
        <w:t>Załadunek, transport, rozładunek urządzeń potrzebnych do wykonania robót powinny odbywać się tak aby zachować ich dobry stan techniczny.</w:t>
      </w:r>
    </w:p>
    <w:p w:rsidR="00B77F00" w:rsidRDefault="00B77F00">
      <w:pPr>
        <w:pStyle w:val="Standard"/>
        <w:jc w:val="both"/>
        <w:rPr>
          <w:rFonts w:cs="Arial"/>
          <w:szCs w:val="20"/>
        </w:rPr>
      </w:pPr>
    </w:p>
    <w:p w:rsidR="00B77F00" w:rsidRDefault="00865FA3">
      <w:pPr>
        <w:pStyle w:val="Standard"/>
        <w:jc w:val="both"/>
        <w:rPr>
          <w:rFonts w:cs="Arial"/>
          <w:b/>
          <w:bCs/>
          <w:szCs w:val="20"/>
        </w:rPr>
      </w:pPr>
      <w:r>
        <w:rPr>
          <w:rFonts w:cs="Arial"/>
          <w:b/>
          <w:bCs/>
          <w:szCs w:val="20"/>
        </w:rPr>
        <w:t>5.</w:t>
      </w:r>
      <w:r>
        <w:rPr>
          <w:rFonts w:cs="Arial"/>
          <w:b/>
          <w:bCs/>
          <w:szCs w:val="20"/>
        </w:rPr>
        <w:tab/>
        <w:t>Wykona</w:t>
      </w:r>
      <w:r>
        <w:rPr>
          <w:rFonts w:cs="Arial"/>
          <w:b/>
          <w:bCs/>
          <w:szCs w:val="20"/>
        </w:rPr>
        <w:t>nie robót</w:t>
      </w:r>
    </w:p>
    <w:p w:rsidR="00B77F00" w:rsidRDefault="00865FA3">
      <w:pPr>
        <w:pStyle w:val="Standard"/>
        <w:jc w:val="both"/>
        <w:rPr>
          <w:rFonts w:cs="Arial"/>
          <w:szCs w:val="20"/>
        </w:rPr>
      </w:pPr>
      <w:r>
        <w:rPr>
          <w:rFonts w:cs="Arial"/>
          <w:szCs w:val="20"/>
        </w:rPr>
        <w:t>Oczyszczanie koryta cieku – skoszenie trawy, wyrwanie wystających elementów, uporządkowanie miejsca pracy.</w:t>
      </w:r>
    </w:p>
    <w:p w:rsidR="00B77F00" w:rsidRDefault="00B77F00">
      <w:pPr>
        <w:pStyle w:val="Standard"/>
        <w:jc w:val="both"/>
        <w:rPr>
          <w:rFonts w:cs="Arial"/>
          <w:sz w:val="10"/>
          <w:szCs w:val="10"/>
        </w:rPr>
      </w:pPr>
    </w:p>
    <w:p w:rsidR="00B77F00" w:rsidRDefault="00865FA3">
      <w:pPr>
        <w:pStyle w:val="Standard"/>
        <w:jc w:val="both"/>
        <w:rPr>
          <w:rFonts w:cs="Arial"/>
          <w:b/>
          <w:bCs/>
          <w:szCs w:val="20"/>
        </w:rPr>
      </w:pPr>
      <w:r>
        <w:rPr>
          <w:rFonts w:cs="Arial"/>
          <w:b/>
          <w:bCs/>
          <w:szCs w:val="20"/>
        </w:rPr>
        <w:t>6.</w:t>
      </w:r>
      <w:r>
        <w:rPr>
          <w:rFonts w:cs="Arial"/>
          <w:b/>
          <w:bCs/>
          <w:szCs w:val="20"/>
        </w:rPr>
        <w:tab/>
        <w:t>Kontrola jakości robót</w:t>
      </w:r>
    </w:p>
    <w:p w:rsidR="00B77F00" w:rsidRDefault="00865FA3">
      <w:pPr>
        <w:pStyle w:val="Standard"/>
        <w:jc w:val="both"/>
        <w:rPr>
          <w:rFonts w:cs="Arial"/>
          <w:szCs w:val="20"/>
        </w:rPr>
      </w:pPr>
      <w:r>
        <w:rPr>
          <w:rFonts w:cs="Arial"/>
          <w:szCs w:val="20"/>
        </w:rPr>
        <w:t>Należy sprawdzić j dokładność wykonanych prac.</w:t>
      </w:r>
    </w:p>
    <w:p w:rsidR="00B77F00" w:rsidRDefault="00B77F00">
      <w:pPr>
        <w:pStyle w:val="Standard"/>
        <w:jc w:val="both"/>
        <w:rPr>
          <w:rFonts w:cs="Arial"/>
          <w:szCs w:val="20"/>
        </w:rPr>
      </w:pPr>
    </w:p>
    <w:p w:rsidR="00B77F00" w:rsidRDefault="00865FA3">
      <w:pPr>
        <w:pStyle w:val="Standard"/>
        <w:rPr>
          <w:rFonts w:cs="Arial"/>
          <w:b/>
          <w:bCs/>
          <w:szCs w:val="20"/>
        </w:rPr>
      </w:pPr>
      <w:r>
        <w:rPr>
          <w:rFonts w:cs="Arial"/>
          <w:b/>
          <w:bCs/>
          <w:szCs w:val="20"/>
        </w:rPr>
        <w:t>7.</w:t>
      </w:r>
      <w:r>
        <w:rPr>
          <w:rFonts w:cs="Arial"/>
          <w:b/>
          <w:bCs/>
          <w:szCs w:val="20"/>
        </w:rPr>
        <w:tab/>
        <w:t>Obmiar robót</w:t>
      </w:r>
    </w:p>
    <w:p w:rsidR="00B77F00" w:rsidRDefault="00865FA3">
      <w:pPr>
        <w:pStyle w:val="Standard"/>
        <w:jc w:val="both"/>
      </w:pPr>
      <w:r>
        <w:rPr>
          <w:rFonts w:cs="Arial"/>
          <w:szCs w:val="20"/>
        </w:rPr>
        <w:t>Jednostką obmiaru jest sztuka oczyszczonej powie</w:t>
      </w:r>
      <w:r>
        <w:rPr>
          <w:rFonts w:cs="Arial"/>
          <w:szCs w:val="20"/>
        </w:rPr>
        <w:t>rzchni.</w:t>
      </w:r>
    </w:p>
    <w:p w:rsidR="00B77F00" w:rsidRDefault="00B77F00">
      <w:pPr>
        <w:pStyle w:val="Standard"/>
        <w:jc w:val="both"/>
        <w:rPr>
          <w:rFonts w:cs="Arial"/>
          <w:szCs w:val="20"/>
        </w:rPr>
      </w:pPr>
    </w:p>
    <w:p w:rsidR="00B77F00" w:rsidRDefault="00865FA3">
      <w:pPr>
        <w:pStyle w:val="Standard"/>
        <w:jc w:val="both"/>
        <w:rPr>
          <w:rFonts w:cs="Arial"/>
          <w:b/>
          <w:bCs/>
          <w:szCs w:val="20"/>
        </w:rPr>
      </w:pPr>
      <w:r>
        <w:rPr>
          <w:rFonts w:cs="Arial"/>
          <w:b/>
          <w:bCs/>
          <w:szCs w:val="20"/>
        </w:rPr>
        <w:t>8.</w:t>
      </w:r>
      <w:r>
        <w:rPr>
          <w:rFonts w:cs="Arial"/>
          <w:b/>
          <w:bCs/>
          <w:szCs w:val="20"/>
        </w:rPr>
        <w:tab/>
        <w:t>Odbiór robót</w:t>
      </w:r>
    </w:p>
    <w:p w:rsidR="00B77F00" w:rsidRDefault="00865FA3">
      <w:pPr>
        <w:pStyle w:val="Standard"/>
        <w:jc w:val="both"/>
        <w:rPr>
          <w:rFonts w:cs="Arial"/>
          <w:szCs w:val="20"/>
        </w:rPr>
      </w:pPr>
      <w:r>
        <w:rPr>
          <w:rFonts w:cs="Arial"/>
          <w:szCs w:val="20"/>
        </w:rPr>
        <w:t>Na podstawie wyników badań należy sporządzić protokoły odbioru robót.</w:t>
      </w:r>
    </w:p>
    <w:p w:rsidR="00B77F00" w:rsidRDefault="00B77F00">
      <w:pPr>
        <w:pStyle w:val="Standard"/>
        <w:jc w:val="both"/>
        <w:rPr>
          <w:rFonts w:cs="Arial"/>
          <w:sz w:val="10"/>
          <w:szCs w:val="10"/>
        </w:rPr>
      </w:pPr>
    </w:p>
    <w:p w:rsidR="00B77F00" w:rsidRDefault="00B77F00">
      <w:pPr>
        <w:pStyle w:val="Standard"/>
        <w:jc w:val="both"/>
        <w:rPr>
          <w:rFonts w:cs="Arial"/>
          <w:szCs w:val="20"/>
        </w:rPr>
      </w:pPr>
    </w:p>
    <w:p w:rsidR="00B77F00" w:rsidRDefault="00865FA3">
      <w:pPr>
        <w:pStyle w:val="Standard"/>
        <w:rPr>
          <w:rFonts w:cs="Arial"/>
          <w:b/>
          <w:bCs/>
          <w:szCs w:val="20"/>
        </w:rPr>
      </w:pPr>
      <w:r>
        <w:rPr>
          <w:rFonts w:cs="Arial"/>
          <w:b/>
          <w:bCs/>
          <w:szCs w:val="20"/>
        </w:rPr>
        <w:t>9.</w:t>
      </w:r>
      <w:r>
        <w:rPr>
          <w:rFonts w:cs="Arial"/>
          <w:b/>
          <w:bCs/>
          <w:szCs w:val="20"/>
        </w:rPr>
        <w:tab/>
        <w:t>Podstawa płatności</w:t>
      </w:r>
    </w:p>
    <w:p w:rsidR="00B77F00" w:rsidRDefault="00865FA3">
      <w:pPr>
        <w:pStyle w:val="Standard"/>
        <w:jc w:val="both"/>
        <w:rPr>
          <w:rFonts w:cs="Arial"/>
          <w:szCs w:val="20"/>
        </w:rPr>
      </w:pPr>
      <w:r>
        <w:rPr>
          <w:rFonts w:cs="Arial"/>
          <w:szCs w:val="20"/>
        </w:rPr>
        <w:t>Cena jednostkowa uwzględnia:</w:t>
      </w:r>
    </w:p>
    <w:p w:rsidR="00B77F00" w:rsidRDefault="00865FA3">
      <w:pPr>
        <w:pStyle w:val="Standard"/>
        <w:numPr>
          <w:ilvl w:val="0"/>
          <w:numId w:val="4"/>
        </w:numPr>
        <w:jc w:val="both"/>
        <w:rPr>
          <w:rFonts w:cs="Arial"/>
          <w:szCs w:val="20"/>
        </w:rPr>
      </w:pPr>
      <w:r>
        <w:rPr>
          <w:rFonts w:cs="Arial"/>
          <w:szCs w:val="20"/>
        </w:rPr>
        <w:t>oczyszczenie koryta cieku,</w:t>
      </w:r>
    </w:p>
    <w:p w:rsidR="00B77F00" w:rsidRDefault="00865FA3">
      <w:pPr>
        <w:pStyle w:val="Standard"/>
        <w:numPr>
          <w:ilvl w:val="0"/>
          <w:numId w:val="4"/>
        </w:numPr>
        <w:jc w:val="both"/>
        <w:rPr>
          <w:rFonts w:cs="Arial"/>
          <w:szCs w:val="20"/>
        </w:rPr>
      </w:pPr>
      <w:r>
        <w:rPr>
          <w:rFonts w:cs="Arial"/>
          <w:szCs w:val="20"/>
        </w:rPr>
        <w:t>uporządkowanie miejsca pracy,</w:t>
      </w:r>
    </w:p>
    <w:p w:rsidR="00B77F00" w:rsidRDefault="00865FA3">
      <w:pPr>
        <w:pStyle w:val="Standard"/>
        <w:numPr>
          <w:ilvl w:val="0"/>
          <w:numId w:val="4"/>
        </w:numPr>
        <w:jc w:val="both"/>
        <w:rPr>
          <w:rFonts w:cs="Arial"/>
          <w:szCs w:val="20"/>
        </w:rPr>
      </w:pPr>
      <w:r>
        <w:rPr>
          <w:rFonts w:cs="Arial"/>
          <w:szCs w:val="20"/>
        </w:rPr>
        <w:t>odpady i materiały pomocnicze.</w:t>
      </w:r>
    </w:p>
    <w:p w:rsidR="00B77F00" w:rsidRDefault="00B77F00">
      <w:pPr>
        <w:pStyle w:val="Standard"/>
        <w:jc w:val="both"/>
        <w:rPr>
          <w:rFonts w:cs="Arial"/>
          <w:szCs w:val="20"/>
        </w:rPr>
      </w:pPr>
    </w:p>
    <w:p w:rsidR="00B77F00" w:rsidRDefault="00865FA3">
      <w:pPr>
        <w:pStyle w:val="Standard"/>
        <w:ind w:left="486" w:hanging="429"/>
        <w:jc w:val="both"/>
        <w:rPr>
          <w:rFonts w:cs="Arial"/>
          <w:b/>
          <w:bCs/>
          <w:color w:val="000000"/>
          <w:szCs w:val="20"/>
        </w:rPr>
      </w:pPr>
      <w:r>
        <w:rPr>
          <w:rFonts w:cs="Arial"/>
          <w:b/>
          <w:bCs/>
          <w:color w:val="000000"/>
          <w:szCs w:val="20"/>
        </w:rPr>
        <w:t xml:space="preserve">W wycenie pozycji </w:t>
      </w:r>
      <w:r>
        <w:rPr>
          <w:rFonts w:cs="Arial"/>
          <w:b/>
          <w:bCs/>
          <w:color w:val="000000"/>
          <w:szCs w:val="20"/>
        </w:rPr>
        <w:t>należy ująć wszystkie niezbędne materiały oraz czynniki do wykonania robót.</w:t>
      </w:r>
    </w:p>
    <w:p w:rsidR="00B77F00" w:rsidRDefault="00B77F00">
      <w:pPr>
        <w:pStyle w:val="Standard"/>
        <w:jc w:val="both"/>
        <w:rPr>
          <w:rFonts w:cs="Arial"/>
          <w:szCs w:val="20"/>
        </w:rPr>
      </w:pPr>
    </w:p>
    <w:p w:rsidR="00B77F00" w:rsidRDefault="00865FA3">
      <w:pPr>
        <w:pStyle w:val="Standard"/>
        <w:jc w:val="both"/>
        <w:rPr>
          <w:rFonts w:cs="Arial"/>
          <w:b/>
          <w:bCs/>
          <w:szCs w:val="20"/>
        </w:rPr>
      </w:pPr>
      <w:r>
        <w:rPr>
          <w:rFonts w:cs="Arial"/>
          <w:b/>
          <w:bCs/>
          <w:szCs w:val="20"/>
        </w:rPr>
        <w:t xml:space="preserve">10. </w:t>
      </w:r>
      <w:r>
        <w:rPr>
          <w:rFonts w:cs="Arial"/>
          <w:b/>
          <w:bCs/>
          <w:szCs w:val="20"/>
        </w:rPr>
        <w:tab/>
        <w:t>Przepisy związane</w:t>
      </w:r>
    </w:p>
    <w:p w:rsidR="00B77F00" w:rsidRDefault="00865FA3">
      <w:pPr>
        <w:pStyle w:val="Standard"/>
        <w:tabs>
          <w:tab w:val="left" w:pos="2280"/>
        </w:tabs>
        <w:jc w:val="both"/>
        <w:rPr>
          <w:rFonts w:cs="Arial"/>
          <w:szCs w:val="20"/>
        </w:rPr>
        <w:sectPr w:rsidR="00B77F00">
          <w:headerReference w:type="default" r:id="rId45"/>
          <w:footerReference w:type="default" r:id="rId46"/>
          <w:pgSz w:w="11906" w:h="16838"/>
          <w:pgMar w:top="632" w:right="1134" w:bottom="1785" w:left="1134" w:header="708" w:footer="1134" w:gutter="0"/>
          <w:cols w:space="708"/>
        </w:sectPr>
      </w:pPr>
      <w:r>
        <w:rPr>
          <w:rFonts w:cs="Arial"/>
          <w:szCs w:val="20"/>
        </w:rPr>
        <w:t>Nie dotyczy.</w:t>
      </w:r>
    </w:p>
    <w:p w:rsidR="00B77F00" w:rsidRDefault="00865FA3">
      <w:pPr>
        <w:pStyle w:val="Nagwek2"/>
        <w:spacing w:after="60"/>
        <w:rPr>
          <w:color w:val="000000"/>
        </w:rPr>
      </w:pPr>
      <w:bookmarkStart w:id="27" w:name="__RefHeading___Toc165511_874357459"/>
      <w:r>
        <w:rPr>
          <w:color w:val="000000"/>
        </w:rPr>
        <w:lastRenderedPageBreak/>
        <w:t>M.</w:t>
      </w:r>
      <w:r>
        <w:rPr>
          <w:color w:val="000000"/>
        </w:rPr>
        <w:t>30.01.02</w:t>
      </w:r>
      <w:r>
        <w:rPr>
          <w:color w:val="000000"/>
        </w:rPr>
        <w:t xml:space="preserve"> Zabezpieczenie antykorozyjne konstrukcji stalowych powłokami malarskimi</w:t>
      </w:r>
      <w:bookmarkEnd w:id="27"/>
    </w:p>
    <w:p w:rsidR="00B77F00" w:rsidRDefault="00B77F00">
      <w:pPr>
        <w:pStyle w:val="Textbody"/>
      </w:pPr>
    </w:p>
    <w:p w:rsidR="00B77F00" w:rsidRDefault="00865FA3">
      <w:pPr>
        <w:pStyle w:val="Textbody"/>
        <w:rPr>
          <w:b/>
          <w:bCs/>
        </w:rPr>
      </w:pPr>
      <w:r>
        <w:rPr>
          <w:b/>
          <w:bCs/>
        </w:rPr>
        <w:t>1.</w:t>
      </w:r>
      <w:r>
        <w:rPr>
          <w:b/>
          <w:bCs/>
        </w:rPr>
        <w:tab/>
        <w:t>Wstęp</w:t>
      </w:r>
    </w:p>
    <w:p w:rsidR="00B77F00" w:rsidRDefault="00865FA3">
      <w:pPr>
        <w:pStyle w:val="Textbody"/>
        <w:jc w:val="both"/>
      </w:pPr>
      <w:r>
        <w:t xml:space="preserve">1.1. </w:t>
      </w:r>
      <w:r>
        <w:tab/>
        <w:t>Przedmiot Specyfikacji Technicznej</w:t>
      </w:r>
    </w:p>
    <w:p w:rsidR="00B77F00" w:rsidRDefault="00865FA3">
      <w:pPr>
        <w:pStyle w:val="Textbody"/>
        <w:jc w:val="both"/>
      </w:pPr>
      <w:r>
        <w:t>Przedmiot</w:t>
      </w:r>
      <w:r>
        <w:t xml:space="preserve">em niniejszej Specyfikacji są wymagania dotyczące wykonania i odbioru robót związanych z pokrywaniem powłokami malarskimi konstrukcji stalowych obiektów mostowych dla inwestycji </w:t>
      </w:r>
      <w:r>
        <w:rPr>
          <w:rStyle w:val="WW-DefaultParagraphFont"/>
          <w:rFonts w:eastAsia="Times New Roman" w:cs="Arial"/>
          <w:color w:val="000000"/>
          <w:spacing w:val="-3"/>
          <w:lang w:val="pl-PL" w:bidi="ar-SA"/>
        </w:rPr>
        <w:t>„Remont mostu na rzece Wiązownica w msc. Wrzos w ciągu drogi powiatowej nr 350</w:t>
      </w:r>
      <w:r>
        <w:rPr>
          <w:rStyle w:val="WW-DefaultParagraphFont"/>
          <w:rFonts w:eastAsia="Times New Roman" w:cs="Arial"/>
          <w:color w:val="000000"/>
          <w:spacing w:val="-3"/>
          <w:lang w:val="pl-PL" w:bidi="ar-SA"/>
        </w:rPr>
        <w:t>1W Wrzeszczów – Wrzos - Domaniów w km 4+206”.</w:t>
      </w:r>
    </w:p>
    <w:p w:rsidR="00B77F00" w:rsidRDefault="00865FA3">
      <w:pPr>
        <w:pStyle w:val="Textbody"/>
        <w:jc w:val="both"/>
      </w:pPr>
      <w:r>
        <w:t xml:space="preserve">1.2. </w:t>
      </w:r>
      <w:r>
        <w:tab/>
        <w:t>Zakres stosowania ST</w:t>
      </w:r>
    </w:p>
    <w:p w:rsidR="00B77F00" w:rsidRDefault="00865FA3">
      <w:pPr>
        <w:pStyle w:val="Textbody"/>
        <w:jc w:val="both"/>
      </w:pPr>
      <w:r>
        <w:t>Specyfikacja jest stosowana jako dokument przetargowy i kontraktowy przy zlecaniu i realiza</w:t>
      </w:r>
      <w:r>
        <w:t>cji robót wymienionych w punkcie 1.1.</w:t>
      </w:r>
    </w:p>
    <w:p w:rsidR="00B77F00" w:rsidRDefault="00865FA3">
      <w:pPr>
        <w:pStyle w:val="Textbody"/>
        <w:jc w:val="both"/>
      </w:pPr>
      <w:r>
        <w:t xml:space="preserve">1.3. </w:t>
      </w:r>
      <w:r>
        <w:tab/>
        <w:t>Zakres robót objętych ST</w:t>
      </w:r>
    </w:p>
    <w:p w:rsidR="00B77F00" w:rsidRDefault="00865FA3">
      <w:pPr>
        <w:pStyle w:val="Textbody"/>
        <w:jc w:val="both"/>
      </w:pPr>
      <w:r>
        <w:t>Ustalenia zawarte w niniejszej Specyfikacji mają zastosowanie przy pokrywaniu powłokami malarskimi konstrukcji stalowych i obejmują:</w:t>
      </w:r>
    </w:p>
    <w:p w:rsidR="00B77F00" w:rsidRDefault="00865FA3">
      <w:pPr>
        <w:pStyle w:val="Textbody"/>
        <w:jc w:val="both"/>
      </w:pPr>
      <w:r>
        <w:t>a)</w:t>
      </w:r>
      <w:r>
        <w:tab/>
        <w:t>przygotowanie powierzchni do malowania;</w:t>
      </w:r>
    </w:p>
    <w:p w:rsidR="00B77F00" w:rsidRDefault="00865FA3">
      <w:pPr>
        <w:pStyle w:val="Textbody"/>
        <w:jc w:val="both"/>
      </w:pPr>
      <w:r>
        <w:t>b)</w:t>
      </w:r>
      <w:r>
        <w:tab/>
        <w:t>nanoszen</w:t>
      </w:r>
      <w:r>
        <w:t>ie warstwy gruntującej;</w:t>
      </w:r>
    </w:p>
    <w:p w:rsidR="00B77F00" w:rsidRDefault="00865FA3">
      <w:pPr>
        <w:pStyle w:val="Textbody"/>
        <w:jc w:val="both"/>
      </w:pPr>
      <w:r>
        <w:t>c)</w:t>
      </w:r>
      <w:r>
        <w:tab/>
        <w:t>nanoszenie warstwy pośredniej (międzywarstwy);</w:t>
      </w:r>
    </w:p>
    <w:p w:rsidR="00B77F00" w:rsidRDefault="00865FA3">
      <w:pPr>
        <w:pStyle w:val="Textbody"/>
        <w:jc w:val="both"/>
      </w:pPr>
      <w:r>
        <w:t>d)</w:t>
      </w:r>
      <w:r>
        <w:tab/>
        <w:t>nanoszenie warstwy nawierzchniowej.</w:t>
      </w:r>
    </w:p>
    <w:p w:rsidR="00B77F00" w:rsidRDefault="00865FA3">
      <w:pPr>
        <w:pStyle w:val="Textbody"/>
        <w:jc w:val="both"/>
      </w:pPr>
      <w:r>
        <w:t xml:space="preserve">W przypadku elementów nowych konstrukcji przygotowanie powierzchni do malowania i nanoszenie poszczególnych warstw powłoki malarskiej wykonuje </w:t>
      </w:r>
      <w:r>
        <w:t>się w wytwórni. Na budowie czynności te wykonuje się tylko w rejonie styków montażowych wykonywanych na budowie, po wcześniejszym zmontowaniu konstrukcji.</w:t>
      </w:r>
    </w:p>
    <w:p w:rsidR="00B77F00" w:rsidRDefault="00865FA3">
      <w:pPr>
        <w:pStyle w:val="Textbody"/>
        <w:jc w:val="both"/>
      </w:pPr>
      <w:r>
        <w:t>W przypadku renowacji powłok malarskich istniejących obiektów, wszystkie czynności związane z przygo</w:t>
      </w:r>
      <w:r>
        <w:t>towaniem powierzchni i nakładaniem powłok są wykonywane na obiekcie.</w:t>
      </w:r>
    </w:p>
    <w:p w:rsidR="00B77F00" w:rsidRDefault="00865FA3">
      <w:pPr>
        <w:pStyle w:val="Textbody"/>
        <w:jc w:val="both"/>
      </w:pPr>
      <w:r>
        <w:t xml:space="preserve">1.4. </w:t>
      </w:r>
      <w:r>
        <w:tab/>
        <w:t>Określenia podstawowe</w:t>
      </w:r>
    </w:p>
    <w:p w:rsidR="00B77F00" w:rsidRDefault="00865FA3">
      <w:pPr>
        <w:pStyle w:val="Textbody"/>
        <w:jc w:val="both"/>
      </w:pPr>
      <w:r>
        <w:t>Określenia podane w niniejszej Specyfikacji są zgodne z obowiązującymi normami oraz określeniami podanymi w DMU.00.00.00.</w:t>
      </w:r>
    </w:p>
    <w:p w:rsidR="00B77F00" w:rsidRDefault="00865FA3">
      <w:pPr>
        <w:pStyle w:val="Textbody"/>
        <w:jc w:val="both"/>
      </w:pPr>
      <w:r>
        <w:t>Aklimatyzacja (sezonowanie) powłoki -</w:t>
      </w:r>
      <w:r>
        <w:t xml:space="preserve"> stabilizacja powłoki malarskiej w celu uzyskania przez nią zakładanych właściwości użytkowych.</w:t>
      </w:r>
    </w:p>
    <w:p w:rsidR="00B77F00" w:rsidRDefault="00865FA3">
      <w:pPr>
        <w:pStyle w:val="Textbody"/>
        <w:jc w:val="both"/>
      </w:pPr>
      <w:r>
        <w:t>Czas przydatności wyrobu do stosowania - czas, w którym materiał malarski po zmieszaniu składników nadaje się do nanoszenia na podłoże.</w:t>
      </w:r>
    </w:p>
    <w:p w:rsidR="00B77F00" w:rsidRDefault="00865FA3">
      <w:pPr>
        <w:pStyle w:val="Textbody"/>
        <w:jc w:val="both"/>
      </w:pPr>
      <w:r>
        <w:t xml:space="preserve">Farba - wyrób lakierowy </w:t>
      </w:r>
      <w:r>
        <w:t>pigmentowany, tworzący powłokę kryjącą, która spełnia przede wszystkim funkcję ochronną.</w:t>
      </w:r>
    </w:p>
    <w:p w:rsidR="00B77F00" w:rsidRDefault="00865FA3">
      <w:pPr>
        <w:pStyle w:val="Textbody"/>
        <w:jc w:val="both"/>
      </w:pPr>
      <w:r>
        <w:t xml:space="preserve">Malowanie nawierzchniowe - naniesienie farby nawierzchniowej na warstwę gruntującą w celu uszczelnienia i uodpornienia na występujące w atmosferze czynniki agresywne </w:t>
      </w:r>
      <w:r>
        <w:t>oraz uszkodzenia mechaniczne.</w:t>
      </w:r>
    </w:p>
    <w:p w:rsidR="00B77F00" w:rsidRDefault="00865FA3">
      <w:pPr>
        <w:pStyle w:val="Textbody"/>
        <w:jc w:val="both"/>
      </w:pPr>
      <w:r>
        <w:t>Punkt rosy - temperatura, w której zawarta w powietrzu para wodna osiąga stan nasycenia. Po obniżeniu temperatury powietrza lub malowanego obiektu poniżej punktu rosy następuje wykraplanie się wody zawartej w powietrzu.</w:t>
      </w:r>
    </w:p>
    <w:p w:rsidR="00B77F00" w:rsidRDefault="00865FA3">
      <w:pPr>
        <w:pStyle w:val="Textbody"/>
        <w:jc w:val="both"/>
      </w:pPr>
      <w:r>
        <w:t>Rozcie</w:t>
      </w:r>
      <w:r>
        <w:t>ńczalnik - lotna ciecz dodawana do farby lub emalii w celu zmniejszenia lepkości do wartości przewidzianej dla danego wyrobu.</w:t>
      </w:r>
    </w:p>
    <w:p w:rsidR="00B77F00" w:rsidRDefault="00865FA3">
      <w:pPr>
        <w:pStyle w:val="Textbody"/>
        <w:jc w:val="both"/>
      </w:pPr>
      <w:r>
        <w:t>System materiałów malarskich do antykorozyjnego zabezpieczenia konstrukcji stalowych – zestaw materiałów z których wykonuje się po</w:t>
      </w:r>
      <w:r>
        <w:t>szczególne warstwy powłoki malarskiej gwarantujący uzyskanie powłoki o wymaganej trwałości.</w:t>
      </w:r>
    </w:p>
    <w:p w:rsidR="00B77F00" w:rsidRDefault="00865FA3">
      <w:pPr>
        <w:pStyle w:val="Textbody"/>
        <w:jc w:val="both"/>
      </w:pPr>
      <w:r>
        <w:t xml:space="preserve">Trwałość systemu zabezpieczenia – oczekiwany czas działania ochronnego systemu malarskiego do </w:t>
      </w:r>
      <w:r>
        <w:lastRenderedPageBreak/>
        <w:t>pierwszej większej renowacji. Okres trwałości nie jest okresem gwaranc</w:t>
      </w:r>
      <w:r>
        <w:t>ji.</w:t>
      </w:r>
    </w:p>
    <w:p w:rsidR="00B77F00" w:rsidRDefault="00865FA3">
      <w:pPr>
        <w:pStyle w:val="Textbody"/>
        <w:jc w:val="both"/>
      </w:pPr>
      <w:r>
        <w:t>Zabezpieczenie antykorozyjne - wszelkie, celowo zastosowane środki zwiększające odporność obiektu lub jego elementu na działanie korozji.</w:t>
      </w:r>
    </w:p>
    <w:p w:rsidR="00B77F00" w:rsidRDefault="00865FA3">
      <w:pPr>
        <w:pStyle w:val="Textbody"/>
        <w:jc w:val="both"/>
      </w:pPr>
      <w:r>
        <w:t>1.5.</w:t>
      </w:r>
      <w:r>
        <w:tab/>
        <w:t>Ogólne wymagania dotyczące robót</w:t>
      </w:r>
    </w:p>
    <w:p w:rsidR="00B77F00" w:rsidRDefault="00865FA3">
      <w:pPr>
        <w:pStyle w:val="Textbody"/>
        <w:jc w:val="both"/>
      </w:pPr>
      <w:r>
        <w:t>Ogólne wymagania dotyczące robót podano w Specyfikacji DMU.00.00.00 "Wymaga</w:t>
      </w:r>
      <w:r>
        <w:t>nia ogólne".</w:t>
      </w:r>
    </w:p>
    <w:p w:rsidR="00B77F00" w:rsidRDefault="00865FA3">
      <w:pPr>
        <w:pStyle w:val="Textbody"/>
        <w:jc w:val="both"/>
      </w:pPr>
      <w:r>
        <w:t>Wykonawca robót jest odpowiedzialny za jakość ich wykonania oraz za zgodność z Rysunkami, Specyfikacjami i poleceniami Inżyniera.</w:t>
      </w:r>
    </w:p>
    <w:p w:rsidR="00B77F00" w:rsidRDefault="00B77F00">
      <w:pPr>
        <w:pStyle w:val="Textbody"/>
        <w:jc w:val="both"/>
      </w:pPr>
    </w:p>
    <w:p w:rsidR="00B77F00" w:rsidRDefault="00865FA3">
      <w:pPr>
        <w:pStyle w:val="Textbody"/>
        <w:jc w:val="both"/>
        <w:rPr>
          <w:b/>
          <w:bCs/>
        </w:rPr>
      </w:pPr>
      <w:r>
        <w:rPr>
          <w:b/>
          <w:bCs/>
        </w:rPr>
        <w:t>2.</w:t>
      </w:r>
      <w:r>
        <w:rPr>
          <w:b/>
          <w:bCs/>
        </w:rPr>
        <w:tab/>
        <w:t>Materiały</w:t>
      </w:r>
    </w:p>
    <w:p w:rsidR="00B77F00" w:rsidRDefault="00865FA3">
      <w:pPr>
        <w:pStyle w:val="Textbody"/>
        <w:jc w:val="both"/>
      </w:pPr>
      <w:r>
        <w:t>2.1.</w:t>
      </w:r>
      <w:r>
        <w:tab/>
        <w:t>Ogólne wymagania dotyczące materiałów</w:t>
      </w:r>
    </w:p>
    <w:p w:rsidR="00B77F00" w:rsidRDefault="00865FA3">
      <w:pPr>
        <w:pStyle w:val="Textbody"/>
        <w:jc w:val="both"/>
      </w:pPr>
      <w:r>
        <w:t>Ogólne wymagania dotyczące materiałów podano w ST DM.00</w:t>
      </w:r>
      <w:r>
        <w:t>.00.00 „Wymagania ogólne”.</w:t>
      </w:r>
    </w:p>
    <w:p w:rsidR="00B77F00" w:rsidRDefault="00865FA3">
      <w:pPr>
        <w:pStyle w:val="Textbody"/>
        <w:jc w:val="both"/>
      </w:pPr>
      <w:r>
        <w:t>Konstrukcja stalowa podlegająca zabezpieczeniu wymaga zastosowania specyficznych zestawów malarskich o podwyższonej trwałości, a to ze względu na warunki jej pracy, cechujące się następującymi właściwościami:</w:t>
      </w:r>
    </w:p>
    <w:p w:rsidR="00B77F00" w:rsidRDefault="00865FA3">
      <w:pPr>
        <w:pStyle w:val="Textbody"/>
        <w:jc w:val="both"/>
      </w:pPr>
      <w:r>
        <w:t>utrudnieniami przy r</w:t>
      </w:r>
      <w:r>
        <w:t>enowacji powłok (pod obiektami wzdłuż konstrukcji przebiegają ciągi komunikacyjne, dla których zachowana musi być ciągłość ruchu),</w:t>
      </w:r>
    </w:p>
    <w:p w:rsidR="00B77F00" w:rsidRDefault="00865FA3">
      <w:pPr>
        <w:pStyle w:val="Textbody"/>
        <w:jc w:val="both"/>
      </w:pPr>
      <w:r>
        <w:t>konstrukcja jest szczególnie eksponowana na działanie promieni ultrafioletowych,</w:t>
      </w:r>
    </w:p>
    <w:p w:rsidR="00B77F00" w:rsidRDefault="00865FA3">
      <w:pPr>
        <w:pStyle w:val="Textbody"/>
        <w:jc w:val="both"/>
      </w:pPr>
      <w:r>
        <w:t>konstrukcja podlega dużym odkształceniom, wy</w:t>
      </w:r>
      <w:r>
        <w:t>magana jest więc duża elastyczność zastosowanych powłok.</w:t>
      </w:r>
    </w:p>
    <w:p w:rsidR="00B77F00" w:rsidRDefault="00865FA3">
      <w:pPr>
        <w:pStyle w:val="Textbody"/>
        <w:jc w:val="both"/>
      </w:pPr>
      <w:r>
        <w:t>Dobór zestawu malarskiego musi ściśle odpowiadać powyższym warunkom, co uwzględnione zostało w</w:t>
      </w:r>
    </w:p>
    <w:p w:rsidR="00B77F00" w:rsidRDefault="00865FA3">
      <w:pPr>
        <w:pStyle w:val="Textbody"/>
        <w:jc w:val="both"/>
      </w:pPr>
      <w:r>
        <w:t>warunkach niniejszej Specyfikacji.</w:t>
      </w:r>
    </w:p>
    <w:p w:rsidR="00B77F00" w:rsidRDefault="00865FA3">
      <w:pPr>
        <w:pStyle w:val="Textbody"/>
        <w:jc w:val="both"/>
      </w:pPr>
      <w:r>
        <w:t>2.2. Szczegółowe wymagania dotyczące materiałów</w:t>
      </w:r>
    </w:p>
    <w:p w:rsidR="00B77F00" w:rsidRDefault="00865FA3">
      <w:pPr>
        <w:pStyle w:val="Textbody"/>
        <w:jc w:val="both"/>
      </w:pPr>
      <w:r>
        <w:t>2.2.1. Wymagania form</w:t>
      </w:r>
      <w:r>
        <w:t>alne</w:t>
      </w:r>
    </w:p>
    <w:p w:rsidR="00B77F00" w:rsidRDefault="00865FA3">
      <w:pPr>
        <w:pStyle w:val="Textbody"/>
        <w:jc w:val="both"/>
      </w:pPr>
      <w:r>
        <w:t>Zestawu pokryć malarskich dokonuje Wykonawca, a szczegóły przedkłada Inżynierowi do zatwierdzenia.</w:t>
      </w:r>
    </w:p>
    <w:p w:rsidR="00B77F00" w:rsidRDefault="00865FA3">
      <w:pPr>
        <w:pStyle w:val="Textbody"/>
        <w:jc w:val="both"/>
      </w:pPr>
      <w:r>
        <w:t>Dobrany zestaw pokryć winien:</w:t>
      </w:r>
    </w:p>
    <w:p w:rsidR="00B77F00" w:rsidRDefault="00865FA3">
      <w:pPr>
        <w:pStyle w:val="Textbody"/>
        <w:jc w:val="both"/>
      </w:pPr>
      <w:r>
        <w:t>posiadać Aprobatę Techniczną IBDiM;</w:t>
      </w:r>
    </w:p>
    <w:p w:rsidR="00B77F00" w:rsidRDefault="00865FA3">
      <w:pPr>
        <w:pStyle w:val="Textbody"/>
        <w:jc w:val="both"/>
      </w:pPr>
      <w:r>
        <w:t>odpowiadać warunkom niniejszej Specyfikacji;</w:t>
      </w:r>
    </w:p>
    <w:p w:rsidR="00B77F00" w:rsidRDefault="00865FA3">
      <w:pPr>
        <w:pStyle w:val="Textbody"/>
        <w:jc w:val="both"/>
      </w:pPr>
      <w:r>
        <w:t>jako kryterium doboru systemu malarskiego</w:t>
      </w:r>
      <w:r>
        <w:t xml:space="preserve"> należy przyjąć okres trwałości powyżej 15 lat, dla środowiska C5-I , wg normy  PN-EN ISO 12944-5:2009 "Farby i lakiery - Ochrona przed korozją konstrukcji stalowych za pomocą ochronnych systemów malarskich  - Część 5: Ochronne systemy malarskie".</w:t>
      </w:r>
    </w:p>
    <w:p w:rsidR="00B77F00" w:rsidRDefault="00865FA3">
      <w:pPr>
        <w:pStyle w:val="Textbody"/>
        <w:jc w:val="both"/>
      </w:pPr>
      <w:r>
        <w:t xml:space="preserve">2.2.2. </w:t>
      </w:r>
      <w:r>
        <w:t>Podstawowe materiały zestawu malarskiego:</w:t>
      </w:r>
    </w:p>
    <w:p w:rsidR="00B77F00" w:rsidRDefault="00865FA3">
      <w:pPr>
        <w:pStyle w:val="Textbody"/>
        <w:jc w:val="both"/>
      </w:pPr>
      <w:r>
        <w:t>Do wykonania powłok malarskich należy stosować trójwarstwowe zestawy malarskie składających się z</w:t>
      </w:r>
    </w:p>
    <w:p w:rsidR="00B77F00" w:rsidRDefault="00865FA3">
      <w:pPr>
        <w:pStyle w:val="Textbody"/>
        <w:jc w:val="both"/>
      </w:pPr>
      <w:r>
        <w:t>warstw:</w:t>
      </w:r>
    </w:p>
    <w:p w:rsidR="00B77F00" w:rsidRDefault="00865FA3">
      <w:pPr>
        <w:pStyle w:val="Textbody"/>
        <w:jc w:val="both"/>
      </w:pPr>
      <w:r>
        <w:t>-gruntującej</w:t>
      </w:r>
    </w:p>
    <w:p w:rsidR="00B77F00" w:rsidRDefault="00865FA3">
      <w:pPr>
        <w:pStyle w:val="Textbody"/>
        <w:jc w:val="both"/>
      </w:pPr>
      <w:r>
        <w:t>-międzywarstwy</w:t>
      </w:r>
    </w:p>
    <w:p w:rsidR="00B77F00" w:rsidRDefault="00865FA3">
      <w:pPr>
        <w:pStyle w:val="Textbody"/>
        <w:jc w:val="both"/>
      </w:pPr>
      <w:r>
        <w:t>-nawierzchniowej</w:t>
      </w:r>
    </w:p>
    <w:p w:rsidR="00B77F00" w:rsidRDefault="00865FA3">
      <w:pPr>
        <w:pStyle w:val="Textbody"/>
        <w:jc w:val="both"/>
      </w:pPr>
      <w:r>
        <w:t>Wszystkie powyższe warstwy muszą posiadać odporności na dzia</w:t>
      </w:r>
      <w:r>
        <w:t>łanie temperatury w suchej atmosferze</w:t>
      </w:r>
    </w:p>
    <w:p w:rsidR="00B77F00" w:rsidRDefault="00865FA3">
      <w:pPr>
        <w:pStyle w:val="Textbody"/>
        <w:jc w:val="both"/>
      </w:pPr>
      <w:r>
        <w:t>minimum 100°C, a przy krótkotrwałym działaniu tempe ratury (w czasie kilku godzin) minimum 120°C,</w:t>
      </w:r>
    </w:p>
    <w:p w:rsidR="00B77F00" w:rsidRDefault="00865FA3">
      <w:pPr>
        <w:pStyle w:val="Textbody"/>
        <w:jc w:val="both"/>
      </w:pPr>
      <w:r>
        <w:t>natomiast w wilgotnej atmosferze (konsolidacja pary wodnej przy gwałtownym ochłodzeniu) minimum 50°C.</w:t>
      </w:r>
    </w:p>
    <w:p w:rsidR="00B77F00" w:rsidRDefault="00865FA3">
      <w:pPr>
        <w:pStyle w:val="Textbody"/>
        <w:jc w:val="both"/>
      </w:pPr>
      <w:r>
        <w:t>Pozostałe własnośc</w:t>
      </w:r>
      <w:r>
        <w:t>i materiałów powłok muszą być zgodne z kartami technicznymi produktów</w:t>
      </w:r>
    </w:p>
    <w:p w:rsidR="00B77F00" w:rsidRDefault="00865FA3">
      <w:pPr>
        <w:pStyle w:val="Textbody"/>
        <w:jc w:val="both"/>
      </w:pPr>
      <w:r>
        <w:t>sporządzonymi przez ich Producenta. Karty te należy przedłożyć Inżynierowi przy uzyskiwaniu jego</w:t>
      </w:r>
    </w:p>
    <w:p w:rsidR="00B77F00" w:rsidRDefault="00865FA3">
      <w:pPr>
        <w:pStyle w:val="Textbody"/>
        <w:jc w:val="both"/>
      </w:pPr>
      <w:r>
        <w:t>akceptacji dla dobranego zestawu malarskiego.</w:t>
      </w:r>
    </w:p>
    <w:p w:rsidR="00B77F00" w:rsidRDefault="00865FA3">
      <w:pPr>
        <w:pStyle w:val="Textbody"/>
        <w:jc w:val="both"/>
      </w:pPr>
      <w:r>
        <w:lastRenderedPageBreak/>
        <w:t>2.2.3. Kolor pokrycia malarskiego</w:t>
      </w:r>
    </w:p>
    <w:p w:rsidR="00B77F00" w:rsidRDefault="00865FA3">
      <w:pPr>
        <w:pStyle w:val="Textbody"/>
        <w:jc w:val="both"/>
      </w:pPr>
      <w:r>
        <w:t>Kolory dw</w:t>
      </w:r>
      <w:r>
        <w:t>óch pierwszych warstw dowolne, ale różniące się zdecydowanie dla różnych warstw.</w:t>
      </w:r>
    </w:p>
    <w:p w:rsidR="00B77F00" w:rsidRDefault="00865FA3">
      <w:pPr>
        <w:pStyle w:val="Textbody"/>
        <w:jc w:val="both"/>
      </w:pPr>
      <w:r>
        <w:t>Kolor wierzchniej warstwy pokrycia dobiera Wykonawca i przedkłada Inżynierowi do akceptacji.</w:t>
      </w:r>
    </w:p>
    <w:p w:rsidR="00B77F00" w:rsidRDefault="00865FA3">
      <w:pPr>
        <w:pStyle w:val="Textbody"/>
        <w:jc w:val="both"/>
      </w:pPr>
      <w:r>
        <w:t>2.2.4. Wymagania podstawowe dla kompletnej powłoki zestawu antykorozyjnego</w:t>
      </w:r>
    </w:p>
    <w:p w:rsidR="00B77F00" w:rsidRDefault="00B77F00">
      <w:pPr>
        <w:pStyle w:val="Textbody"/>
      </w:pPr>
    </w:p>
    <w:tbl>
      <w:tblPr>
        <w:tblW w:w="9112" w:type="dxa"/>
        <w:tblLayout w:type="fixed"/>
        <w:tblCellMar>
          <w:left w:w="10" w:type="dxa"/>
          <w:right w:w="10" w:type="dxa"/>
        </w:tblCellMar>
        <w:tblLook w:val="0000" w:firstRow="0" w:lastRow="0" w:firstColumn="0" w:lastColumn="0" w:noHBand="0" w:noVBand="0"/>
      </w:tblPr>
      <w:tblGrid>
        <w:gridCol w:w="567"/>
        <w:gridCol w:w="709"/>
        <w:gridCol w:w="2693"/>
        <w:gridCol w:w="851"/>
        <w:gridCol w:w="1843"/>
        <w:gridCol w:w="2449"/>
      </w:tblGrid>
      <w:tr w:rsidR="00B77F00">
        <w:tblPrEx>
          <w:tblCellMar>
            <w:top w:w="0" w:type="dxa"/>
            <w:bottom w:w="0" w:type="dxa"/>
          </w:tblCellMar>
        </w:tblPrEx>
        <w:trPr>
          <w:trHeight w:val="546"/>
          <w:tblHeader/>
        </w:trPr>
        <w:tc>
          <w:tcPr>
            <w:tcW w:w="567" w:type="dxa"/>
            <w:tcBorders>
              <w:top w:val="single" w:sz="4" w:space="0" w:color="000000"/>
              <w:left w:val="single" w:sz="4" w:space="0" w:color="000000"/>
              <w:bottom w:val="single" w:sz="4" w:space="0" w:color="000000"/>
            </w:tcBorders>
            <w:shd w:val="clear" w:color="auto" w:fill="F3F3F3"/>
            <w:tcMar>
              <w:top w:w="0" w:type="dxa"/>
              <w:left w:w="70" w:type="dxa"/>
              <w:bottom w:w="0" w:type="dxa"/>
              <w:right w:w="70" w:type="dxa"/>
            </w:tcMar>
            <w:vAlign w:val="center"/>
          </w:tcPr>
          <w:p w:rsidR="00B77F00" w:rsidRDefault="00865FA3">
            <w:pPr>
              <w:pStyle w:val="Standard"/>
              <w:snapToGrid w:val="0"/>
              <w:jc w:val="both"/>
              <w:rPr>
                <w:rFonts w:cs="Arial"/>
                <w:color w:val="000000"/>
                <w:szCs w:val="20"/>
              </w:rPr>
            </w:pPr>
            <w:r>
              <w:rPr>
                <w:rFonts w:cs="Arial"/>
                <w:color w:val="000000"/>
                <w:szCs w:val="20"/>
              </w:rPr>
              <w:t>L.p.</w:t>
            </w:r>
          </w:p>
        </w:tc>
        <w:tc>
          <w:tcPr>
            <w:tcW w:w="3402" w:type="dxa"/>
            <w:gridSpan w:val="2"/>
            <w:tcBorders>
              <w:top w:val="single" w:sz="4" w:space="0" w:color="000000"/>
              <w:left w:val="single" w:sz="4" w:space="0" w:color="000000"/>
              <w:bottom w:val="single" w:sz="4" w:space="0" w:color="000000"/>
            </w:tcBorders>
            <w:shd w:val="clear" w:color="auto" w:fill="F3F3F3"/>
            <w:tcMar>
              <w:top w:w="0" w:type="dxa"/>
              <w:left w:w="70" w:type="dxa"/>
              <w:bottom w:w="0" w:type="dxa"/>
              <w:right w:w="70" w:type="dxa"/>
            </w:tcMar>
            <w:vAlign w:val="center"/>
          </w:tcPr>
          <w:p w:rsidR="00B77F00" w:rsidRDefault="00865FA3">
            <w:pPr>
              <w:pStyle w:val="Standard"/>
              <w:snapToGrid w:val="0"/>
              <w:jc w:val="both"/>
              <w:rPr>
                <w:rFonts w:cs="Arial"/>
                <w:color w:val="000000"/>
                <w:szCs w:val="20"/>
              </w:rPr>
            </w:pPr>
            <w:r>
              <w:rPr>
                <w:rFonts w:cs="Arial"/>
                <w:color w:val="000000"/>
                <w:szCs w:val="20"/>
              </w:rPr>
              <w:t>Właściwość</w:t>
            </w:r>
          </w:p>
        </w:tc>
        <w:tc>
          <w:tcPr>
            <w:tcW w:w="851" w:type="dxa"/>
            <w:tcBorders>
              <w:top w:val="single" w:sz="4" w:space="0" w:color="000000"/>
              <w:left w:val="single" w:sz="4" w:space="0" w:color="000000"/>
              <w:bottom w:val="single" w:sz="4" w:space="0" w:color="000000"/>
            </w:tcBorders>
            <w:shd w:val="clear" w:color="auto" w:fill="F3F3F3"/>
            <w:tcMar>
              <w:top w:w="0" w:type="dxa"/>
              <w:left w:w="70" w:type="dxa"/>
              <w:bottom w:w="0" w:type="dxa"/>
              <w:right w:w="70" w:type="dxa"/>
            </w:tcMar>
            <w:vAlign w:val="center"/>
          </w:tcPr>
          <w:p w:rsidR="00B77F00" w:rsidRDefault="00865FA3">
            <w:pPr>
              <w:pStyle w:val="Standard"/>
              <w:snapToGrid w:val="0"/>
              <w:jc w:val="both"/>
              <w:rPr>
                <w:rFonts w:cs="Arial"/>
                <w:color w:val="000000"/>
                <w:szCs w:val="20"/>
              </w:rPr>
            </w:pPr>
            <w:r>
              <w:rPr>
                <w:rFonts w:cs="Arial"/>
                <w:color w:val="000000"/>
                <w:szCs w:val="20"/>
              </w:rPr>
              <w:t>Jedn.</w:t>
            </w:r>
          </w:p>
        </w:tc>
        <w:tc>
          <w:tcPr>
            <w:tcW w:w="1843" w:type="dxa"/>
            <w:tcBorders>
              <w:top w:val="single" w:sz="4" w:space="0" w:color="000000"/>
              <w:left w:val="single" w:sz="4" w:space="0" w:color="000000"/>
              <w:bottom w:val="single" w:sz="4" w:space="0" w:color="000000"/>
            </w:tcBorders>
            <w:shd w:val="clear" w:color="auto" w:fill="F3F3F3"/>
            <w:tcMar>
              <w:top w:w="0" w:type="dxa"/>
              <w:left w:w="70" w:type="dxa"/>
              <w:bottom w:w="0" w:type="dxa"/>
              <w:right w:w="70" w:type="dxa"/>
            </w:tcMar>
            <w:vAlign w:val="center"/>
          </w:tcPr>
          <w:p w:rsidR="00B77F00" w:rsidRDefault="00865FA3">
            <w:pPr>
              <w:pStyle w:val="Standard"/>
              <w:snapToGrid w:val="0"/>
              <w:jc w:val="both"/>
              <w:rPr>
                <w:rFonts w:cs="Arial"/>
                <w:color w:val="000000"/>
                <w:szCs w:val="20"/>
              </w:rPr>
            </w:pPr>
            <w:r>
              <w:rPr>
                <w:rFonts w:cs="Arial"/>
                <w:color w:val="000000"/>
                <w:szCs w:val="20"/>
              </w:rPr>
              <w:t>Wymagania</w:t>
            </w:r>
          </w:p>
        </w:tc>
        <w:tc>
          <w:tcPr>
            <w:tcW w:w="2449" w:type="dxa"/>
            <w:tcBorders>
              <w:top w:val="single" w:sz="4" w:space="0" w:color="000000"/>
              <w:left w:val="single" w:sz="4" w:space="0" w:color="000000"/>
              <w:bottom w:val="single" w:sz="4" w:space="0" w:color="000000"/>
              <w:right w:val="single" w:sz="4" w:space="0" w:color="000000"/>
            </w:tcBorders>
            <w:shd w:val="clear" w:color="auto" w:fill="F3F3F3"/>
            <w:tcMar>
              <w:top w:w="0" w:type="dxa"/>
              <w:left w:w="70" w:type="dxa"/>
              <w:bottom w:w="0" w:type="dxa"/>
              <w:right w:w="70" w:type="dxa"/>
            </w:tcMar>
            <w:vAlign w:val="center"/>
          </w:tcPr>
          <w:p w:rsidR="00B77F00" w:rsidRDefault="00865FA3">
            <w:pPr>
              <w:pStyle w:val="Standard"/>
              <w:snapToGrid w:val="0"/>
              <w:jc w:val="both"/>
              <w:rPr>
                <w:rFonts w:cs="Arial"/>
                <w:color w:val="000000"/>
                <w:szCs w:val="20"/>
              </w:rPr>
            </w:pPr>
            <w:r>
              <w:rPr>
                <w:rFonts w:cs="Arial"/>
                <w:color w:val="000000"/>
                <w:szCs w:val="20"/>
              </w:rPr>
              <w:t>Metoda badania według</w:t>
            </w:r>
          </w:p>
        </w:tc>
      </w:tr>
      <w:tr w:rsidR="00B77F00">
        <w:tblPrEx>
          <w:tblCellMar>
            <w:top w:w="0" w:type="dxa"/>
            <w:bottom w:w="0" w:type="dxa"/>
          </w:tblCellMar>
        </w:tblPrEx>
        <w:trPr>
          <w:trHeight w:val="126"/>
          <w:tblHeader/>
        </w:trPr>
        <w:tc>
          <w:tcPr>
            <w:tcW w:w="567" w:type="dxa"/>
            <w:tcBorders>
              <w:top w:val="single" w:sz="4" w:space="0" w:color="000000"/>
              <w:left w:val="single" w:sz="4" w:space="0" w:color="000000"/>
              <w:bottom w:val="single" w:sz="4" w:space="0" w:color="000000"/>
            </w:tcBorders>
            <w:shd w:val="clear" w:color="auto" w:fill="F3F3F3"/>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1</w:t>
            </w:r>
          </w:p>
        </w:tc>
        <w:tc>
          <w:tcPr>
            <w:tcW w:w="3402" w:type="dxa"/>
            <w:gridSpan w:val="2"/>
            <w:tcBorders>
              <w:top w:val="single" w:sz="4" w:space="0" w:color="000000"/>
              <w:left w:val="single" w:sz="4" w:space="0" w:color="000000"/>
              <w:bottom w:val="single" w:sz="4" w:space="0" w:color="000000"/>
            </w:tcBorders>
            <w:shd w:val="clear" w:color="auto" w:fill="F3F3F3"/>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2</w:t>
            </w:r>
          </w:p>
        </w:tc>
        <w:tc>
          <w:tcPr>
            <w:tcW w:w="851" w:type="dxa"/>
            <w:tcBorders>
              <w:top w:val="single" w:sz="4" w:space="0" w:color="000000"/>
              <w:left w:val="single" w:sz="4" w:space="0" w:color="000000"/>
              <w:bottom w:val="single" w:sz="4" w:space="0" w:color="000000"/>
            </w:tcBorders>
            <w:shd w:val="clear" w:color="auto" w:fill="F3F3F3"/>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3</w:t>
            </w:r>
          </w:p>
        </w:tc>
        <w:tc>
          <w:tcPr>
            <w:tcW w:w="1843" w:type="dxa"/>
            <w:tcBorders>
              <w:top w:val="single" w:sz="4" w:space="0" w:color="000000"/>
              <w:left w:val="single" w:sz="4" w:space="0" w:color="000000"/>
              <w:bottom w:val="single" w:sz="4" w:space="0" w:color="000000"/>
            </w:tcBorders>
            <w:shd w:val="clear" w:color="auto" w:fill="F3F3F3"/>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4</w:t>
            </w:r>
          </w:p>
        </w:tc>
        <w:tc>
          <w:tcPr>
            <w:tcW w:w="2449" w:type="dxa"/>
            <w:tcBorders>
              <w:top w:val="single" w:sz="4" w:space="0" w:color="000000"/>
              <w:left w:val="single" w:sz="4" w:space="0" w:color="000000"/>
              <w:bottom w:val="single" w:sz="4" w:space="0" w:color="000000"/>
              <w:right w:val="single" w:sz="4" w:space="0" w:color="000000"/>
            </w:tcBorders>
            <w:shd w:val="clear" w:color="auto" w:fill="F3F3F3"/>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5</w:t>
            </w:r>
          </w:p>
        </w:tc>
      </w:tr>
      <w:tr w:rsidR="00B77F00">
        <w:tblPrEx>
          <w:tblCellMar>
            <w:top w:w="0" w:type="dxa"/>
            <w:bottom w:w="0" w:type="dxa"/>
          </w:tblCellMar>
        </w:tblPrEx>
        <w:tc>
          <w:tcPr>
            <w:tcW w:w="567"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1</w:t>
            </w:r>
          </w:p>
        </w:tc>
        <w:tc>
          <w:tcPr>
            <w:tcW w:w="3402" w:type="dxa"/>
            <w:gridSpan w:val="2"/>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Minimalna grubość suchej powłoki</w:t>
            </w:r>
          </w:p>
        </w:tc>
        <w:tc>
          <w:tcPr>
            <w:tcW w:w="851"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pPr>
            <w:r>
              <w:rPr>
                <w:rFonts w:eastAsia="Times New Roman" w:cs="Arial"/>
                <w:color w:val="000000"/>
                <w:szCs w:val="20"/>
              </w:rPr>
              <w:t>µ</w:t>
            </w:r>
            <w:r>
              <w:rPr>
                <w:rFonts w:cs="Arial"/>
                <w:color w:val="000000"/>
                <w:szCs w:val="20"/>
              </w:rPr>
              <w:t>m</w:t>
            </w:r>
          </w:p>
        </w:tc>
        <w:tc>
          <w:tcPr>
            <w:tcW w:w="1843"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240</w:t>
            </w:r>
          </w:p>
        </w:tc>
        <w:tc>
          <w:tcPr>
            <w:tcW w:w="244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PN-EN ISO 2808:2000</w:t>
            </w:r>
          </w:p>
        </w:tc>
      </w:tr>
      <w:tr w:rsidR="00B77F00">
        <w:tblPrEx>
          <w:tblCellMar>
            <w:top w:w="0" w:type="dxa"/>
            <w:bottom w:w="0" w:type="dxa"/>
          </w:tblCellMar>
        </w:tblPrEx>
        <w:tc>
          <w:tcPr>
            <w:tcW w:w="567"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2</w:t>
            </w:r>
          </w:p>
        </w:tc>
        <w:tc>
          <w:tcPr>
            <w:tcW w:w="3402" w:type="dxa"/>
            <w:gridSpan w:val="2"/>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Przyczepność farby gruntującej do podłoża</w:t>
            </w:r>
          </w:p>
        </w:tc>
        <w:tc>
          <w:tcPr>
            <w:tcW w:w="851"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stopień</w:t>
            </w:r>
          </w:p>
        </w:tc>
        <w:tc>
          <w:tcPr>
            <w:tcW w:w="1843"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0-1</w:t>
            </w:r>
          </w:p>
        </w:tc>
        <w:tc>
          <w:tcPr>
            <w:tcW w:w="244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PN-EN ISO 2409:1999</w:t>
            </w:r>
          </w:p>
        </w:tc>
      </w:tr>
      <w:tr w:rsidR="00B77F00">
        <w:tblPrEx>
          <w:tblCellMar>
            <w:top w:w="0" w:type="dxa"/>
            <w:bottom w:w="0" w:type="dxa"/>
          </w:tblCellMar>
        </w:tblPrEx>
        <w:trPr>
          <w:cantSplit/>
        </w:trPr>
        <w:tc>
          <w:tcPr>
            <w:tcW w:w="567"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3</w:t>
            </w:r>
          </w:p>
        </w:tc>
        <w:tc>
          <w:tcPr>
            <w:tcW w:w="3402" w:type="dxa"/>
            <w:gridSpan w:val="2"/>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Przyczepność międzywarstwy</w:t>
            </w:r>
          </w:p>
        </w:tc>
        <w:tc>
          <w:tcPr>
            <w:tcW w:w="851"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stopień</w:t>
            </w:r>
          </w:p>
        </w:tc>
        <w:tc>
          <w:tcPr>
            <w:tcW w:w="1843"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0-1</w:t>
            </w:r>
          </w:p>
        </w:tc>
        <w:tc>
          <w:tcPr>
            <w:tcW w:w="2449" w:type="dxa"/>
            <w:vMerge w:val="restart"/>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 xml:space="preserve">PN-EN ISO </w:t>
            </w:r>
            <w:r>
              <w:rPr>
                <w:rFonts w:cs="Arial"/>
                <w:color w:val="000000"/>
                <w:szCs w:val="20"/>
              </w:rPr>
              <w:t>2409:1999</w:t>
            </w:r>
          </w:p>
        </w:tc>
      </w:tr>
      <w:tr w:rsidR="00B77F00">
        <w:tblPrEx>
          <w:tblCellMar>
            <w:top w:w="0" w:type="dxa"/>
            <w:bottom w:w="0" w:type="dxa"/>
          </w:tblCellMar>
        </w:tblPrEx>
        <w:trPr>
          <w:cantSplit/>
        </w:trPr>
        <w:tc>
          <w:tcPr>
            <w:tcW w:w="567"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4</w:t>
            </w:r>
          </w:p>
        </w:tc>
        <w:tc>
          <w:tcPr>
            <w:tcW w:w="3402" w:type="dxa"/>
            <w:gridSpan w:val="2"/>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Przyczepność zestawu do podłoża</w:t>
            </w:r>
          </w:p>
        </w:tc>
        <w:tc>
          <w:tcPr>
            <w:tcW w:w="851"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stopień</w:t>
            </w:r>
          </w:p>
        </w:tc>
        <w:tc>
          <w:tcPr>
            <w:tcW w:w="1843"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0-1</w:t>
            </w:r>
          </w:p>
        </w:tc>
        <w:tc>
          <w:tcPr>
            <w:tcW w:w="2449" w:type="dxa"/>
            <w:vMerge/>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000000" w:rsidRDefault="00865FA3"/>
        </w:tc>
      </w:tr>
      <w:tr w:rsidR="00B77F00">
        <w:tblPrEx>
          <w:tblCellMar>
            <w:top w:w="0" w:type="dxa"/>
            <w:bottom w:w="0" w:type="dxa"/>
          </w:tblCellMar>
        </w:tblPrEx>
        <w:trPr>
          <w:cantSplit/>
        </w:trPr>
        <w:tc>
          <w:tcPr>
            <w:tcW w:w="567" w:type="dxa"/>
            <w:tcBorders>
              <w:top w:val="single" w:sz="4" w:space="0" w:color="000000"/>
              <w:left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5</w:t>
            </w:r>
          </w:p>
        </w:tc>
        <w:tc>
          <w:tcPr>
            <w:tcW w:w="3402" w:type="dxa"/>
            <w:gridSpan w:val="2"/>
            <w:tcBorders>
              <w:top w:val="single" w:sz="4" w:space="0" w:color="000000"/>
              <w:left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Przyczepność zestawu po badaniach korozyjnych</w:t>
            </w:r>
          </w:p>
        </w:tc>
        <w:tc>
          <w:tcPr>
            <w:tcW w:w="851" w:type="dxa"/>
            <w:tcBorders>
              <w:top w:val="single" w:sz="4" w:space="0" w:color="000000"/>
              <w:left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stopień</w:t>
            </w:r>
          </w:p>
        </w:tc>
        <w:tc>
          <w:tcPr>
            <w:tcW w:w="1843" w:type="dxa"/>
            <w:tcBorders>
              <w:top w:val="single" w:sz="4" w:space="0" w:color="000000"/>
              <w:left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1-2</w:t>
            </w:r>
          </w:p>
        </w:tc>
        <w:tc>
          <w:tcPr>
            <w:tcW w:w="2449" w:type="dxa"/>
            <w:vMerge/>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000000" w:rsidRDefault="00865FA3"/>
        </w:tc>
      </w:tr>
      <w:tr w:rsidR="00B77F00">
        <w:tblPrEx>
          <w:tblCellMar>
            <w:top w:w="0" w:type="dxa"/>
            <w:bottom w:w="0" w:type="dxa"/>
          </w:tblCellMar>
        </w:tblPrEx>
        <w:trPr>
          <w:cantSplit/>
        </w:trPr>
        <w:tc>
          <w:tcPr>
            <w:tcW w:w="567"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6</w:t>
            </w:r>
          </w:p>
        </w:tc>
        <w:tc>
          <w:tcPr>
            <w:tcW w:w="3402" w:type="dxa"/>
            <w:gridSpan w:val="2"/>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Udarność</w:t>
            </w:r>
          </w:p>
        </w:tc>
        <w:tc>
          <w:tcPr>
            <w:tcW w:w="851"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cm</w:t>
            </w:r>
          </w:p>
        </w:tc>
        <w:tc>
          <w:tcPr>
            <w:tcW w:w="1843"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50</w:t>
            </w:r>
          </w:p>
        </w:tc>
        <w:tc>
          <w:tcPr>
            <w:tcW w:w="2449" w:type="dxa"/>
            <w:vMerge w:val="restart"/>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PN-EN ISO 6272-1:2005</w:t>
            </w:r>
            <w:r>
              <w:rPr>
                <w:rFonts w:cs="Arial"/>
                <w:color w:val="000000"/>
                <w:szCs w:val="20"/>
              </w:rPr>
              <w:br/>
            </w:r>
          </w:p>
        </w:tc>
      </w:tr>
      <w:tr w:rsidR="00B77F00">
        <w:tblPrEx>
          <w:tblCellMar>
            <w:top w:w="0" w:type="dxa"/>
            <w:bottom w:w="0" w:type="dxa"/>
          </w:tblCellMar>
        </w:tblPrEx>
        <w:trPr>
          <w:cantSplit/>
        </w:trPr>
        <w:tc>
          <w:tcPr>
            <w:tcW w:w="567"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7</w:t>
            </w:r>
          </w:p>
        </w:tc>
        <w:tc>
          <w:tcPr>
            <w:tcW w:w="3402" w:type="dxa"/>
            <w:gridSpan w:val="2"/>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Udarność po badaniach korozyjnych</w:t>
            </w:r>
          </w:p>
        </w:tc>
        <w:tc>
          <w:tcPr>
            <w:tcW w:w="851"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cm</w:t>
            </w:r>
          </w:p>
        </w:tc>
        <w:tc>
          <w:tcPr>
            <w:tcW w:w="1843"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40</w:t>
            </w:r>
          </w:p>
        </w:tc>
        <w:tc>
          <w:tcPr>
            <w:tcW w:w="2449" w:type="dxa"/>
            <w:vMerge/>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000000" w:rsidRDefault="00865FA3"/>
        </w:tc>
      </w:tr>
      <w:tr w:rsidR="00B77F00">
        <w:tblPrEx>
          <w:tblCellMar>
            <w:top w:w="0" w:type="dxa"/>
            <w:bottom w:w="0" w:type="dxa"/>
          </w:tblCellMar>
        </w:tblPrEx>
        <w:trPr>
          <w:cantSplit/>
        </w:trPr>
        <w:tc>
          <w:tcPr>
            <w:tcW w:w="567" w:type="dxa"/>
            <w:tcBorders>
              <w:top w:val="single" w:sz="4" w:space="0" w:color="000000"/>
              <w:left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8</w:t>
            </w:r>
          </w:p>
        </w:tc>
        <w:tc>
          <w:tcPr>
            <w:tcW w:w="3402" w:type="dxa"/>
            <w:gridSpan w:val="2"/>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Odporność w komorze solnej:</w:t>
            </w:r>
          </w:p>
        </w:tc>
        <w:tc>
          <w:tcPr>
            <w:tcW w:w="851" w:type="dxa"/>
            <w:tcBorders>
              <w:top w:val="single" w:sz="4" w:space="0" w:color="000000"/>
              <w:left w:val="single" w:sz="4" w:space="0" w:color="000000"/>
            </w:tcBorders>
            <w:tcMar>
              <w:top w:w="0" w:type="dxa"/>
              <w:left w:w="70" w:type="dxa"/>
              <w:bottom w:w="0" w:type="dxa"/>
              <w:right w:w="70" w:type="dxa"/>
            </w:tcMar>
          </w:tcPr>
          <w:p w:rsidR="00B77F00" w:rsidRDefault="00B77F00">
            <w:pPr>
              <w:pStyle w:val="Standard"/>
              <w:snapToGrid w:val="0"/>
              <w:jc w:val="both"/>
              <w:rPr>
                <w:rFonts w:cs="Arial"/>
                <w:color w:val="000000"/>
                <w:szCs w:val="20"/>
              </w:rPr>
            </w:pPr>
          </w:p>
        </w:tc>
        <w:tc>
          <w:tcPr>
            <w:tcW w:w="1843"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B77F00">
            <w:pPr>
              <w:pStyle w:val="Standard"/>
              <w:snapToGrid w:val="0"/>
              <w:jc w:val="both"/>
              <w:rPr>
                <w:rFonts w:cs="Arial"/>
                <w:color w:val="000000"/>
                <w:szCs w:val="20"/>
              </w:rPr>
            </w:pPr>
          </w:p>
        </w:tc>
        <w:tc>
          <w:tcPr>
            <w:tcW w:w="2449" w:type="dxa"/>
            <w:vMerge w:val="restart"/>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PN-ISO 7253:2000</w:t>
            </w:r>
            <w:r>
              <w:rPr>
                <w:rFonts w:cs="Arial"/>
                <w:color w:val="000000"/>
                <w:szCs w:val="20"/>
              </w:rPr>
              <w:br/>
            </w:r>
          </w:p>
        </w:tc>
      </w:tr>
      <w:tr w:rsidR="00B77F00">
        <w:tblPrEx>
          <w:tblCellMar>
            <w:top w:w="0" w:type="dxa"/>
            <w:bottom w:w="0" w:type="dxa"/>
          </w:tblCellMar>
        </w:tblPrEx>
        <w:trPr>
          <w:cantSplit/>
        </w:trPr>
        <w:tc>
          <w:tcPr>
            <w:tcW w:w="567" w:type="dxa"/>
            <w:tcBorders>
              <w:left w:val="single" w:sz="4" w:space="0" w:color="000000"/>
            </w:tcBorders>
            <w:tcMar>
              <w:top w:w="0" w:type="dxa"/>
              <w:left w:w="70" w:type="dxa"/>
              <w:bottom w:w="0" w:type="dxa"/>
              <w:right w:w="70" w:type="dxa"/>
            </w:tcMar>
          </w:tcPr>
          <w:p w:rsidR="00B77F00" w:rsidRDefault="00B77F00">
            <w:pPr>
              <w:pStyle w:val="Standard"/>
              <w:snapToGrid w:val="0"/>
              <w:jc w:val="both"/>
              <w:rPr>
                <w:rFonts w:cs="Arial"/>
                <w:color w:val="000000"/>
                <w:szCs w:val="20"/>
              </w:rPr>
            </w:pPr>
          </w:p>
        </w:tc>
        <w:tc>
          <w:tcPr>
            <w:tcW w:w="3402" w:type="dxa"/>
            <w:gridSpan w:val="2"/>
            <w:tcBorders>
              <w:top w:val="single" w:sz="4" w:space="0" w:color="000000"/>
              <w:left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powłoka z nacięciem 1)</w:t>
            </w:r>
          </w:p>
        </w:tc>
        <w:tc>
          <w:tcPr>
            <w:tcW w:w="851" w:type="dxa"/>
            <w:tcBorders>
              <w:left w:val="single" w:sz="4" w:space="0" w:color="000000"/>
            </w:tcBorders>
            <w:tcMar>
              <w:top w:w="0" w:type="dxa"/>
              <w:left w:w="70" w:type="dxa"/>
              <w:bottom w:w="0" w:type="dxa"/>
              <w:right w:w="70" w:type="dxa"/>
            </w:tcMar>
          </w:tcPr>
          <w:p w:rsidR="00B77F00" w:rsidRDefault="00B77F00">
            <w:pPr>
              <w:pStyle w:val="Standard"/>
              <w:snapToGrid w:val="0"/>
              <w:jc w:val="both"/>
              <w:rPr>
                <w:rFonts w:cs="Arial"/>
                <w:color w:val="000000"/>
                <w:szCs w:val="20"/>
              </w:rPr>
            </w:pPr>
          </w:p>
        </w:tc>
        <w:tc>
          <w:tcPr>
            <w:tcW w:w="1843"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B77F00">
            <w:pPr>
              <w:pStyle w:val="Standard"/>
              <w:snapToGrid w:val="0"/>
              <w:jc w:val="both"/>
              <w:rPr>
                <w:rFonts w:cs="Arial"/>
                <w:color w:val="000000"/>
                <w:szCs w:val="20"/>
              </w:rPr>
            </w:pPr>
          </w:p>
        </w:tc>
        <w:tc>
          <w:tcPr>
            <w:tcW w:w="2449" w:type="dxa"/>
            <w:vMerge/>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000000" w:rsidRDefault="00865FA3"/>
        </w:tc>
      </w:tr>
      <w:tr w:rsidR="00B77F00">
        <w:tblPrEx>
          <w:tblCellMar>
            <w:top w:w="0" w:type="dxa"/>
            <w:bottom w:w="0" w:type="dxa"/>
          </w:tblCellMar>
        </w:tblPrEx>
        <w:trPr>
          <w:cantSplit/>
        </w:trPr>
        <w:tc>
          <w:tcPr>
            <w:tcW w:w="567" w:type="dxa"/>
            <w:tcBorders>
              <w:left w:val="single" w:sz="4" w:space="0" w:color="000000"/>
            </w:tcBorders>
            <w:tcMar>
              <w:top w:w="0" w:type="dxa"/>
              <w:left w:w="70" w:type="dxa"/>
              <w:bottom w:w="0" w:type="dxa"/>
              <w:right w:w="70" w:type="dxa"/>
            </w:tcMar>
          </w:tcPr>
          <w:p w:rsidR="00B77F00" w:rsidRDefault="00B77F00">
            <w:pPr>
              <w:pStyle w:val="Standard"/>
              <w:snapToGrid w:val="0"/>
              <w:jc w:val="both"/>
              <w:rPr>
                <w:rFonts w:cs="Arial"/>
                <w:color w:val="000000"/>
                <w:szCs w:val="20"/>
              </w:rPr>
            </w:pPr>
          </w:p>
        </w:tc>
        <w:tc>
          <w:tcPr>
            <w:tcW w:w="709"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B77F00">
            <w:pPr>
              <w:pStyle w:val="Standard"/>
              <w:snapToGrid w:val="0"/>
              <w:jc w:val="both"/>
              <w:rPr>
                <w:rFonts w:cs="Arial"/>
                <w:color w:val="000000"/>
                <w:szCs w:val="20"/>
              </w:rPr>
            </w:pPr>
          </w:p>
        </w:tc>
        <w:tc>
          <w:tcPr>
            <w:tcW w:w="2693" w:type="dxa"/>
            <w:tcBorders>
              <w:top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czas obciążenia</w:t>
            </w:r>
          </w:p>
        </w:tc>
        <w:tc>
          <w:tcPr>
            <w:tcW w:w="851" w:type="dxa"/>
            <w:tcBorders>
              <w:left w:val="single" w:sz="4" w:space="0" w:color="000000"/>
            </w:tcBorders>
            <w:tcMar>
              <w:top w:w="0" w:type="dxa"/>
              <w:left w:w="70" w:type="dxa"/>
              <w:bottom w:w="0" w:type="dxa"/>
              <w:right w:w="70" w:type="dxa"/>
            </w:tcMar>
          </w:tcPr>
          <w:p w:rsidR="00B77F00" w:rsidRDefault="00B77F00">
            <w:pPr>
              <w:pStyle w:val="Standard"/>
              <w:snapToGrid w:val="0"/>
              <w:jc w:val="both"/>
              <w:rPr>
                <w:rFonts w:cs="Arial"/>
                <w:color w:val="000000"/>
                <w:szCs w:val="20"/>
              </w:rPr>
            </w:pPr>
          </w:p>
        </w:tc>
        <w:tc>
          <w:tcPr>
            <w:tcW w:w="1843"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1440 h</w:t>
            </w:r>
          </w:p>
        </w:tc>
        <w:tc>
          <w:tcPr>
            <w:tcW w:w="2449" w:type="dxa"/>
            <w:vMerge/>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000000" w:rsidRDefault="00865FA3"/>
        </w:tc>
      </w:tr>
      <w:tr w:rsidR="00B77F00">
        <w:tblPrEx>
          <w:tblCellMar>
            <w:top w:w="0" w:type="dxa"/>
            <w:bottom w:w="0" w:type="dxa"/>
          </w:tblCellMar>
        </w:tblPrEx>
        <w:trPr>
          <w:cantSplit/>
        </w:trPr>
        <w:tc>
          <w:tcPr>
            <w:tcW w:w="567" w:type="dxa"/>
            <w:tcBorders>
              <w:left w:val="single" w:sz="4" w:space="0" w:color="000000"/>
            </w:tcBorders>
            <w:tcMar>
              <w:top w:w="0" w:type="dxa"/>
              <w:left w:w="70" w:type="dxa"/>
              <w:bottom w:w="0" w:type="dxa"/>
              <w:right w:w="70" w:type="dxa"/>
            </w:tcMar>
          </w:tcPr>
          <w:p w:rsidR="00B77F00" w:rsidRDefault="00B77F00">
            <w:pPr>
              <w:pStyle w:val="Standard"/>
              <w:snapToGrid w:val="0"/>
              <w:jc w:val="both"/>
              <w:rPr>
                <w:rFonts w:cs="Arial"/>
                <w:color w:val="000000"/>
                <w:szCs w:val="20"/>
              </w:rPr>
            </w:pPr>
          </w:p>
        </w:tc>
        <w:tc>
          <w:tcPr>
            <w:tcW w:w="3402" w:type="dxa"/>
            <w:gridSpan w:val="2"/>
            <w:tcBorders>
              <w:top w:val="single" w:sz="4" w:space="0" w:color="000000"/>
              <w:left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dopuszczalne odległości od rysy:</w:t>
            </w:r>
          </w:p>
        </w:tc>
        <w:tc>
          <w:tcPr>
            <w:tcW w:w="851" w:type="dxa"/>
            <w:tcBorders>
              <w:left w:val="single" w:sz="4" w:space="0" w:color="000000"/>
            </w:tcBorders>
            <w:tcMar>
              <w:top w:w="0" w:type="dxa"/>
              <w:left w:w="70" w:type="dxa"/>
              <w:bottom w:w="0" w:type="dxa"/>
              <w:right w:w="70" w:type="dxa"/>
            </w:tcMar>
          </w:tcPr>
          <w:p w:rsidR="00B77F00" w:rsidRDefault="00B77F00">
            <w:pPr>
              <w:pStyle w:val="Standard"/>
              <w:snapToGrid w:val="0"/>
              <w:jc w:val="both"/>
              <w:rPr>
                <w:rFonts w:cs="Arial"/>
                <w:color w:val="000000"/>
                <w:szCs w:val="20"/>
              </w:rPr>
            </w:pPr>
          </w:p>
        </w:tc>
        <w:tc>
          <w:tcPr>
            <w:tcW w:w="1843" w:type="dxa"/>
            <w:tcBorders>
              <w:top w:val="single" w:sz="4" w:space="0" w:color="000000"/>
              <w:left w:val="single" w:sz="4" w:space="0" w:color="000000"/>
            </w:tcBorders>
            <w:tcMar>
              <w:top w:w="0" w:type="dxa"/>
              <w:left w:w="70" w:type="dxa"/>
              <w:bottom w:w="0" w:type="dxa"/>
              <w:right w:w="70" w:type="dxa"/>
            </w:tcMar>
          </w:tcPr>
          <w:p w:rsidR="00B77F00" w:rsidRDefault="00B77F00">
            <w:pPr>
              <w:pStyle w:val="Standard"/>
              <w:snapToGrid w:val="0"/>
              <w:jc w:val="both"/>
              <w:rPr>
                <w:rFonts w:cs="Arial"/>
                <w:color w:val="000000"/>
                <w:szCs w:val="20"/>
              </w:rPr>
            </w:pPr>
          </w:p>
        </w:tc>
        <w:tc>
          <w:tcPr>
            <w:tcW w:w="2449" w:type="dxa"/>
            <w:vMerge/>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000000" w:rsidRDefault="00865FA3"/>
        </w:tc>
      </w:tr>
      <w:tr w:rsidR="00B77F00">
        <w:tblPrEx>
          <w:tblCellMar>
            <w:top w:w="0" w:type="dxa"/>
            <w:bottom w:w="0" w:type="dxa"/>
          </w:tblCellMar>
        </w:tblPrEx>
        <w:trPr>
          <w:cantSplit/>
        </w:trPr>
        <w:tc>
          <w:tcPr>
            <w:tcW w:w="567" w:type="dxa"/>
            <w:tcBorders>
              <w:left w:val="single" w:sz="4" w:space="0" w:color="000000"/>
            </w:tcBorders>
            <w:tcMar>
              <w:top w:w="0" w:type="dxa"/>
              <w:left w:w="70" w:type="dxa"/>
              <w:bottom w:w="0" w:type="dxa"/>
              <w:right w:w="70" w:type="dxa"/>
            </w:tcMar>
          </w:tcPr>
          <w:p w:rsidR="00B77F00" w:rsidRDefault="00B77F00">
            <w:pPr>
              <w:pStyle w:val="Standard"/>
              <w:snapToGrid w:val="0"/>
              <w:jc w:val="both"/>
              <w:rPr>
                <w:rFonts w:cs="Arial"/>
                <w:color w:val="000000"/>
                <w:szCs w:val="20"/>
              </w:rPr>
            </w:pPr>
          </w:p>
        </w:tc>
        <w:tc>
          <w:tcPr>
            <w:tcW w:w="709" w:type="dxa"/>
            <w:tcBorders>
              <w:left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 xml:space="preserve"> </w:t>
            </w:r>
          </w:p>
        </w:tc>
        <w:tc>
          <w:tcPr>
            <w:tcW w:w="2693" w:type="dxa"/>
            <w:tcBorders>
              <w:bottom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korozja</w:t>
            </w:r>
          </w:p>
          <w:p w:rsidR="00B77F00" w:rsidRDefault="00865FA3">
            <w:pPr>
              <w:pStyle w:val="Standard"/>
              <w:jc w:val="both"/>
              <w:rPr>
                <w:rFonts w:cs="Arial"/>
                <w:color w:val="000000"/>
                <w:szCs w:val="20"/>
              </w:rPr>
            </w:pPr>
            <w:r>
              <w:rPr>
                <w:rFonts w:cs="Arial"/>
                <w:color w:val="000000"/>
                <w:szCs w:val="20"/>
              </w:rPr>
              <w:t>pęcherze</w:t>
            </w:r>
          </w:p>
        </w:tc>
        <w:tc>
          <w:tcPr>
            <w:tcW w:w="851" w:type="dxa"/>
            <w:tcBorders>
              <w:left w:val="single" w:sz="4" w:space="0" w:color="000000"/>
            </w:tcBorders>
            <w:tcMar>
              <w:top w:w="0" w:type="dxa"/>
              <w:left w:w="70" w:type="dxa"/>
              <w:bottom w:w="0" w:type="dxa"/>
              <w:right w:w="70" w:type="dxa"/>
            </w:tcMar>
          </w:tcPr>
          <w:p w:rsidR="00B77F00" w:rsidRDefault="00B77F00">
            <w:pPr>
              <w:pStyle w:val="Standard"/>
              <w:snapToGrid w:val="0"/>
              <w:jc w:val="both"/>
              <w:rPr>
                <w:rFonts w:cs="Arial"/>
                <w:color w:val="000000"/>
                <w:szCs w:val="20"/>
              </w:rPr>
            </w:pPr>
          </w:p>
        </w:tc>
        <w:tc>
          <w:tcPr>
            <w:tcW w:w="1843" w:type="dxa"/>
            <w:tcBorders>
              <w:left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3mm</w:t>
            </w:r>
          </w:p>
          <w:p w:rsidR="00B77F00" w:rsidRDefault="00865FA3">
            <w:pPr>
              <w:pStyle w:val="Standard"/>
              <w:jc w:val="both"/>
              <w:rPr>
                <w:rFonts w:cs="Arial"/>
                <w:color w:val="000000"/>
                <w:szCs w:val="20"/>
              </w:rPr>
            </w:pPr>
            <w:r>
              <w:rPr>
                <w:rFonts w:cs="Arial"/>
                <w:color w:val="000000"/>
                <w:szCs w:val="20"/>
              </w:rPr>
              <w:t>8mm</w:t>
            </w:r>
          </w:p>
        </w:tc>
        <w:tc>
          <w:tcPr>
            <w:tcW w:w="2449" w:type="dxa"/>
            <w:vMerge/>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000000" w:rsidRDefault="00865FA3"/>
        </w:tc>
      </w:tr>
      <w:tr w:rsidR="00B77F00">
        <w:tblPrEx>
          <w:tblCellMar>
            <w:top w:w="0" w:type="dxa"/>
            <w:bottom w:w="0" w:type="dxa"/>
          </w:tblCellMar>
        </w:tblPrEx>
        <w:trPr>
          <w:cantSplit/>
        </w:trPr>
        <w:tc>
          <w:tcPr>
            <w:tcW w:w="567" w:type="dxa"/>
            <w:tcBorders>
              <w:left w:val="single" w:sz="4" w:space="0" w:color="000000"/>
            </w:tcBorders>
            <w:tcMar>
              <w:top w:w="0" w:type="dxa"/>
              <w:left w:w="70" w:type="dxa"/>
              <w:bottom w:w="0" w:type="dxa"/>
              <w:right w:w="70" w:type="dxa"/>
            </w:tcMar>
          </w:tcPr>
          <w:p w:rsidR="00B77F00" w:rsidRDefault="00B77F00">
            <w:pPr>
              <w:pStyle w:val="Standard"/>
              <w:snapToGrid w:val="0"/>
              <w:jc w:val="both"/>
              <w:rPr>
                <w:rFonts w:cs="Arial"/>
                <w:color w:val="000000"/>
                <w:szCs w:val="20"/>
              </w:rPr>
            </w:pPr>
          </w:p>
        </w:tc>
        <w:tc>
          <w:tcPr>
            <w:tcW w:w="3402" w:type="dxa"/>
            <w:gridSpan w:val="2"/>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powłoka bez nacięcia</w:t>
            </w:r>
          </w:p>
        </w:tc>
        <w:tc>
          <w:tcPr>
            <w:tcW w:w="851" w:type="dxa"/>
            <w:tcBorders>
              <w:left w:val="single" w:sz="4" w:space="0" w:color="000000"/>
            </w:tcBorders>
            <w:tcMar>
              <w:top w:w="0" w:type="dxa"/>
              <w:left w:w="70" w:type="dxa"/>
              <w:bottom w:w="0" w:type="dxa"/>
              <w:right w:w="70" w:type="dxa"/>
            </w:tcMar>
          </w:tcPr>
          <w:p w:rsidR="00B77F00" w:rsidRDefault="00B77F00">
            <w:pPr>
              <w:pStyle w:val="Standard"/>
              <w:snapToGrid w:val="0"/>
              <w:jc w:val="both"/>
              <w:rPr>
                <w:rFonts w:cs="Arial"/>
                <w:color w:val="000000"/>
                <w:szCs w:val="20"/>
              </w:rPr>
            </w:pPr>
          </w:p>
        </w:tc>
        <w:tc>
          <w:tcPr>
            <w:tcW w:w="1843"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B77F00">
            <w:pPr>
              <w:pStyle w:val="Standard"/>
              <w:snapToGrid w:val="0"/>
              <w:jc w:val="both"/>
              <w:rPr>
                <w:rFonts w:cs="Arial"/>
                <w:color w:val="000000"/>
                <w:szCs w:val="20"/>
              </w:rPr>
            </w:pPr>
          </w:p>
        </w:tc>
        <w:tc>
          <w:tcPr>
            <w:tcW w:w="2449" w:type="dxa"/>
            <w:vMerge/>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000000" w:rsidRDefault="00865FA3"/>
        </w:tc>
      </w:tr>
      <w:tr w:rsidR="00B77F00">
        <w:tblPrEx>
          <w:tblCellMar>
            <w:top w:w="0" w:type="dxa"/>
            <w:bottom w:w="0" w:type="dxa"/>
          </w:tblCellMar>
        </w:tblPrEx>
        <w:trPr>
          <w:cantSplit/>
        </w:trPr>
        <w:tc>
          <w:tcPr>
            <w:tcW w:w="567" w:type="dxa"/>
            <w:tcBorders>
              <w:left w:val="single" w:sz="4" w:space="0" w:color="000000"/>
              <w:bottom w:val="single" w:sz="4" w:space="0" w:color="000000"/>
            </w:tcBorders>
            <w:tcMar>
              <w:top w:w="0" w:type="dxa"/>
              <w:left w:w="70" w:type="dxa"/>
              <w:bottom w:w="0" w:type="dxa"/>
              <w:right w:w="70" w:type="dxa"/>
            </w:tcMar>
          </w:tcPr>
          <w:p w:rsidR="00B77F00" w:rsidRDefault="00B77F00">
            <w:pPr>
              <w:pStyle w:val="Standard"/>
              <w:snapToGrid w:val="0"/>
              <w:jc w:val="both"/>
              <w:rPr>
                <w:rFonts w:cs="Arial"/>
                <w:color w:val="000000"/>
                <w:szCs w:val="20"/>
              </w:rPr>
            </w:pPr>
          </w:p>
        </w:tc>
        <w:tc>
          <w:tcPr>
            <w:tcW w:w="709"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B77F00">
            <w:pPr>
              <w:pStyle w:val="Standard"/>
              <w:snapToGrid w:val="0"/>
              <w:jc w:val="both"/>
              <w:rPr>
                <w:rFonts w:cs="Arial"/>
                <w:color w:val="000000"/>
                <w:szCs w:val="20"/>
              </w:rPr>
            </w:pPr>
          </w:p>
        </w:tc>
        <w:tc>
          <w:tcPr>
            <w:tcW w:w="2693" w:type="dxa"/>
            <w:tcBorders>
              <w:top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czas obciążenia</w:t>
            </w:r>
          </w:p>
        </w:tc>
        <w:tc>
          <w:tcPr>
            <w:tcW w:w="851" w:type="dxa"/>
            <w:tcBorders>
              <w:left w:val="single" w:sz="4" w:space="0" w:color="000000"/>
              <w:bottom w:val="single" w:sz="4" w:space="0" w:color="000000"/>
            </w:tcBorders>
            <w:tcMar>
              <w:top w:w="0" w:type="dxa"/>
              <w:left w:w="70" w:type="dxa"/>
              <w:bottom w:w="0" w:type="dxa"/>
              <w:right w:w="70" w:type="dxa"/>
            </w:tcMar>
          </w:tcPr>
          <w:p w:rsidR="00B77F00" w:rsidRDefault="00B77F00">
            <w:pPr>
              <w:pStyle w:val="Standard"/>
              <w:snapToGrid w:val="0"/>
              <w:jc w:val="both"/>
              <w:rPr>
                <w:rFonts w:cs="Arial"/>
                <w:color w:val="000000"/>
                <w:szCs w:val="20"/>
              </w:rPr>
            </w:pPr>
          </w:p>
        </w:tc>
        <w:tc>
          <w:tcPr>
            <w:tcW w:w="1843"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1440 h</w:t>
            </w:r>
            <w:r>
              <w:rPr>
                <w:rFonts w:cs="Arial"/>
                <w:color w:val="000000"/>
                <w:szCs w:val="20"/>
              </w:rPr>
              <w:br/>
            </w:r>
            <w:r>
              <w:rPr>
                <w:rFonts w:cs="Arial"/>
                <w:color w:val="000000"/>
                <w:szCs w:val="20"/>
              </w:rPr>
              <w:t>powłoka bez zmian 2)</w:t>
            </w:r>
          </w:p>
        </w:tc>
        <w:tc>
          <w:tcPr>
            <w:tcW w:w="2449" w:type="dxa"/>
            <w:vMerge/>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000000" w:rsidRDefault="00865FA3"/>
        </w:tc>
      </w:tr>
      <w:tr w:rsidR="00B77F00">
        <w:tblPrEx>
          <w:tblCellMar>
            <w:top w:w="0" w:type="dxa"/>
            <w:bottom w:w="0" w:type="dxa"/>
          </w:tblCellMar>
        </w:tblPrEx>
        <w:tc>
          <w:tcPr>
            <w:tcW w:w="567" w:type="dxa"/>
            <w:tcBorders>
              <w:top w:val="single" w:sz="4" w:space="0" w:color="000000"/>
              <w:left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9</w:t>
            </w:r>
          </w:p>
        </w:tc>
        <w:tc>
          <w:tcPr>
            <w:tcW w:w="3402" w:type="dxa"/>
            <w:gridSpan w:val="2"/>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Odporność na wilgoć</w:t>
            </w:r>
          </w:p>
        </w:tc>
        <w:tc>
          <w:tcPr>
            <w:tcW w:w="851" w:type="dxa"/>
            <w:tcBorders>
              <w:top w:val="single" w:sz="4" w:space="0" w:color="000000"/>
              <w:left w:val="single" w:sz="4" w:space="0" w:color="000000"/>
            </w:tcBorders>
            <w:tcMar>
              <w:top w:w="0" w:type="dxa"/>
              <w:left w:w="70" w:type="dxa"/>
              <w:bottom w:w="0" w:type="dxa"/>
              <w:right w:w="70" w:type="dxa"/>
            </w:tcMar>
          </w:tcPr>
          <w:p w:rsidR="00B77F00" w:rsidRDefault="00B77F00">
            <w:pPr>
              <w:pStyle w:val="Standard"/>
              <w:snapToGrid w:val="0"/>
              <w:jc w:val="both"/>
              <w:rPr>
                <w:rFonts w:cs="Arial"/>
                <w:color w:val="000000"/>
                <w:szCs w:val="20"/>
              </w:rPr>
            </w:pPr>
          </w:p>
        </w:tc>
        <w:tc>
          <w:tcPr>
            <w:tcW w:w="1843"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B77F00">
            <w:pPr>
              <w:pStyle w:val="Standard"/>
              <w:snapToGrid w:val="0"/>
              <w:jc w:val="both"/>
              <w:rPr>
                <w:rFonts w:cs="Arial"/>
                <w:color w:val="000000"/>
                <w:szCs w:val="20"/>
              </w:rPr>
            </w:pPr>
          </w:p>
        </w:tc>
        <w:tc>
          <w:tcPr>
            <w:tcW w:w="2449" w:type="dxa"/>
            <w:tcBorders>
              <w:top w:val="single" w:sz="4" w:space="0" w:color="000000"/>
              <w:left w:val="single" w:sz="4" w:space="0" w:color="000000"/>
              <w:right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PN-EN ISO 6270-1:2002</w:t>
            </w:r>
          </w:p>
        </w:tc>
      </w:tr>
      <w:tr w:rsidR="00B77F00">
        <w:tblPrEx>
          <w:tblCellMar>
            <w:top w:w="0" w:type="dxa"/>
            <w:bottom w:w="0" w:type="dxa"/>
          </w:tblCellMar>
        </w:tblPrEx>
        <w:tc>
          <w:tcPr>
            <w:tcW w:w="567" w:type="dxa"/>
            <w:tcBorders>
              <w:left w:val="single" w:sz="4" w:space="0" w:color="000000"/>
            </w:tcBorders>
            <w:tcMar>
              <w:top w:w="0" w:type="dxa"/>
              <w:left w:w="70" w:type="dxa"/>
              <w:bottom w:w="0" w:type="dxa"/>
              <w:right w:w="70" w:type="dxa"/>
            </w:tcMar>
          </w:tcPr>
          <w:p w:rsidR="00B77F00" w:rsidRDefault="00B77F00">
            <w:pPr>
              <w:pStyle w:val="Standard"/>
              <w:snapToGrid w:val="0"/>
              <w:jc w:val="both"/>
              <w:rPr>
                <w:rFonts w:cs="Arial"/>
                <w:color w:val="000000"/>
                <w:szCs w:val="20"/>
              </w:rPr>
            </w:pPr>
          </w:p>
        </w:tc>
        <w:tc>
          <w:tcPr>
            <w:tcW w:w="3402" w:type="dxa"/>
            <w:gridSpan w:val="2"/>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powłoka</w:t>
            </w:r>
            <w:r>
              <w:rPr>
                <w:rFonts w:cs="Arial"/>
                <w:color w:val="000000"/>
                <w:szCs w:val="20"/>
              </w:rPr>
              <w:t xml:space="preserve"> z nacięciem 1)</w:t>
            </w:r>
          </w:p>
        </w:tc>
        <w:tc>
          <w:tcPr>
            <w:tcW w:w="851" w:type="dxa"/>
            <w:tcBorders>
              <w:left w:val="single" w:sz="4" w:space="0" w:color="000000"/>
            </w:tcBorders>
            <w:tcMar>
              <w:top w:w="0" w:type="dxa"/>
              <w:left w:w="70" w:type="dxa"/>
              <w:bottom w:w="0" w:type="dxa"/>
              <w:right w:w="70" w:type="dxa"/>
            </w:tcMar>
          </w:tcPr>
          <w:p w:rsidR="00B77F00" w:rsidRDefault="00B77F00">
            <w:pPr>
              <w:pStyle w:val="Standard"/>
              <w:snapToGrid w:val="0"/>
              <w:jc w:val="both"/>
              <w:rPr>
                <w:rFonts w:cs="Arial"/>
                <w:color w:val="000000"/>
                <w:szCs w:val="20"/>
              </w:rPr>
            </w:pPr>
          </w:p>
        </w:tc>
        <w:tc>
          <w:tcPr>
            <w:tcW w:w="1843"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w:t>
            </w:r>
          </w:p>
        </w:tc>
        <w:tc>
          <w:tcPr>
            <w:tcW w:w="2449" w:type="dxa"/>
            <w:tcBorders>
              <w:left w:val="single" w:sz="4" w:space="0" w:color="000000"/>
              <w:right w:val="single" w:sz="4" w:space="0" w:color="000000"/>
            </w:tcBorders>
            <w:tcMar>
              <w:top w:w="0" w:type="dxa"/>
              <w:left w:w="70" w:type="dxa"/>
              <w:bottom w:w="0" w:type="dxa"/>
              <w:right w:w="70" w:type="dxa"/>
            </w:tcMar>
          </w:tcPr>
          <w:p w:rsidR="00B77F00" w:rsidRDefault="00B77F00">
            <w:pPr>
              <w:pStyle w:val="Standard"/>
              <w:snapToGrid w:val="0"/>
              <w:jc w:val="both"/>
              <w:rPr>
                <w:rFonts w:cs="Arial"/>
                <w:color w:val="000000"/>
                <w:szCs w:val="20"/>
              </w:rPr>
            </w:pPr>
          </w:p>
        </w:tc>
      </w:tr>
      <w:tr w:rsidR="00B77F00">
        <w:tblPrEx>
          <w:tblCellMar>
            <w:top w:w="0" w:type="dxa"/>
            <w:bottom w:w="0" w:type="dxa"/>
          </w:tblCellMar>
        </w:tblPrEx>
        <w:tc>
          <w:tcPr>
            <w:tcW w:w="567" w:type="dxa"/>
            <w:tcBorders>
              <w:left w:val="single" w:sz="4" w:space="0" w:color="000000"/>
              <w:bottom w:val="single" w:sz="4" w:space="0" w:color="000000"/>
            </w:tcBorders>
            <w:tcMar>
              <w:top w:w="0" w:type="dxa"/>
              <w:left w:w="70" w:type="dxa"/>
              <w:bottom w:w="0" w:type="dxa"/>
              <w:right w:w="70" w:type="dxa"/>
            </w:tcMar>
          </w:tcPr>
          <w:p w:rsidR="00B77F00" w:rsidRDefault="00B77F00">
            <w:pPr>
              <w:pStyle w:val="Standard"/>
              <w:snapToGrid w:val="0"/>
              <w:jc w:val="both"/>
              <w:rPr>
                <w:rFonts w:cs="Arial"/>
                <w:color w:val="000000"/>
                <w:szCs w:val="20"/>
              </w:rPr>
            </w:pPr>
          </w:p>
        </w:tc>
        <w:tc>
          <w:tcPr>
            <w:tcW w:w="3402" w:type="dxa"/>
            <w:gridSpan w:val="2"/>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powłoka bez nacięcia</w:t>
            </w:r>
          </w:p>
        </w:tc>
        <w:tc>
          <w:tcPr>
            <w:tcW w:w="851" w:type="dxa"/>
            <w:tcBorders>
              <w:left w:val="single" w:sz="4" w:space="0" w:color="000000"/>
              <w:bottom w:val="single" w:sz="4" w:space="0" w:color="000000"/>
            </w:tcBorders>
            <w:tcMar>
              <w:top w:w="0" w:type="dxa"/>
              <w:left w:w="70" w:type="dxa"/>
              <w:bottom w:w="0" w:type="dxa"/>
              <w:right w:w="70" w:type="dxa"/>
            </w:tcMar>
          </w:tcPr>
          <w:p w:rsidR="00B77F00" w:rsidRDefault="00B77F00">
            <w:pPr>
              <w:pStyle w:val="Standard"/>
              <w:snapToGrid w:val="0"/>
              <w:jc w:val="both"/>
              <w:rPr>
                <w:rFonts w:cs="Arial"/>
                <w:color w:val="000000"/>
                <w:szCs w:val="20"/>
              </w:rPr>
            </w:pPr>
          </w:p>
        </w:tc>
        <w:tc>
          <w:tcPr>
            <w:tcW w:w="1843"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 xml:space="preserve">720h, </w:t>
            </w:r>
            <w:r>
              <w:rPr>
                <w:rFonts w:cs="Arial"/>
                <w:color w:val="000000"/>
                <w:szCs w:val="20"/>
              </w:rPr>
              <w:br/>
            </w:r>
            <w:r>
              <w:rPr>
                <w:rFonts w:cs="Arial"/>
                <w:color w:val="000000"/>
                <w:szCs w:val="20"/>
              </w:rPr>
              <w:t>powłoka bez zmian 2)</w:t>
            </w:r>
          </w:p>
        </w:tc>
        <w:tc>
          <w:tcPr>
            <w:tcW w:w="2449" w:type="dxa"/>
            <w:tcBorders>
              <w:left w:val="single" w:sz="4" w:space="0" w:color="000000"/>
              <w:bottom w:val="single" w:sz="4" w:space="0" w:color="000000"/>
              <w:right w:val="single" w:sz="4" w:space="0" w:color="000000"/>
            </w:tcBorders>
            <w:tcMar>
              <w:top w:w="0" w:type="dxa"/>
              <w:left w:w="70" w:type="dxa"/>
              <w:bottom w:w="0" w:type="dxa"/>
              <w:right w:w="70" w:type="dxa"/>
            </w:tcMar>
          </w:tcPr>
          <w:p w:rsidR="00B77F00" w:rsidRDefault="00B77F00">
            <w:pPr>
              <w:pStyle w:val="Standard"/>
              <w:snapToGrid w:val="0"/>
              <w:jc w:val="both"/>
              <w:rPr>
                <w:rFonts w:cs="Arial"/>
                <w:color w:val="000000"/>
                <w:szCs w:val="20"/>
              </w:rPr>
            </w:pPr>
          </w:p>
        </w:tc>
      </w:tr>
      <w:tr w:rsidR="00B77F00">
        <w:tblPrEx>
          <w:tblCellMar>
            <w:top w:w="0" w:type="dxa"/>
            <w:bottom w:w="0" w:type="dxa"/>
          </w:tblCellMar>
        </w:tblPrEx>
        <w:tc>
          <w:tcPr>
            <w:tcW w:w="567"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10</w:t>
            </w:r>
          </w:p>
        </w:tc>
        <w:tc>
          <w:tcPr>
            <w:tcW w:w="3402" w:type="dxa"/>
            <w:gridSpan w:val="2"/>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pPr>
            <w:r>
              <w:rPr>
                <w:rFonts w:cs="Arial"/>
                <w:color w:val="000000"/>
                <w:szCs w:val="20"/>
              </w:rPr>
              <w:t>Odporność na zmienne temperatury od -18</w:t>
            </w:r>
            <w:r>
              <w:rPr>
                <w:rFonts w:eastAsia="Times New Roman" w:cs="Arial"/>
                <w:color w:val="000000"/>
                <w:szCs w:val="20"/>
              </w:rPr>
              <w:t>º</w:t>
            </w:r>
            <w:r>
              <w:rPr>
                <w:rFonts w:cs="Arial"/>
                <w:color w:val="000000"/>
                <w:szCs w:val="20"/>
              </w:rPr>
              <w:t>C do +18</w:t>
            </w:r>
            <w:r>
              <w:rPr>
                <w:rFonts w:eastAsia="Times New Roman" w:cs="Arial"/>
                <w:color w:val="000000"/>
                <w:szCs w:val="20"/>
              </w:rPr>
              <w:t>º</w:t>
            </w:r>
            <w:r>
              <w:rPr>
                <w:rFonts w:cs="Arial"/>
                <w:color w:val="000000"/>
                <w:szCs w:val="20"/>
              </w:rPr>
              <w:t>C</w:t>
            </w:r>
          </w:p>
        </w:tc>
        <w:tc>
          <w:tcPr>
            <w:tcW w:w="851"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B77F00">
            <w:pPr>
              <w:pStyle w:val="Standard"/>
              <w:snapToGrid w:val="0"/>
              <w:jc w:val="both"/>
              <w:rPr>
                <w:rFonts w:cs="Arial"/>
                <w:color w:val="000000"/>
                <w:szCs w:val="20"/>
              </w:rPr>
            </w:pPr>
          </w:p>
        </w:tc>
        <w:tc>
          <w:tcPr>
            <w:tcW w:w="1843"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300 cykli po 4 h powłoka bez zmian 2)</w:t>
            </w:r>
          </w:p>
        </w:tc>
        <w:tc>
          <w:tcPr>
            <w:tcW w:w="244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PN-88/C-81556</w:t>
            </w:r>
          </w:p>
          <w:p w:rsidR="00B77F00" w:rsidRDefault="00B77F00">
            <w:pPr>
              <w:pStyle w:val="Standard"/>
              <w:jc w:val="both"/>
              <w:rPr>
                <w:rFonts w:cs="Arial"/>
                <w:color w:val="000000"/>
                <w:szCs w:val="20"/>
              </w:rPr>
            </w:pPr>
          </w:p>
          <w:p w:rsidR="00B77F00" w:rsidRDefault="00B77F00">
            <w:pPr>
              <w:pStyle w:val="Standard"/>
              <w:jc w:val="both"/>
              <w:rPr>
                <w:rFonts w:cs="Arial"/>
                <w:color w:val="000000"/>
                <w:szCs w:val="20"/>
              </w:rPr>
            </w:pPr>
          </w:p>
          <w:p w:rsidR="00B77F00" w:rsidRDefault="00B77F00">
            <w:pPr>
              <w:pStyle w:val="Standard"/>
              <w:jc w:val="both"/>
              <w:rPr>
                <w:rFonts w:cs="Arial"/>
                <w:color w:val="000000"/>
                <w:szCs w:val="20"/>
              </w:rPr>
            </w:pPr>
          </w:p>
        </w:tc>
      </w:tr>
      <w:tr w:rsidR="00B77F00">
        <w:tblPrEx>
          <w:tblCellMar>
            <w:top w:w="0" w:type="dxa"/>
            <w:bottom w:w="0" w:type="dxa"/>
          </w:tblCellMar>
        </w:tblPrEx>
        <w:trPr>
          <w:cantSplit/>
        </w:trPr>
        <w:tc>
          <w:tcPr>
            <w:tcW w:w="567" w:type="dxa"/>
            <w:tcBorders>
              <w:top w:val="single" w:sz="4" w:space="0" w:color="000000"/>
              <w:left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11</w:t>
            </w:r>
          </w:p>
        </w:tc>
        <w:tc>
          <w:tcPr>
            <w:tcW w:w="3402" w:type="dxa"/>
            <w:gridSpan w:val="2"/>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Odporność na starzenie (sztuczne promieniowanie)</w:t>
            </w:r>
          </w:p>
        </w:tc>
        <w:tc>
          <w:tcPr>
            <w:tcW w:w="851" w:type="dxa"/>
            <w:tcBorders>
              <w:top w:val="single" w:sz="4" w:space="0" w:color="000000"/>
              <w:left w:val="single" w:sz="4" w:space="0" w:color="000000"/>
            </w:tcBorders>
            <w:tcMar>
              <w:top w:w="0" w:type="dxa"/>
              <w:left w:w="70" w:type="dxa"/>
              <w:bottom w:w="0" w:type="dxa"/>
              <w:right w:w="70" w:type="dxa"/>
            </w:tcMar>
          </w:tcPr>
          <w:p w:rsidR="00B77F00" w:rsidRDefault="00B77F00">
            <w:pPr>
              <w:pStyle w:val="Standard"/>
              <w:snapToGrid w:val="0"/>
              <w:jc w:val="both"/>
              <w:rPr>
                <w:rFonts w:cs="Arial"/>
                <w:color w:val="000000"/>
                <w:szCs w:val="20"/>
              </w:rPr>
            </w:pPr>
          </w:p>
        </w:tc>
        <w:tc>
          <w:tcPr>
            <w:tcW w:w="1843"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B77F00">
            <w:pPr>
              <w:pStyle w:val="Standard"/>
              <w:snapToGrid w:val="0"/>
              <w:jc w:val="both"/>
              <w:rPr>
                <w:rFonts w:cs="Arial"/>
                <w:color w:val="000000"/>
                <w:szCs w:val="20"/>
              </w:rPr>
            </w:pPr>
          </w:p>
        </w:tc>
        <w:tc>
          <w:tcPr>
            <w:tcW w:w="2449" w:type="dxa"/>
            <w:vMerge w:val="restart"/>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PN-ISO 11507:2000</w:t>
            </w:r>
          </w:p>
          <w:p w:rsidR="00B77F00" w:rsidRDefault="00865FA3">
            <w:pPr>
              <w:pStyle w:val="Standard"/>
              <w:jc w:val="both"/>
              <w:rPr>
                <w:rFonts w:cs="Arial"/>
                <w:color w:val="000000"/>
                <w:szCs w:val="20"/>
                <w:lang w:val="en-US"/>
              </w:rPr>
            </w:pPr>
            <w:r>
              <w:rPr>
                <w:rFonts w:cs="Arial"/>
                <w:color w:val="000000"/>
                <w:szCs w:val="20"/>
                <w:lang w:val="en-US"/>
              </w:rPr>
              <w:t>Procedura IBDiM</w:t>
            </w:r>
            <w:r>
              <w:rPr>
                <w:rFonts w:cs="Arial"/>
                <w:color w:val="000000"/>
                <w:szCs w:val="20"/>
                <w:lang w:val="en-US"/>
              </w:rPr>
              <w:br/>
            </w:r>
            <w:r>
              <w:rPr>
                <w:rFonts w:cs="Arial"/>
                <w:color w:val="000000"/>
                <w:szCs w:val="20"/>
                <w:lang w:val="en-US"/>
              </w:rPr>
              <w:t>TWm-33/98</w:t>
            </w:r>
          </w:p>
          <w:p w:rsidR="00B77F00" w:rsidRDefault="00B77F00">
            <w:pPr>
              <w:pStyle w:val="Standard"/>
              <w:jc w:val="both"/>
              <w:rPr>
                <w:rFonts w:cs="Arial"/>
                <w:color w:val="000000"/>
                <w:szCs w:val="20"/>
              </w:rPr>
            </w:pPr>
          </w:p>
        </w:tc>
      </w:tr>
      <w:tr w:rsidR="00B77F00">
        <w:tblPrEx>
          <w:tblCellMar>
            <w:top w:w="0" w:type="dxa"/>
            <w:bottom w:w="0" w:type="dxa"/>
          </w:tblCellMar>
        </w:tblPrEx>
        <w:trPr>
          <w:cantSplit/>
        </w:trPr>
        <w:tc>
          <w:tcPr>
            <w:tcW w:w="567" w:type="dxa"/>
            <w:tcBorders>
              <w:left w:val="single" w:sz="4" w:space="0" w:color="000000"/>
            </w:tcBorders>
            <w:tcMar>
              <w:top w:w="0" w:type="dxa"/>
              <w:left w:w="70" w:type="dxa"/>
              <w:bottom w:w="0" w:type="dxa"/>
              <w:right w:w="70" w:type="dxa"/>
            </w:tcMar>
          </w:tcPr>
          <w:p w:rsidR="00B77F00" w:rsidRDefault="00B77F00">
            <w:pPr>
              <w:pStyle w:val="Standard"/>
              <w:snapToGrid w:val="0"/>
              <w:jc w:val="both"/>
              <w:rPr>
                <w:rFonts w:cs="Arial"/>
                <w:color w:val="000000"/>
                <w:szCs w:val="20"/>
              </w:rPr>
            </w:pPr>
          </w:p>
        </w:tc>
        <w:tc>
          <w:tcPr>
            <w:tcW w:w="3402" w:type="dxa"/>
            <w:gridSpan w:val="2"/>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powłoka z nacięciem 1)</w:t>
            </w:r>
          </w:p>
        </w:tc>
        <w:tc>
          <w:tcPr>
            <w:tcW w:w="851" w:type="dxa"/>
            <w:tcBorders>
              <w:left w:val="single" w:sz="4" w:space="0" w:color="000000"/>
            </w:tcBorders>
            <w:tcMar>
              <w:top w:w="0" w:type="dxa"/>
              <w:left w:w="70" w:type="dxa"/>
              <w:bottom w:w="0" w:type="dxa"/>
              <w:right w:w="70" w:type="dxa"/>
            </w:tcMar>
          </w:tcPr>
          <w:p w:rsidR="00B77F00" w:rsidRDefault="00B77F00">
            <w:pPr>
              <w:pStyle w:val="Standard"/>
              <w:snapToGrid w:val="0"/>
              <w:jc w:val="both"/>
              <w:rPr>
                <w:rFonts w:cs="Arial"/>
                <w:color w:val="000000"/>
                <w:szCs w:val="20"/>
              </w:rPr>
            </w:pPr>
          </w:p>
        </w:tc>
        <w:tc>
          <w:tcPr>
            <w:tcW w:w="1843"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w:t>
            </w:r>
          </w:p>
        </w:tc>
        <w:tc>
          <w:tcPr>
            <w:tcW w:w="2449" w:type="dxa"/>
            <w:vMerge/>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000000" w:rsidRDefault="00865FA3"/>
        </w:tc>
      </w:tr>
      <w:tr w:rsidR="00B77F00">
        <w:tblPrEx>
          <w:tblCellMar>
            <w:top w:w="0" w:type="dxa"/>
            <w:bottom w:w="0" w:type="dxa"/>
          </w:tblCellMar>
        </w:tblPrEx>
        <w:trPr>
          <w:cantSplit/>
        </w:trPr>
        <w:tc>
          <w:tcPr>
            <w:tcW w:w="567" w:type="dxa"/>
            <w:tcBorders>
              <w:left w:val="single" w:sz="4" w:space="0" w:color="000000"/>
              <w:bottom w:val="single" w:sz="4" w:space="0" w:color="000000"/>
            </w:tcBorders>
            <w:tcMar>
              <w:top w:w="0" w:type="dxa"/>
              <w:left w:w="70" w:type="dxa"/>
              <w:bottom w:w="0" w:type="dxa"/>
              <w:right w:w="70" w:type="dxa"/>
            </w:tcMar>
          </w:tcPr>
          <w:p w:rsidR="00B77F00" w:rsidRDefault="00B77F00">
            <w:pPr>
              <w:pStyle w:val="Standard"/>
              <w:snapToGrid w:val="0"/>
              <w:jc w:val="both"/>
              <w:rPr>
                <w:rFonts w:cs="Arial"/>
                <w:color w:val="000000"/>
                <w:szCs w:val="20"/>
              </w:rPr>
            </w:pPr>
          </w:p>
        </w:tc>
        <w:tc>
          <w:tcPr>
            <w:tcW w:w="3402" w:type="dxa"/>
            <w:gridSpan w:val="2"/>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powłoka bez nacięcia</w:t>
            </w:r>
          </w:p>
        </w:tc>
        <w:tc>
          <w:tcPr>
            <w:tcW w:w="851" w:type="dxa"/>
            <w:tcBorders>
              <w:left w:val="single" w:sz="4" w:space="0" w:color="000000"/>
              <w:bottom w:val="single" w:sz="4" w:space="0" w:color="000000"/>
            </w:tcBorders>
            <w:tcMar>
              <w:top w:w="0" w:type="dxa"/>
              <w:left w:w="70" w:type="dxa"/>
              <w:bottom w:w="0" w:type="dxa"/>
              <w:right w:w="70" w:type="dxa"/>
            </w:tcMar>
          </w:tcPr>
          <w:p w:rsidR="00B77F00" w:rsidRDefault="00B77F00">
            <w:pPr>
              <w:pStyle w:val="Standard"/>
              <w:snapToGrid w:val="0"/>
              <w:jc w:val="both"/>
              <w:rPr>
                <w:rFonts w:cs="Arial"/>
                <w:color w:val="000000"/>
                <w:szCs w:val="20"/>
              </w:rPr>
            </w:pPr>
          </w:p>
        </w:tc>
        <w:tc>
          <w:tcPr>
            <w:tcW w:w="1843" w:type="dxa"/>
            <w:tcBorders>
              <w:top w:val="single" w:sz="4" w:space="0" w:color="000000"/>
              <w:left w:val="single" w:sz="4" w:space="0" w:color="000000"/>
              <w:bottom w:val="single" w:sz="4" w:space="0" w:color="000000"/>
            </w:tcBorders>
            <w:tcMar>
              <w:top w:w="0" w:type="dxa"/>
              <w:left w:w="70" w:type="dxa"/>
              <w:bottom w:w="0" w:type="dxa"/>
              <w:right w:w="70" w:type="dxa"/>
            </w:tcMar>
          </w:tcPr>
          <w:p w:rsidR="00B77F00" w:rsidRDefault="00865FA3">
            <w:pPr>
              <w:pStyle w:val="Standard"/>
              <w:snapToGrid w:val="0"/>
              <w:jc w:val="both"/>
              <w:rPr>
                <w:rFonts w:cs="Arial"/>
                <w:color w:val="000000"/>
                <w:szCs w:val="20"/>
              </w:rPr>
            </w:pPr>
            <w:r>
              <w:rPr>
                <w:rFonts w:cs="Arial"/>
                <w:color w:val="000000"/>
                <w:szCs w:val="20"/>
              </w:rPr>
              <w:t>500 h (42 cykle); dopuszczalna nieznaczna zmiana barwy 3) oraz zmiana połysku do 50% 4) kredowanie max. 2 stopień 5)</w:t>
            </w:r>
          </w:p>
        </w:tc>
        <w:tc>
          <w:tcPr>
            <w:tcW w:w="2449" w:type="dxa"/>
            <w:vMerge/>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rsidR="00000000" w:rsidRDefault="00865FA3"/>
        </w:tc>
      </w:tr>
    </w:tbl>
    <w:p w:rsidR="00B77F00" w:rsidRDefault="00B77F00">
      <w:pPr>
        <w:pStyle w:val="Standard"/>
      </w:pPr>
    </w:p>
    <w:p w:rsidR="00B77F00" w:rsidRDefault="00865FA3">
      <w:pPr>
        <w:pStyle w:val="Textbody"/>
      </w:pPr>
      <w:r>
        <w:t>1)</w:t>
      </w:r>
      <w:r>
        <w:tab/>
        <w:t>Nacięcie wykonane wg PN-EN ISO 2409</w:t>
      </w:r>
    </w:p>
    <w:p w:rsidR="00B77F00" w:rsidRDefault="00865FA3">
      <w:pPr>
        <w:pStyle w:val="Textbody"/>
      </w:pPr>
      <w:r>
        <w:t>2)</w:t>
      </w:r>
      <w:r>
        <w:tab/>
        <w:t xml:space="preserve">Zniszczenie </w:t>
      </w:r>
      <w:r>
        <w:t>powłok określane wg PN-EN ISO 4628-10</w:t>
      </w:r>
    </w:p>
    <w:p w:rsidR="00B77F00" w:rsidRDefault="00865FA3">
      <w:pPr>
        <w:pStyle w:val="Textbody"/>
        <w:jc w:val="both"/>
      </w:pPr>
      <w:r>
        <w:t>3)</w:t>
      </w:r>
      <w:r>
        <w:tab/>
        <w:t>Oznaczenie zmiany barwy wg PN-EN ISO 3668, PN-ISO 7724-2, PN-ISO 7724-3</w:t>
      </w:r>
    </w:p>
    <w:p w:rsidR="00B77F00" w:rsidRDefault="00865FA3">
      <w:pPr>
        <w:pStyle w:val="Textbody"/>
        <w:jc w:val="both"/>
      </w:pPr>
      <w:r>
        <w:t>4)</w:t>
      </w:r>
      <w:r>
        <w:tab/>
        <w:t>Oznaczenie połysku wg PN-EN ISO 2813</w:t>
      </w:r>
    </w:p>
    <w:p w:rsidR="00B77F00" w:rsidRDefault="00865FA3">
      <w:pPr>
        <w:pStyle w:val="Textbody"/>
        <w:jc w:val="both"/>
      </w:pPr>
      <w:r>
        <w:t>5)</w:t>
      </w:r>
      <w:r>
        <w:tab/>
        <w:t>Oznaczenie kredowania wg PN-EN ISO 4628-7</w:t>
      </w:r>
    </w:p>
    <w:p w:rsidR="00B77F00" w:rsidRDefault="00865FA3">
      <w:pPr>
        <w:pStyle w:val="Textbody"/>
        <w:jc w:val="both"/>
      </w:pPr>
      <w:r>
        <w:lastRenderedPageBreak/>
        <w:t>2.2.6.</w:t>
      </w:r>
      <w:r>
        <w:tab/>
        <w:t>Wymagania dodatkowe</w:t>
      </w:r>
    </w:p>
    <w:p w:rsidR="00B77F00" w:rsidRDefault="00865FA3">
      <w:pPr>
        <w:pStyle w:val="Textbody"/>
        <w:jc w:val="both"/>
      </w:pPr>
      <w:r>
        <w:t xml:space="preserve">Preparaty stosowane na powłoki </w:t>
      </w:r>
      <w:r>
        <w:t>nawierzchniowe powinny gwarantować możliwość nanoszenia jednorazowo warstwy o grubości do 100 mikro-m w stanie suchym.</w:t>
      </w:r>
    </w:p>
    <w:p w:rsidR="00B77F00" w:rsidRDefault="00865FA3">
      <w:pPr>
        <w:pStyle w:val="Textbody"/>
        <w:jc w:val="both"/>
      </w:pPr>
      <w:r>
        <w:t xml:space="preserve">Podczas przygotowania produktu należy ściśle stosować się do zaleceń producenta i danych zawartych w kartach technicznych poszczególnego </w:t>
      </w:r>
      <w:r>
        <w:t>produktu oraz przestrzegać warunków jego użycia. Na każdym opakowaniu dostarczonej farby muszą być wszystkie napisy po polsku. Farby należy przechowywać w warunkach i okresach czasu określonych przez producenta.</w:t>
      </w:r>
    </w:p>
    <w:p w:rsidR="00B77F00" w:rsidRDefault="00865FA3">
      <w:pPr>
        <w:pStyle w:val="Textbody"/>
        <w:jc w:val="both"/>
      </w:pPr>
      <w:r>
        <w:t>Z uwagi na to, że obecnie w większości stosu</w:t>
      </w:r>
      <w:r>
        <w:t>je się farby dwuskładnikowe należy ściśle przestrzegać i kontrolować podane przez producenta warunki mieszania i czasy przydatności do użycia po zmieszaniu. Na pojemniku ze zmieszaną farbą musi być umieszczona na widocznym maksymalny miejscu czas przydatno</w:t>
      </w:r>
      <w:r>
        <w:t>ści farby do użycia.</w:t>
      </w:r>
    </w:p>
    <w:p w:rsidR="00B77F00" w:rsidRDefault="00865FA3">
      <w:pPr>
        <w:pStyle w:val="Textbody"/>
        <w:jc w:val="both"/>
      </w:pPr>
      <w:r>
        <w:t>2.2.7.</w:t>
      </w:r>
      <w:r>
        <w:tab/>
        <w:t>Składowanie materiałów</w:t>
      </w:r>
    </w:p>
    <w:p w:rsidR="00B77F00" w:rsidRDefault="00865FA3">
      <w:pPr>
        <w:pStyle w:val="Textbody"/>
        <w:jc w:val="both"/>
      </w:pPr>
      <w:r>
        <w:t xml:space="preserve">Wyroby lakierowe należy przechowywać w magazynach zamkniętych, stanowiących wydzielone budynki lub wydzielone pomieszczenia, odpowiadające przepisom dotyczącym magazynów materiałów łatwo palnych zgodnie z </w:t>
      </w:r>
      <w:r>
        <w:t>normą PN-89/C-81400.</w:t>
      </w:r>
    </w:p>
    <w:p w:rsidR="00B77F00" w:rsidRDefault="00865FA3">
      <w:pPr>
        <w:pStyle w:val="Textbody"/>
        <w:jc w:val="both"/>
      </w:pPr>
      <w:r>
        <w:t>Temperatura wewnątrz pomieszczeń magazynowych powinna wynosić od +4°C do +25°C.</w:t>
      </w:r>
    </w:p>
    <w:p w:rsidR="00B77F00" w:rsidRDefault="00B77F00">
      <w:pPr>
        <w:pStyle w:val="Textbody"/>
        <w:jc w:val="both"/>
      </w:pPr>
    </w:p>
    <w:p w:rsidR="00B77F00" w:rsidRDefault="00865FA3">
      <w:pPr>
        <w:pStyle w:val="Textbody"/>
        <w:jc w:val="both"/>
        <w:rPr>
          <w:b/>
          <w:bCs/>
        </w:rPr>
      </w:pPr>
      <w:r>
        <w:rPr>
          <w:b/>
          <w:bCs/>
        </w:rPr>
        <w:t>3.</w:t>
      </w:r>
      <w:r>
        <w:rPr>
          <w:b/>
          <w:bCs/>
        </w:rPr>
        <w:tab/>
        <w:t>Sprzęt</w:t>
      </w:r>
    </w:p>
    <w:p w:rsidR="00B77F00" w:rsidRDefault="00865FA3">
      <w:pPr>
        <w:pStyle w:val="Textbody"/>
        <w:jc w:val="both"/>
      </w:pPr>
      <w:r>
        <w:t xml:space="preserve">3.1. </w:t>
      </w:r>
      <w:r>
        <w:tab/>
        <w:t>Ogólne wymagania dotyczące sprzętu</w:t>
      </w:r>
    </w:p>
    <w:p w:rsidR="00B77F00" w:rsidRDefault="00865FA3">
      <w:pPr>
        <w:pStyle w:val="Textbody"/>
        <w:jc w:val="both"/>
      </w:pPr>
      <w:r>
        <w:t>Ogólne wymagania dotyczące sprzętu podano w ST DM.00.00.00 „Wymagania ogólne”.</w:t>
      </w:r>
    </w:p>
    <w:p w:rsidR="00B77F00" w:rsidRDefault="00865FA3">
      <w:pPr>
        <w:pStyle w:val="Textbody"/>
        <w:jc w:val="both"/>
      </w:pPr>
      <w:r>
        <w:t xml:space="preserve">3.2. </w:t>
      </w:r>
      <w:r>
        <w:tab/>
        <w:t xml:space="preserve">Szczegółowe </w:t>
      </w:r>
      <w:r>
        <w:t>wymagania dotyczące sprzętu</w:t>
      </w:r>
    </w:p>
    <w:p w:rsidR="00B77F00" w:rsidRDefault="00865FA3">
      <w:pPr>
        <w:pStyle w:val="Textbody"/>
        <w:jc w:val="both"/>
      </w:pPr>
      <w:r>
        <w:t>3.2.1.</w:t>
      </w:r>
      <w:r>
        <w:tab/>
        <w:t>Sprzęt do czyszczenia konstrukcji</w:t>
      </w:r>
    </w:p>
    <w:p w:rsidR="00B77F00" w:rsidRDefault="00865FA3">
      <w:pPr>
        <w:pStyle w:val="Textbody"/>
        <w:jc w:val="both"/>
      </w:pPr>
      <w:r>
        <w:t>Czyszczenie konstrukcji należy przeprowadzić mechanicznie urządzeniami o działaniu strumieniowo-ściernym dowolnego typu, zaakceptowanymi przez Inżyniera. Sprzęt do czyszczenia oraz przedm</w:t>
      </w:r>
      <w:r>
        <w:t>uchiwania lub odkurzania oczyszczonych powierzchni musi zapewniać strumień odoliwionego i suchego powietrza.</w:t>
      </w:r>
    </w:p>
    <w:p w:rsidR="00B77F00" w:rsidRDefault="00865FA3">
      <w:pPr>
        <w:pStyle w:val="Textbody"/>
        <w:jc w:val="both"/>
      </w:pPr>
      <w:r>
        <w:t>3.2.2.</w:t>
      </w:r>
      <w:r>
        <w:tab/>
        <w:t>Sprzęt do malowania</w:t>
      </w:r>
    </w:p>
    <w:p w:rsidR="00B77F00" w:rsidRDefault="00865FA3">
      <w:pPr>
        <w:pStyle w:val="Textbody"/>
        <w:jc w:val="both"/>
      </w:pPr>
      <w:r>
        <w:t>Nanoszenie farb należy wykonywać zgodnie z kartami technicznymi produktów, instrukcjami nakładania farb dostarczonymi pr</w:t>
      </w:r>
      <w:r>
        <w:t xml:space="preserve">zez producenta farb. Wymaganie to odnosi się przede wszystkim do metod aplikacji i parametrów technologicznych nanoszenia. Podane w kartach technicznych typy pistoletów i pomp nie mają charakteru obligatoryjnego i mogą być zastąpione sprzętem o zbliżonych </w:t>
      </w:r>
      <w:r>
        <w:t>właściwościach technicznych dostępnym w kraju. Rodzaj użytego sprzętu podlega akceptacji przez Inżyniera. Prawidłowe ustalenie parametrów malowania należy przeprowadzić na próbnych powierzchniach i uzyskać akceptację Inżyniera.</w:t>
      </w:r>
    </w:p>
    <w:p w:rsidR="00B77F00" w:rsidRDefault="00B77F00">
      <w:pPr>
        <w:pStyle w:val="Textbody"/>
        <w:jc w:val="both"/>
      </w:pPr>
    </w:p>
    <w:p w:rsidR="00B77F00" w:rsidRDefault="00865FA3">
      <w:pPr>
        <w:pStyle w:val="Textbody"/>
        <w:jc w:val="both"/>
        <w:rPr>
          <w:b/>
          <w:bCs/>
        </w:rPr>
      </w:pPr>
      <w:r>
        <w:rPr>
          <w:b/>
          <w:bCs/>
        </w:rPr>
        <w:t>4.</w:t>
      </w:r>
      <w:r>
        <w:rPr>
          <w:b/>
          <w:bCs/>
        </w:rPr>
        <w:tab/>
        <w:t>Transport</w:t>
      </w:r>
    </w:p>
    <w:p w:rsidR="00B77F00" w:rsidRDefault="00865FA3">
      <w:pPr>
        <w:pStyle w:val="Textbody"/>
        <w:jc w:val="both"/>
      </w:pPr>
      <w:r>
        <w:t xml:space="preserve">4.1. </w:t>
      </w:r>
      <w:r>
        <w:tab/>
        <w:t>Ogólne w</w:t>
      </w:r>
      <w:r>
        <w:t>ymagania dotyczące transportu</w:t>
      </w:r>
    </w:p>
    <w:p w:rsidR="00B77F00" w:rsidRDefault="00865FA3">
      <w:pPr>
        <w:pStyle w:val="Textbody"/>
        <w:jc w:val="both"/>
      </w:pPr>
      <w:r>
        <w:t>Ogólne wymagania dotyczące transportu podano w ST DM.00.00.00 „Wymagania ogólne”.</w:t>
      </w:r>
    </w:p>
    <w:p w:rsidR="00B77F00" w:rsidRDefault="00865FA3">
      <w:pPr>
        <w:pStyle w:val="Textbody"/>
        <w:jc w:val="both"/>
      </w:pPr>
      <w:r>
        <w:t xml:space="preserve">4.2. </w:t>
      </w:r>
      <w:r>
        <w:tab/>
        <w:t>Szczegółowe wymagania dotyczące transportu</w:t>
      </w:r>
    </w:p>
    <w:p w:rsidR="00B77F00" w:rsidRDefault="00865FA3">
      <w:pPr>
        <w:pStyle w:val="Textbody"/>
        <w:jc w:val="both"/>
      </w:pPr>
      <w:r>
        <w:t>Transport wyrobów lakierowych i rozcieńczalników winien odbywać się z zachowaniem obowiązującyc</w:t>
      </w:r>
      <w:r>
        <w:t>h przepisów o przewozie materiałów niebezpiecznych określonych w normie PN 89/C</w:t>
      </w:r>
      <w:r>
        <w:noBreakHyphen/>
        <w:t>81400.</w:t>
      </w:r>
    </w:p>
    <w:p w:rsidR="00B77F00" w:rsidRDefault="00B77F00">
      <w:pPr>
        <w:pStyle w:val="Textbody"/>
        <w:jc w:val="both"/>
      </w:pPr>
    </w:p>
    <w:p w:rsidR="00B77F00" w:rsidRDefault="00865FA3">
      <w:pPr>
        <w:pStyle w:val="Textbody"/>
        <w:jc w:val="both"/>
        <w:rPr>
          <w:b/>
          <w:bCs/>
        </w:rPr>
      </w:pPr>
      <w:r>
        <w:rPr>
          <w:b/>
          <w:bCs/>
        </w:rPr>
        <w:t>5.</w:t>
      </w:r>
      <w:r>
        <w:rPr>
          <w:b/>
          <w:bCs/>
        </w:rPr>
        <w:tab/>
        <w:t>Wykonanie robót</w:t>
      </w:r>
    </w:p>
    <w:p w:rsidR="00B77F00" w:rsidRDefault="00865FA3">
      <w:pPr>
        <w:pStyle w:val="Textbody"/>
        <w:jc w:val="both"/>
      </w:pPr>
      <w:r>
        <w:t xml:space="preserve">5.1. </w:t>
      </w:r>
      <w:r>
        <w:tab/>
        <w:t>Ogólne wymagania dotyczące wykonania robót</w:t>
      </w:r>
    </w:p>
    <w:p w:rsidR="00B77F00" w:rsidRDefault="00865FA3">
      <w:pPr>
        <w:pStyle w:val="Textbody"/>
        <w:jc w:val="both"/>
      </w:pPr>
      <w:r>
        <w:t>Ogólne wymagania dotyczące wykonania robót podano w ST DM.00.00.00 „Wymagania ogólne”.</w:t>
      </w:r>
    </w:p>
    <w:p w:rsidR="00B77F00" w:rsidRDefault="00865FA3">
      <w:pPr>
        <w:pStyle w:val="Textbody"/>
        <w:jc w:val="both"/>
      </w:pPr>
      <w:r>
        <w:t xml:space="preserve">5.2. </w:t>
      </w:r>
      <w:r>
        <w:tab/>
        <w:t>Szczegó</w:t>
      </w:r>
      <w:r>
        <w:t>łowe wymagania dotyczące wykonania robót</w:t>
      </w:r>
    </w:p>
    <w:p w:rsidR="00B77F00" w:rsidRDefault="00865FA3">
      <w:pPr>
        <w:pStyle w:val="Textbody"/>
        <w:jc w:val="both"/>
      </w:pPr>
      <w:r>
        <w:lastRenderedPageBreak/>
        <w:t>Wykonawca przedstawi Inżynierowi do akceptacji projekt organizacji i harmonogram robót uwzględniające wszystkie warunki w jakich będzie wykonane oczyszczanie i pokrywanie powłokami malarskimi.</w:t>
      </w:r>
    </w:p>
    <w:p w:rsidR="00B77F00" w:rsidRDefault="00865FA3">
      <w:pPr>
        <w:pStyle w:val="Textbody"/>
        <w:jc w:val="both"/>
      </w:pPr>
      <w:r>
        <w:t>5.2.1.</w:t>
      </w:r>
      <w:r>
        <w:tab/>
        <w:t>Przygotowanie p</w:t>
      </w:r>
      <w:r>
        <w:t>owierzchni do malowania</w:t>
      </w:r>
    </w:p>
    <w:p w:rsidR="00B77F00" w:rsidRDefault="00865FA3">
      <w:pPr>
        <w:pStyle w:val="Textbody"/>
        <w:jc w:val="both"/>
      </w:pPr>
      <w:r>
        <w:t>5.2.1.1.</w:t>
      </w:r>
      <w:r>
        <w:tab/>
        <w:t>Oczyszczenie powierzchni nowych elementów</w:t>
      </w:r>
    </w:p>
    <w:p w:rsidR="00B77F00" w:rsidRDefault="00865FA3">
      <w:pPr>
        <w:pStyle w:val="Textbody"/>
        <w:jc w:val="both"/>
      </w:pPr>
      <w:r>
        <w:t>Powierzchnie przewidziane do malowania należy oczyścić. Oczyszczenie polega na usunięciu z powierzchni stalowych zanieczyszczeń w postaci zgorzeliny, rdzy, tłuszczów, smarów, kurzu,</w:t>
      </w:r>
      <w:r>
        <w:t xml:space="preserve"> pyłu, wilgoci i resztek z procesu spawania. Podstawową czynnością jest usunięcie zgorzeliny i rdzy, co należy wykonać przy pomocy metody obróbki strumieniowo - ściernej (śrutowanie). Przedtem należy jednak usunąć z powierzchni konstrukcji zanieczyszczenia</w:t>
      </w:r>
      <w:r>
        <w:t xml:space="preserve"> organiczne (tłuszcze, smary) - zaleca się używanie do tego celu rozcieńczalników, przy czym dopuszcza się używanie innych środków o podobnej skuteczności.</w:t>
      </w:r>
    </w:p>
    <w:p w:rsidR="00B77F00" w:rsidRDefault="00865FA3">
      <w:pPr>
        <w:pStyle w:val="Textbody"/>
        <w:jc w:val="both"/>
      </w:pPr>
      <w:r>
        <w:t>Wymagana chropowatość powierzchni przed ułożeniem warstwy gruntującej wynosi Ry5 (Rz) = 25</w:t>
      </w:r>
      <w:r>
        <w:noBreakHyphen/>
        <w:t>75 mikro-</w:t>
      </w:r>
      <w:r>
        <w:t>m, wg PN-ISO 8503.</w:t>
      </w:r>
    </w:p>
    <w:p w:rsidR="00B77F00" w:rsidRDefault="00865FA3">
      <w:pPr>
        <w:pStyle w:val="Textbody"/>
        <w:jc w:val="both"/>
      </w:pPr>
      <w:r>
        <w:t>W miejscach spoin w celu usunięcia topnika po spawaniu, wyprysków i wygładzenia ostrych krawędzi należy wykonać szlifowanie.</w:t>
      </w:r>
    </w:p>
    <w:p w:rsidR="00B77F00" w:rsidRDefault="00865FA3">
      <w:pPr>
        <w:pStyle w:val="Textbody"/>
        <w:jc w:val="both"/>
      </w:pPr>
      <w:r>
        <w:t>Pył i kurz należy usunąć z oczyszczonych powierzchni bezpośrednio przed malowaniem przy pomocy szczotek z włos</w:t>
      </w:r>
      <w:r>
        <w:t>ia lub przy pomocy przedmuchiwania strumieniem suchego, odoliwionego powietrza bądź przy pomocy odkurzaczy przemysłowych.</w:t>
      </w:r>
    </w:p>
    <w:p w:rsidR="00B77F00" w:rsidRDefault="00865FA3">
      <w:pPr>
        <w:pStyle w:val="Textbody"/>
        <w:jc w:val="both"/>
      </w:pPr>
      <w:r>
        <w:t>Przygotowanie powierzchni stali do malowania musi być zgodne z normą PN-ISO 8501.</w:t>
      </w:r>
    </w:p>
    <w:p w:rsidR="00B77F00" w:rsidRDefault="00865FA3">
      <w:pPr>
        <w:pStyle w:val="Textbody"/>
        <w:jc w:val="both"/>
      </w:pPr>
      <w:r>
        <w:t xml:space="preserve">Oczyszczone powierzchnie należy pokryć farbą do </w:t>
      </w:r>
      <w:r>
        <w:t>gruntowania nie później niż po upływie 3 godzin od czyszczenia.</w:t>
      </w:r>
    </w:p>
    <w:p w:rsidR="00B77F00" w:rsidRDefault="00865FA3">
      <w:pPr>
        <w:pStyle w:val="Textbody"/>
        <w:jc w:val="both"/>
      </w:pPr>
      <w:r>
        <w:t>Dla nowych konstrukcji wymagane jest oczyszczenie powierzchni do stopnia czystości Sa 2½ wg PN</w:t>
      </w:r>
      <w:r>
        <w:noBreakHyphen/>
        <w:t>ISO 8503.</w:t>
      </w:r>
    </w:p>
    <w:p w:rsidR="00B77F00" w:rsidRDefault="00865FA3">
      <w:pPr>
        <w:pStyle w:val="Textbody"/>
        <w:jc w:val="both"/>
      </w:pPr>
      <w:r>
        <w:t>Sposób czyszczenia pozostawia się do uznania Wykonawcy. Zabrania się stosowania do ocz</w:t>
      </w:r>
      <w:r>
        <w:t>yszczania piasku kwarcowego, zaleca się użycie śrutu kulistego (1,0-1,8mm), śrutu łamanego ostrokrawędziowego (0,7-1,4mm) lub śrutu ciętego Ø0,4- Ø0,6mm i długości 2mm. Oczyszczenie musi gwarantować uzyskanie wymaganego stopnia czystości i być zaakceptowan</w:t>
      </w:r>
      <w:r>
        <w:t>y przez Inżyniera. Inżynier ma prawo dokonania odbioru oczyszczanych powierzchni i wyrażenia zgody na nanoszenie powłoki malarskiej.</w:t>
      </w:r>
    </w:p>
    <w:p w:rsidR="00B77F00" w:rsidRDefault="00865FA3">
      <w:pPr>
        <w:pStyle w:val="Textbody"/>
        <w:jc w:val="both"/>
      </w:pPr>
      <w:r>
        <w:t>Wykonawca ma obowiązek zabezpieczyć miejsce prowadzenia robót związanych z czyszczeniem i malowaniem w celu zminimalizowan</w:t>
      </w:r>
      <w:r>
        <w:t>ia uciążliwości dla użytkowników przyległego systemu dróg i ochrony środowiska przed zanieczyszczeniami pochodzącymi z oczyszczanych powłok, materiału czyszczącego, farb itp.</w:t>
      </w:r>
    </w:p>
    <w:p w:rsidR="00B77F00" w:rsidRDefault="00865FA3">
      <w:pPr>
        <w:pStyle w:val="Textbody"/>
        <w:jc w:val="both"/>
      </w:pPr>
      <w:r>
        <w:t>Sposób zabezpieczenia musi być zaakceptowany przez Inżyniera.</w:t>
      </w:r>
    </w:p>
    <w:p w:rsidR="00B77F00" w:rsidRDefault="00865FA3">
      <w:pPr>
        <w:pStyle w:val="Textbody"/>
        <w:jc w:val="both"/>
      </w:pPr>
      <w:r>
        <w:t>5.2.1.2.</w:t>
      </w:r>
      <w:r>
        <w:tab/>
        <w:t xml:space="preserve">Usuniecie </w:t>
      </w:r>
      <w:r>
        <w:t>istniejących powłok malarskich.</w:t>
      </w:r>
    </w:p>
    <w:p w:rsidR="00B77F00" w:rsidRDefault="00865FA3">
      <w:pPr>
        <w:pStyle w:val="Textbody"/>
        <w:jc w:val="both"/>
      </w:pPr>
      <w:r>
        <w:t>Usuniecie z powierzchni elementów z istniejących powłok malarskich można wykonywać wyłącznie mechanicznie poprzez obróbkę strumieniowo – ścierną, analogicznie do przygotowania nowych powierzchni zgodnie z punktem 5.2.1.1 Dop</w:t>
      </w:r>
      <w:r>
        <w:t>uszcza się możliwość usuwania istniejących powłok preparatami chemicznymi dobieranymi do określonych rodzajów powłok (np. pasty rozpuszczalnikowi lub pasty alkaliczne).</w:t>
      </w:r>
    </w:p>
    <w:p w:rsidR="00B77F00" w:rsidRDefault="00865FA3">
      <w:pPr>
        <w:pStyle w:val="Textbody"/>
        <w:jc w:val="both"/>
      </w:pPr>
      <w:r>
        <w:t>Dla istniejących konstrukcji wymagane jest oczyszczenie powierzchni do stopnia czystoś</w:t>
      </w:r>
      <w:r>
        <w:t>ci Sa 2 wg PN-ISO 8503.</w:t>
      </w:r>
    </w:p>
    <w:p w:rsidR="00B77F00" w:rsidRDefault="00865FA3">
      <w:pPr>
        <w:pStyle w:val="Textbody"/>
        <w:jc w:val="both"/>
      </w:pPr>
      <w:r>
        <w:t>5.2.1.3.</w:t>
      </w:r>
      <w:r>
        <w:tab/>
        <w:t>Przygotowanie powierzchni powłok do malowania renowacyjnego (odnowienie powłoki).</w:t>
      </w:r>
    </w:p>
    <w:p w:rsidR="00B77F00" w:rsidRDefault="00865FA3">
      <w:pPr>
        <w:pStyle w:val="Textbody"/>
        <w:jc w:val="both"/>
      </w:pPr>
      <w:r>
        <w:t>Zakres istniejących powłoki malarskich przewidzianych do malowania renowacyjnego określają Rysunki. Jeżeli w Rysunkach nie wskazano powłok do</w:t>
      </w:r>
      <w:r>
        <w:t xml:space="preserve"> malowania renowacyjnego, to należy rozumieć, że powłoki na wskazanych powierzchniach podlegają odtworzeniu w całości, a ze wskazanych powierzchni do malowania należy całkowicie usunąć istniejące powłoki zgodnie z punktem 5.2.1.2.</w:t>
      </w:r>
    </w:p>
    <w:p w:rsidR="00B77F00" w:rsidRDefault="00865FA3">
      <w:pPr>
        <w:pStyle w:val="Textbody"/>
        <w:jc w:val="both"/>
      </w:pPr>
      <w:r>
        <w:t>W przypadku mocno przyleg</w:t>
      </w:r>
      <w:r>
        <w:t>ających powłok przeznaczonych do malowania renowacyjnego powłoki te pozostawia się w stanie nienaruszonym. Przydatność powłoki do malowania renowacyjnego należy potwierdzić badaniem przyczepności istniejącej powłoki. Przyczepność istniejących powłok powinn</w:t>
      </w:r>
      <w:r>
        <w:t>a odpowiadać przyczepności nowych powłok.</w:t>
      </w:r>
    </w:p>
    <w:p w:rsidR="00B77F00" w:rsidRDefault="00865FA3">
      <w:pPr>
        <w:pStyle w:val="Textbody"/>
        <w:jc w:val="both"/>
      </w:pPr>
      <w:r>
        <w:lastRenderedPageBreak/>
        <w:t>Przygotowanie powierzchni do malowania renowacyjnego polega na jej oczyszczeniu z brudu, kurzu, tłuszczów, smarów itp. Dodatkowe zabiegi związane z przygotowaniem powierzchni bezpośrednio przed nałożeniem powłoki (</w:t>
      </w:r>
      <w:r>
        <w:t>np. zmatowienie, gruntowanie środkami powierzchniowo czynnymi) wykonuje się w dostosowaniu do przyjętego sytemu zabezpieczenia antykorozyjnego.</w:t>
      </w:r>
    </w:p>
    <w:p w:rsidR="00B77F00" w:rsidRDefault="00865FA3">
      <w:pPr>
        <w:pStyle w:val="Textbody"/>
        <w:jc w:val="both"/>
      </w:pPr>
      <w:r>
        <w:t>5.2.2.</w:t>
      </w:r>
      <w:r>
        <w:tab/>
        <w:t>Nanoszenie powłok malarskich</w:t>
      </w:r>
    </w:p>
    <w:p w:rsidR="00B77F00" w:rsidRDefault="00865FA3">
      <w:pPr>
        <w:pStyle w:val="Textbody"/>
        <w:jc w:val="both"/>
      </w:pPr>
      <w:r>
        <w:t>Nanoszenie farb należy wykonywać zgodnie z kartami technicznymi produktów. I</w:t>
      </w:r>
      <w:r>
        <w:t>nżynier może zarządzić wykonanie próbnych powłok malarskich na wytypowanych fragmentach konstrukcji w celu oceny ich jakości, przyczepności do podłoża, bądź przydatności zaproponowanych przez Wykonawcę technik nanoszenia powłok i eliminacji technik nie gwa</w:t>
      </w:r>
      <w:r>
        <w:t>rantujących odpowiedniej jakości robót.</w:t>
      </w:r>
    </w:p>
    <w:p w:rsidR="00B77F00" w:rsidRDefault="00865FA3">
      <w:pPr>
        <w:pStyle w:val="Textbody"/>
        <w:jc w:val="both"/>
      </w:pPr>
      <w:r>
        <w:t>5.2.2.1.</w:t>
      </w:r>
      <w:r>
        <w:tab/>
        <w:t>Warunki wykonywania prac malarskich</w:t>
      </w:r>
    </w:p>
    <w:p w:rsidR="00B77F00" w:rsidRDefault="00865FA3">
      <w:pPr>
        <w:pStyle w:val="Textbody"/>
        <w:jc w:val="both"/>
      </w:pPr>
      <w:r>
        <w:t>Temperatura farby podczas jej nanoszenia, temperatura malowanej konstrukcji, a także temperatura i wilgotność względna powietrza powinny odpowiadać warunkom podanym w kart</w:t>
      </w:r>
      <w:r>
        <w:t>ach technicznych poszczególnych produktów. Zwraca się uwagę na zróżnicowaną tolerancję poszczególnych produktów, na wilgotność powietrza oraz temperaturę powietrza i malowanej konstrukcji.</w:t>
      </w:r>
    </w:p>
    <w:p w:rsidR="00B77F00" w:rsidRDefault="00865FA3">
      <w:pPr>
        <w:pStyle w:val="Textbody"/>
        <w:jc w:val="both"/>
      </w:pPr>
      <w:r>
        <w:t>Nie wolno prowadzić robót malarskich w czasie deszczu, mgły i w cza</w:t>
      </w:r>
      <w:r>
        <w:t>sie występowania rosy - temperatura powinna być wyższa o co najmniej 3°C od temperatury punktu rosy. Nie wolno nanosić powłok malarskich na nasłonecznione elementy konstrukcji oraz przy silnym wietrze (4°Beauforta lub silniejszym). Najodpowiedniejsza tempe</w:t>
      </w:r>
      <w:r>
        <w:t>ratura powietrza wynosi 15°C - 25°C.</w:t>
      </w:r>
    </w:p>
    <w:p w:rsidR="00B77F00" w:rsidRDefault="00865FA3">
      <w:pPr>
        <w:pStyle w:val="Textbody"/>
        <w:jc w:val="both"/>
      </w:pPr>
      <w:r>
        <w:t>Należy przestrzegać warunku, by świeża powłoka malarska nie była narażona w czasie schnięcia na działanie kurzu i deszczu. Należy przestrzegać czasu schnięcia poszczególnych warstw.</w:t>
      </w:r>
    </w:p>
    <w:p w:rsidR="00B77F00" w:rsidRDefault="00865FA3">
      <w:pPr>
        <w:pStyle w:val="Textbody"/>
        <w:jc w:val="both"/>
      </w:pPr>
      <w:r>
        <w:t>5.2.2.2.</w:t>
      </w:r>
      <w:r>
        <w:tab/>
        <w:t>Przygotowanie materiałów ma</w:t>
      </w:r>
      <w:r>
        <w:t>larskich oraz sprzętu</w:t>
      </w:r>
    </w:p>
    <w:p w:rsidR="00B77F00" w:rsidRDefault="00865FA3">
      <w:pPr>
        <w:pStyle w:val="Textbody"/>
        <w:jc w:val="both"/>
      </w:pPr>
      <w:r>
        <w:t>Przed użyciem materiałów malarskich należy sprawdzić ich atesty jakości, termin przydatności do aplikacji. Inżynier może zalecić wykonanie badań kontrolnych, wybranych lub pełnych, przewidzianych w zestawie wymagań dla danego materiał</w:t>
      </w:r>
      <w:r>
        <w:t>u i wg metod przewidzianych w odpowiednich normach.</w:t>
      </w:r>
    </w:p>
    <w:p w:rsidR="00B77F00" w:rsidRDefault="00865FA3">
      <w:pPr>
        <w:pStyle w:val="Textbody"/>
        <w:jc w:val="both"/>
      </w:pPr>
      <w:r>
        <w:t>Każdy materiał powłokowy należy przygotowywać do stosowania ściśle wg procedury podanej we właściwej dla danego materiału karcie technicznej. W ogólnym ujęciu na procedurę tą składają się: mieszanie zawar</w:t>
      </w:r>
      <w:r>
        <w:t xml:space="preserve">tości poszczególnych opakowań w celu jej ujednolicenia, mieszanie ze sobą w określonych proporcjach i określony sposób poszczególnych składników (opakowań), dodawanie rozcieńczalnika o rodzaju i w ilościach dostosowanych do metody aplikacji (i ewentualnie </w:t>
      </w:r>
      <w:r>
        <w:t>do temperatury otoczenia).</w:t>
      </w:r>
    </w:p>
    <w:p w:rsidR="00B77F00" w:rsidRDefault="00865FA3">
      <w:pPr>
        <w:pStyle w:val="Textbody"/>
        <w:jc w:val="both"/>
      </w:pPr>
      <w:r>
        <w:t>Zaleca się używanie mieszadeł mechanicznych.</w:t>
      </w:r>
    </w:p>
    <w:p w:rsidR="00B77F00" w:rsidRDefault="00865FA3">
      <w:pPr>
        <w:pStyle w:val="Textbody"/>
        <w:jc w:val="both"/>
      </w:pPr>
      <w:r>
        <w:t>Zwraca się uwagę, że wytypowane w niniejszej Specyfikacji farby są chemoutwardzalne i w związku z tym mają ograniczoną żywotność po wymieszaniu składników. Dlatego należy bezwzględni</w:t>
      </w:r>
      <w:r>
        <w:t>e przestrzegać zużywania całej przygotowanej do stosowania ilości farby w okresie, w którym zachowuje ona swoją żywotność.</w:t>
      </w:r>
    </w:p>
    <w:p w:rsidR="00B77F00" w:rsidRDefault="00865FA3">
      <w:pPr>
        <w:pStyle w:val="Textbody"/>
        <w:jc w:val="both"/>
      </w:pPr>
      <w:r>
        <w:t xml:space="preserve">Sprzęt do malowania (pistolety natryskowe, pompy, węże, pędzle) należy myć bezpośrednio po użyciu stosując rozcieńczalniki zalecane </w:t>
      </w:r>
      <w:r>
        <w:t>przez producentów farb.</w:t>
      </w:r>
    </w:p>
    <w:p w:rsidR="00B77F00" w:rsidRDefault="00865FA3">
      <w:pPr>
        <w:pStyle w:val="Textbody"/>
        <w:jc w:val="both"/>
      </w:pPr>
      <w:r>
        <w:t>5.2.2.3.</w:t>
      </w:r>
      <w:r>
        <w:tab/>
        <w:t>Gruntowanie i nakładanie międzywarstwy</w:t>
      </w:r>
    </w:p>
    <w:p w:rsidR="00B77F00" w:rsidRDefault="00865FA3">
      <w:pPr>
        <w:pStyle w:val="Textbody"/>
        <w:jc w:val="both"/>
      </w:pPr>
      <w:r>
        <w:t xml:space="preserve">Farby do gruntowania należy nanosić w sposób określony w kartach technicznych odpowiadających tym farbom. Szczególną uwagę należy poświęcić starannemu zagruntowaniu spoin i krawędzi z </w:t>
      </w:r>
      <w:r>
        <w:t>tym, że krawędzie przewidziane do wykonania spoin nie powinny mieć powłoki malarskiej w pasach o szerokości 50mm. Pasy te na okres transportu i składowania konstrukcji powinny być zabezpieczone spawalnym gruntem ochrony czasowej zapewniający ochronę na okr</w:t>
      </w:r>
      <w:r>
        <w:t>es do 12 miesięcy. Grunt ten musi być zgodny z innymi stosowanymi gruntami.</w:t>
      </w:r>
    </w:p>
    <w:p w:rsidR="00B77F00" w:rsidRDefault="00865FA3">
      <w:pPr>
        <w:pStyle w:val="Textbody"/>
        <w:jc w:val="both"/>
      </w:pPr>
      <w:r>
        <w:t>Nanoszenie następnej warstwy - międzywarstwy może się odbywać po upływie wymaganego podanego przez producenta dla danego gruntu czasu do nakładania następnej powłoki. Czas ten zal</w:t>
      </w:r>
      <w:r>
        <w:t>eży głównie od temperatury i wilgotności w zależności od stosowanych preparatów.</w:t>
      </w:r>
    </w:p>
    <w:p w:rsidR="00B77F00" w:rsidRDefault="00865FA3">
      <w:pPr>
        <w:pStyle w:val="Textbody"/>
        <w:jc w:val="both"/>
      </w:pPr>
      <w:r>
        <w:t>5.2.2.4.</w:t>
      </w:r>
      <w:r>
        <w:tab/>
        <w:t>Nanoszenie farb nawierzchniowych</w:t>
      </w:r>
    </w:p>
    <w:p w:rsidR="00B77F00" w:rsidRDefault="00865FA3">
      <w:pPr>
        <w:pStyle w:val="Textbody"/>
        <w:jc w:val="both"/>
      </w:pPr>
      <w:r>
        <w:t>Farby nawierzchniowe należy nanosić na konstrukcje już pokryte międzywarstwą. Powierzchnia nowych elementów po transporcie i składow</w:t>
      </w:r>
      <w:r>
        <w:t xml:space="preserve">aniu musi zostać oczyszczona. Jeżeli został przekroczony okres jaki </w:t>
      </w:r>
      <w:r>
        <w:lastRenderedPageBreak/>
        <w:t>producent farb przewiduje pomiędzy nakładaniem międzywarstwy a nakładaniem nawierzchniowej farby należy przeprowadzić zalecane przez niego przygotowanie powierzchni np. przez umycie powier</w:t>
      </w:r>
      <w:r>
        <w:t>zchni odpowiednim rozcieńczalnikiem. Farby nawierzchniowe należy nanosić w sposób określony w kartach technicznych, odpowiadających tym farbom.</w:t>
      </w:r>
    </w:p>
    <w:p w:rsidR="00B77F00" w:rsidRDefault="00865FA3">
      <w:pPr>
        <w:pStyle w:val="Textbody"/>
        <w:jc w:val="both"/>
      </w:pPr>
      <w:r>
        <w:t>5.2.2.5.</w:t>
      </w:r>
      <w:r>
        <w:tab/>
        <w:t>Malowanie konstrukcji w miejscach styku</w:t>
      </w:r>
    </w:p>
    <w:p w:rsidR="00B77F00" w:rsidRDefault="00865FA3">
      <w:pPr>
        <w:pStyle w:val="Textbody"/>
        <w:jc w:val="both"/>
      </w:pPr>
      <w:r>
        <w:t xml:space="preserve">Malowanie spoin po ich wykonaniu wymaga bardzo starannego </w:t>
      </w:r>
      <w:r>
        <w:t>oczyszczenia przylegających powierzchni stalowych. Szwy spawalnicze należy wyrównać przez oszlifowanie i natychmiast po oczyszczeniu nałożyć warstwę farby do gruntowania, a następne warstwy nanosić wg zasad niniejszej Specyfikacji.</w:t>
      </w:r>
    </w:p>
    <w:p w:rsidR="00B77F00" w:rsidRDefault="00865FA3">
      <w:pPr>
        <w:pStyle w:val="Textbody"/>
        <w:jc w:val="both"/>
      </w:pPr>
      <w:r>
        <w:t>5.2.2.6.</w:t>
      </w:r>
      <w:r>
        <w:tab/>
        <w:t>Powierzchnie pr</w:t>
      </w:r>
      <w:r>
        <w:t>zeznaczone do zabetonowania</w:t>
      </w:r>
    </w:p>
    <w:p w:rsidR="00B77F00" w:rsidRDefault="00865FA3">
      <w:pPr>
        <w:pStyle w:val="Textbody"/>
        <w:jc w:val="both"/>
      </w:pPr>
      <w:r>
        <w:t>Powierzchni przeznaczonych do późniejszego zabetonowania (np. górne powierzchnie pasów górnych mostów zespolonych) nie należy pokrywać powłokami malarskimi.</w:t>
      </w:r>
    </w:p>
    <w:p w:rsidR="00B77F00" w:rsidRDefault="00865FA3">
      <w:pPr>
        <w:pStyle w:val="Textbody"/>
        <w:jc w:val="both"/>
      </w:pPr>
      <w:r>
        <w:t>Powierzchnie te bezpośrednio przed ułożeniem betonu należy oczyścić sz</w:t>
      </w:r>
      <w:r>
        <w:t>czotkami.</w:t>
      </w:r>
    </w:p>
    <w:p w:rsidR="00B77F00" w:rsidRDefault="00865FA3">
      <w:pPr>
        <w:pStyle w:val="Textbody"/>
        <w:jc w:val="both"/>
      </w:pPr>
      <w:r>
        <w:t>5.2.3.</w:t>
      </w:r>
      <w:r>
        <w:tab/>
        <w:t>Użytkowanie powłok malarskich</w:t>
      </w:r>
    </w:p>
    <w:p w:rsidR="00B77F00" w:rsidRDefault="00865FA3">
      <w:pPr>
        <w:pStyle w:val="Textbody"/>
        <w:jc w:val="both"/>
      </w:pPr>
      <w:r>
        <w:t>Konstrukcjom zagruntowanym należy w czasie ich składowania zapewnić odpowiednie warunki, chroniąc od opadów atmosferycznych, kurzu i brudu. Powłoki malarskie winny być chronione w czasie transportu elementów p</w:t>
      </w:r>
      <w:r>
        <w:t>rzez odpowiednie przekładki z gumy lub filcu, a elementy muszą być odpowiednio mocowane. Elementy konstrukcyjne powinny być zaopatrzone w uchwyty ułatwiające załadunek i rozładunek. Nie dopuszcza się składowania elementów konstrukcji bezpośrednio na ziemi,</w:t>
      </w:r>
      <w:r>
        <w:t xml:space="preserve"> winny być składowane na podkładkach z drewna, stali lub betonu, co najmniej 300mm nad poziomem terenu.</w:t>
      </w:r>
    </w:p>
    <w:p w:rsidR="00B77F00" w:rsidRDefault="00865FA3">
      <w:pPr>
        <w:pStyle w:val="Textbody"/>
        <w:jc w:val="both"/>
      </w:pPr>
      <w:r>
        <w:t>Elementy zagruntowane można transportować po całkowitym wyschnięciu powłoki.</w:t>
      </w:r>
    </w:p>
    <w:p w:rsidR="00B77F00" w:rsidRDefault="00865FA3">
      <w:pPr>
        <w:pStyle w:val="Textbody"/>
        <w:jc w:val="both"/>
      </w:pPr>
      <w:r>
        <w:t>Nanoszenie betonu na elementy lub układanie prefabrykatów, bądź asfaltu la</w:t>
      </w:r>
      <w:r>
        <w:t>nego, może mieć miejsce dopiero po okresie aklimatyzacji (sezonowaniu) powłoki.</w:t>
      </w:r>
    </w:p>
    <w:p w:rsidR="00B77F00" w:rsidRDefault="00865FA3">
      <w:pPr>
        <w:pStyle w:val="Textbody"/>
        <w:jc w:val="both"/>
      </w:pPr>
      <w:r>
        <w:t>5.2.3.</w:t>
      </w:r>
      <w:r>
        <w:tab/>
        <w:t>Warunki dotyczące bezpieczeństwa i higieny pracy</w:t>
      </w:r>
    </w:p>
    <w:p w:rsidR="00B77F00" w:rsidRDefault="00865FA3">
      <w:pPr>
        <w:pStyle w:val="Textbody"/>
        <w:jc w:val="both"/>
      </w:pPr>
      <w:r>
        <w:t>Prace związane z wykonaniem zabezpieczenia antykorozyjnego stwarzają duże zagrożenie dla zdrowia pracowników, należy wi</w:t>
      </w:r>
      <w:r>
        <w:t>ęc przestrzegać poniższych zaleceń odnośnie wykonywanych prac:</w:t>
      </w:r>
    </w:p>
    <w:p w:rsidR="00B77F00" w:rsidRDefault="00865FA3">
      <w:pPr>
        <w:pStyle w:val="Textbody"/>
        <w:jc w:val="both"/>
      </w:pPr>
      <w:r>
        <w:t>nie używać do oczyszczania piasku kwarcowego,</w:t>
      </w:r>
    </w:p>
    <w:p w:rsidR="00B77F00" w:rsidRDefault="00865FA3">
      <w:pPr>
        <w:pStyle w:val="Textbody"/>
        <w:jc w:val="both"/>
      </w:pPr>
      <w:r>
        <w:t>czyszczenie strumieniowo-ścierne winno odbywać się w zamkniętych pomieszczeniach obsługiwanych z zewnątrz. Gdy odbywa się ono z udziałem pracownika</w:t>
      </w:r>
      <w:r>
        <w:t>, to należy go zaopatrzyć w pyłoszczelny skafander z doprowadzeniem i odprowadzeniem powietrza. Przy śrutowaniu pracownik winien mieć kask dźwiękochłonny, a przy czyszczeniu szczotkami okulary ochronne,</w:t>
      </w:r>
    </w:p>
    <w:p w:rsidR="00B77F00" w:rsidRDefault="00865FA3">
      <w:pPr>
        <w:pStyle w:val="Textbody"/>
        <w:jc w:val="both"/>
      </w:pPr>
      <w:r>
        <w:t>przy pracach związanych z transportem, przechowywani</w:t>
      </w:r>
      <w:r>
        <w:t>em i nakładaniem materiałów malarskich należy przestrzegać zasad higieny osobistej, a w szczególności nie przechowywać żywności i ubrania w pomieszczeniach roboczych i w pobliżu stanowisk pracy, nie spożywać posiłków w miejscach pracy, ręce myć w przypadku</w:t>
      </w:r>
      <w:r>
        <w:t xml:space="preserve"> zabrudzenia farbą tamponem zwilżonym w rozcieńczalniku, a po jego odparowaniu wodą z mydłem, skórę rąk i twarzy posmarować przed pracą odpowiednim kremem ochronnym.</w:t>
      </w:r>
    </w:p>
    <w:p w:rsidR="00B77F00" w:rsidRDefault="00865FA3">
      <w:pPr>
        <w:pStyle w:val="Textbody"/>
        <w:jc w:val="both"/>
      </w:pPr>
      <w:r>
        <w:t>Wykonawca ma obowiązek zebrania i usunięcia z placu budowy pozostałości farb, materiału c</w:t>
      </w:r>
      <w:r>
        <w:t>zyszczącego oraz zanieczyszczeń pochodzących z oczyszczanych powłok, itp. do miejsca składowania i utylizacji za pomocą środków transportowych zaakceptowanych przez Inżyniera,</w:t>
      </w:r>
    </w:p>
    <w:p w:rsidR="00B77F00" w:rsidRDefault="00865FA3">
      <w:pPr>
        <w:pStyle w:val="Textbody"/>
        <w:jc w:val="both"/>
      </w:pPr>
      <w:r>
        <w:t>Wykonawca ma obowiązek oddać do analizy przez uprawnioną jednostkę próbki usunię</w:t>
      </w:r>
      <w:r>
        <w:t>tych powłok malarskich w celu zbadania, czy nie występują w niej związki ołowiu. W przypadku wykrycia związków ołowiu należy wszelkie odpady zawierające ołów dostarczyć celem utylizacji do uprawnionej jednostki.</w:t>
      </w:r>
    </w:p>
    <w:p w:rsidR="00B77F00" w:rsidRDefault="00B77F00">
      <w:pPr>
        <w:pStyle w:val="Textbody"/>
        <w:jc w:val="both"/>
        <w:rPr>
          <w:b/>
          <w:bCs/>
        </w:rPr>
      </w:pPr>
    </w:p>
    <w:p w:rsidR="00B77F00" w:rsidRDefault="00865FA3">
      <w:pPr>
        <w:pStyle w:val="Textbody"/>
        <w:jc w:val="both"/>
        <w:rPr>
          <w:b/>
          <w:bCs/>
        </w:rPr>
      </w:pPr>
      <w:r>
        <w:rPr>
          <w:b/>
          <w:bCs/>
        </w:rPr>
        <w:t>6.</w:t>
      </w:r>
      <w:r>
        <w:rPr>
          <w:b/>
          <w:bCs/>
        </w:rPr>
        <w:tab/>
        <w:t>Kontrola jakości robót</w:t>
      </w:r>
    </w:p>
    <w:p w:rsidR="00B77F00" w:rsidRDefault="00865FA3">
      <w:pPr>
        <w:pStyle w:val="Textbody"/>
        <w:jc w:val="both"/>
      </w:pPr>
      <w:r>
        <w:t xml:space="preserve">6.1. </w:t>
      </w:r>
      <w:r>
        <w:tab/>
        <w:t>Ogólne zasa</w:t>
      </w:r>
      <w:r>
        <w:t>dy kontroli jakości robót</w:t>
      </w:r>
    </w:p>
    <w:p w:rsidR="00B77F00" w:rsidRDefault="00865FA3">
      <w:pPr>
        <w:pStyle w:val="Textbody"/>
        <w:jc w:val="both"/>
      </w:pPr>
      <w:r>
        <w:t>Ogólne zasady kontroli jakości robót podano w ST DM.00.00.00 „Wymagania ogólne”.</w:t>
      </w:r>
    </w:p>
    <w:p w:rsidR="00B77F00" w:rsidRDefault="00865FA3">
      <w:pPr>
        <w:pStyle w:val="Textbody"/>
        <w:jc w:val="both"/>
      </w:pPr>
      <w:r>
        <w:t xml:space="preserve">6.2. </w:t>
      </w:r>
      <w:r>
        <w:tab/>
        <w:t>Szczegółowe zasady kontroli jakości robót</w:t>
      </w:r>
    </w:p>
    <w:p w:rsidR="00B77F00" w:rsidRDefault="00865FA3">
      <w:pPr>
        <w:pStyle w:val="Textbody"/>
        <w:jc w:val="both"/>
      </w:pPr>
      <w:r>
        <w:lastRenderedPageBreak/>
        <w:t>6.2.1.</w:t>
      </w:r>
      <w:r>
        <w:tab/>
        <w:t>Sprawdzenie jakości materiałów malarskich</w:t>
      </w:r>
    </w:p>
    <w:p w:rsidR="00B77F00" w:rsidRDefault="00865FA3">
      <w:pPr>
        <w:pStyle w:val="Textbody"/>
        <w:jc w:val="both"/>
      </w:pPr>
      <w:r>
        <w:t>Ocena materiałów malarskich winna być oparta na ates</w:t>
      </w:r>
      <w:r>
        <w:t>tach Producenta. Producent jest zobowiązany przedstawić orzeczenie kontroli o jakości wyrobu, a na życzenie Inżyniera zaświadczenie o wynikach ostatnio przeprowadzonych badań pełnych danego materiału. W przypadku braku atestu, Wykonawca powinien przedstawi</w:t>
      </w:r>
      <w:r>
        <w:t>ć własne badania wykonane zgodnie z metodami badań określonymi w normach przedmiotowych i w zakresie badań wymaganych przez Inżyniera.</w:t>
      </w:r>
    </w:p>
    <w:p w:rsidR="00B77F00" w:rsidRDefault="00865FA3">
      <w:pPr>
        <w:pStyle w:val="Textbody"/>
        <w:jc w:val="both"/>
      </w:pPr>
      <w:r>
        <w:t>6.2.2.</w:t>
      </w:r>
      <w:r>
        <w:tab/>
        <w:t>Sprawdzenie przygotowania powierzchni do malowania</w:t>
      </w:r>
    </w:p>
    <w:p w:rsidR="00B77F00" w:rsidRDefault="00865FA3">
      <w:pPr>
        <w:pStyle w:val="Textbody"/>
        <w:jc w:val="both"/>
      </w:pPr>
      <w:r>
        <w:t>Ocenę przygotowania powierzchni stali do malowania przeprowadza</w:t>
      </w:r>
      <w:r>
        <w:t xml:space="preserve"> się w oparciu o normę PN-ISO 8501 oraz wymagania zawarte w kartach technicznych produktów wymienionych w niniejszej Specyfikacji. Polega ona na wizualnej ocenie stopnia czystości i chropowatości powierzchni stali oraz ocenie stanu powierzchni (suchość, br</w:t>
      </w:r>
      <w:r>
        <w:t>ak zapyleń i zanieczyszczeń olejami i smarami, brak rdzy nalotowej). Ocenę przeprowadza się bezpośrednio po przygotowaniu powierzchni, jednak nie później niż po 3 godzinach oraz dodatkowo bezpośrednio przed malowaniem. Ocenę wymaganego stopnia czystości pr</w:t>
      </w:r>
      <w:r>
        <w:t>zeprowadza się w oparciu o normy PN ISO 8501 oraz PN-ISO 8503.</w:t>
      </w:r>
    </w:p>
    <w:p w:rsidR="00B77F00" w:rsidRDefault="00865FA3">
      <w:pPr>
        <w:pStyle w:val="Textbody"/>
        <w:jc w:val="both"/>
      </w:pPr>
      <w:r>
        <w:t>6.2.3.</w:t>
      </w:r>
      <w:r>
        <w:tab/>
        <w:t>Kontrola nakładania powłok malarskich</w:t>
      </w:r>
    </w:p>
    <w:p w:rsidR="00B77F00" w:rsidRDefault="00865FA3">
      <w:pPr>
        <w:pStyle w:val="Textbody"/>
        <w:jc w:val="both"/>
      </w:pPr>
      <w:r>
        <w:t>Kontrola nakładania powłok malarskich winna przebiegać pod kątem poprawności użytego sprzętu, techniki nakładania materiału malarskiego i stosowany</w:t>
      </w:r>
      <w:r>
        <w:t>ch parametrów technologicznych oraz przestrzegania zaleceń dotyczących warunków pogodowych i zabezpieczenia świeżo wykonanych powłok a także przestrzegania czasu schnięcia i aklimatyzacji powłok.</w:t>
      </w:r>
    </w:p>
    <w:p w:rsidR="00B77F00" w:rsidRDefault="00865FA3">
      <w:pPr>
        <w:pStyle w:val="Textbody"/>
        <w:jc w:val="both"/>
      </w:pPr>
      <w:r>
        <w:t>Inżynier może zalecić pomiar w czasie malowania grubości mo</w:t>
      </w:r>
      <w:r>
        <w:t>krych powłok poszczególnych warstw.</w:t>
      </w:r>
    </w:p>
    <w:p w:rsidR="00B77F00" w:rsidRDefault="00865FA3">
      <w:pPr>
        <w:pStyle w:val="Textbody"/>
        <w:jc w:val="both"/>
      </w:pPr>
      <w:r>
        <w:t>Sprawdzeniu podlega liczba i grubość wykonanych warstw powłok malarskich.</w:t>
      </w:r>
    </w:p>
    <w:p w:rsidR="00B77F00" w:rsidRDefault="00865FA3">
      <w:pPr>
        <w:pStyle w:val="Textbody"/>
        <w:jc w:val="both"/>
      </w:pPr>
      <w:r>
        <w:t>6.2.4.</w:t>
      </w:r>
      <w:r>
        <w:tab/>
        <w:t>Sprawdzenie jakości wykonanych powłok</w:t>
      </w:r>
    </w:p>
    <w:p w:rsidR="00B77F00" w:rsidRDefault="00865FA3">
      <w:pPr>
        <w:pStyle w:val="Textbody"/>
        <w:jc w:val="both"/>
      </w:pPr>
      <w:r>
        <w:t xml:space="preserve">Ocenę jakości wykonanych powłok wykonuje się po zagruntowaniu przed wysyłką elementów konstrukcji </w:t>
      </w:r>
      <w:r>
        <w:t>na budowę oraz po wykonaniu warstw nawierzchniowych. Ocenę dokonuje się pod kątem grubości, porowatości i przyczepności pokrycia oraz wyglądu powłoki malarskiej. Badania przeprowadza się na suchych i po aklimatyzacji (wysezonowanych) powłokach.</w:t>
      </w:r>
    </w:p>
    <w:p w:rsidR="00B77F00" w:rsidRDefault="00865FA3">
      <w:pPr>
        <w:pStyle w:val="Textbody"/>
        <w:jc w:val="both"/>
      </w:pPr>
      <w:r>
        <w:t>Grubość po</w:t>
      </w:r>
      <w:r>
        <w:t>włoki winna być zgodna z niniejszą Specyfikacją.</w:t>
      </w:r>
    </w:p>
    <w:p w:rsidR="00B77F00" w:rsidRDefault="00865FA3">
      <w:pPr>
        <w:pStyle w:val="Textbody"/>
        <w:jc w:val="both"/>
      </w:pPr>
      <w:r>
        <w:t xml:space="preserve">Grubość mierzy się ją przy pomocy metod nieniszczących, przy pomocy przyrządów magnetyczno – indukcyjnych lub innych zapewniających dokładność pomiaru </w:t>
      </w:r>
      <w:r>
        <w:rPr>
          <w:rFonts w:cs="Arial"/>
        </w:rPr>
        <w:t>±</w:t>
      </w:r>
      <w:r>
        <w:t>10%.</w:t>
      </w:r>
    </w:p>
    <w:p w:rsidR="00B77F00" w:rsidRDefault="00865FA3">
      <w:pPr>
        <w:pStyle w:val="Textbody"/>
        <w:jc w:val="both"/>
      </w:pPr>
      <w:r>
        <w:t>Pomiar należy wykonać w co najmniej 7 punktach ko</w:t>
      </w:r>
      <w:r>
        <w:t>nstrukcji, a za wynik ostateczny pomiaru należy przyjąć średnią arytmetyczną wyników uzyskanych z 5 pomiarów, po odrzuceniu 2 najwyższych odczytów z 7 pomiarów. Średnia ta nie może wynosić mniej niż grubość ustalona dla danej powłoki.</w:t>
      </w:r>
    </w:p>
    <w:p w:rsidR="00B77F00" w:rsidRDefault="00865FA3">
      <w:pPr>
        <w:pStyle w:val="Textbody"/>
        <w:jc w:val="both"/>
      </w:pPr>
      <w:r>
        <w:t>Badanie porowatości n</w:t>
      </w:r>
      <w:r>
        <w:t>ależy przeprowadzić za pomocą poroskopu wg PN-75/C-81518</w:t>
      </w:r>
    </w:p>
    <w:p w:rsidR="00B77F00" w:rsidRDefault="00865FA3">
      <w:pPr>
        <w:pStyle w:val="Textbody"/>
        <w:jc w:val="both"/>
      </w:pPr>
      <w:r>
        <w:t>Badanie przyczepności pokryć malarskich należy przeprowadzić wg PN-EN ISO 2409</w:t>
      </w:r>
    </w:p>
    <w:p w:rsidR="00B77F00" w:rsidRDefault="00865FA3">
      <w:pPr>
        <w:pStyle w:val="Textbody"/>
        <w:jc w:val="both"/>
      </w:pPr>
      <w:r>
        <w:t xml:space="preserve">Powłoka uszkodzona w miejscach wykonywania oznaczeń powinna być naprawiona pędzlem, z zastosowaniem farb wg niniejszej </w:t>
      </w:r>
      <w:r>
        <w:t>Specyfikacji.</w:t>
      </w:r>
    </w:p>
    <w:p w:rsidR="00B77F00" w:rsidRDefault="00865FA3">
      <w:pPr>
        <w:pStyle w:val="Textbody"/>
        <w:jc w:val="both"/>
      </w:pPr>
      <w:r>
        <w:t>Ocenę wyglądu dokonuje się nieuzbrojonym okiem przy świetle dziennym lub sztucznym o mocy 100 W z odległości 30-40cm od powierzchni.</w:t>
      </w:r>
    </w:p>
    <w:p w:rsidR="00B77F00" w:rsidRDefault="00865FA3">
      <w:pPr>
        <w:pStyle w:val="Textbody"/>
        <w:jc w:val="both"/>
      </w:pPr>
      <w:r>
        <w:t>Warstwy gruntowe nie powinny mieć pomarszczeń i zacieków oraz wygląd matowy.</w:t>
      </w:r>
    </w:p>
    <w:p w:rsidR="00B77F00" w:rsidRDefault="00865FA3">
      <w:pPr>
        <w:pStyle w:val="Textbody"/>
        <w:jc w:val="both"/>
      </w:pPr>
      <w:r>
        <w:t>Warstwy nawierzchniowe powinny</w:t>
      </w:r>
      <w:r>
        <w:t xml:space="preserve"> mieć powierzchnię gładką bez pomarszczeń, zacieków i chropowatości.</w:t>
      </w:r>
    </w:p>
    <w:p w:rsidR="00B77F00" w:rsidRDefault="00865FA3">
      <w:pPr>
        <w:pStyle w:val="Textbody"/>
        <w:jc w:val="both"/>
      </w:pPr>
      <w:r>
        <w:t>Powłoka nie może odstawać od podłoża i mieć wtrąceń ciał obcych.</w:t>
      </w:r>
    </w:p>
    <w:p w:rsidR="00B77F00" w:rsidRDefault="00B77F00">
      <w:pPr>
        <w:pStyle w:val="Textbody"/>
        <w:jc w:val="both"/>
      </w:pPr>
    </w:p>
    <w:p w:rsidR="00B77F00" w:rsidRDefault="00865FA3">
      <w:pPr>
        <w:pStyle w:val="Textbody"/>
        <w:jc w:val="both"/>
        <w:rPr>
          <w:b/>
          <w:bCs/>
        </w:rPr>
      </w:pPr>
      <w:r>
        <w:rPr>
          <w:b/>
          <w:bCs/>
        </w:rPr>
        <w:t xml:space="preserve">7. </w:t>
      </w:r>
      <w:r>
        <w:rPr>
          <w:b/>
          <w:bCs/>
        </w:rPr>
        <w:tab/>
        <w:t>Obmiar robót</w:t>
      </w:r>
    </w:p>
    <w:p w:rsidR="00B77F00" w:rsidRDefault="00865FA3">
      <w:pPr>
        <w:pStyle w:val="Textbody"/>
        <w:jc w:val="both"/>
      </w:pPr>
      <w:r>
        <w:t xml:space="preserve">7.1. </w:t>
      </w:r>
      <w:r>
        <w:tab/>
        <w:t>Ogólne zasady obmiaru robót</w:t>
      </w:r>
    </w:p>
    <w:p w:rsidR="00B77F00" w:rsidRDefault="00865FA3">
      <w:pPr>
        <w:pStyle w:val="Textbody"/>
        <w:jc w:val="both"/>
      </w:pPr>
      <w:r>
        <w:t>Ogólne zasady obmiaru robót podano w ST DM.00.00.00 „Wymagania ogólne”</w:t>
      </w:r>
      <w:r>
        <w:t>.</w:t>
      </w:r>
    </w:p>
    <w:p w:rsidR="00B77F00" w:rsidRDefault="00865FA3">
      <w:pPr>
        <w:pStyle w:val="Textbody"/>
        <w:jc w:val="both"/>
      </w:pPr>
      <w:r>
        <w:lastRenderedPageBreak/>
        <w:t xml:space="preserve">7.2. </w:t>
      </w:r>
      <w:r>
        <w:tab/>
        <w:t>Jednostka obmiarowa</w:t>
      </w:r>
    </w:p>
    <w:p w:rsidR="00B77F00" w:rsidRDefault="00865FA3">
      <w:pPr>
        <w:pStyle w:val="Textbody"/>
        <w:jc w:val="both"/>
      </w:pPr>
      <w:r>
        <w:rPr>
          <w:rFonts w:cs="Calibi"/>
          <w:color w:val="000000"/>
          <w:sz w:val="22"/>
          <w:szCs w:val="22"/>
        </w:rPr>
        <w:t>Jednostką obmiaru jest 1m</w:t>
      </w:r>
      <w:r>
        <w:rPr>
          <w:rFonts w:cs="Calibi"/>
          <w:color w:val="000000"/>
          <w:sz w:val="22"/>
          <w:szCs w:val="22"/>
          <w:vertAlign w:val="superscript"/>
        </w:rPr>
        <w:t xml:space="preserve">2 </w:t>
      </w:r>
      <w:r>
        <w:rPr>
          <w:rFonts w:cs="Calibi"/>
          <w:color w:val="000000"/>
          <w:sz w:val="22"/>
          <w:szCs w:val="22"/>
        </w:rPr>
        <w:t>wykonanej i odebranej powłoki trójwarst</w:t>
      </w:r>
      <w:r>
        <w:rPr>
          <w:rFonts w:cs="Calibi"/>
          <w:color w:val="000000"/>
          <w:sz w:val="22"/>
          <w:szCs w:val="22"/>
          <w:shd w:val="clear" w:color="auto" w:fill="FFFFFF"/>
        </w:rPr>
        <w:t>wowej o łącznej grubości min. 2</w:t>
      </w:r>
      <w:r>
        <w:rPr>
          <w:rFonts w:cs="Calibi"/>
          <w:color w:val="000000"/>
          <w:sz w:val="22"/>
          <w:szCs w:val="22"/>
          <w:shd w:val="clear" w:color="auto" w:fill="FFFFFF"/>
          <w:lang w:val="pl-PL"/>
        </w:rPr>
        <w:t>00</w:t>
      </w:r>
      <w:r>
        <w:rPr>
          <w:rFonts w:eastAsia="Times New Roman" w:cs="Calibi"/>
          <w:color w:val="000000"/>
          <w:sz w:val="22"/>
          <w:szCs w:val="22"/>
          <w:shd w:val="clear" w:color="auto" w:fill="FFFFFF"/>
        </w:rPr>
        <w:t>µ</w:t>
      </w:r>
      <w:r>
        <w:rPr>
          <w:rFonts w:cs="Calibi"/>
          <w:color w:val="000000"/>
          <w:sz w:val="22"/>
          <w:szCs w:val="22"/>
          <w:shd w:val="clear" w:color="auto" w:fill="FFFFFF"/>
        </w:rPr>
        <w:t>m.</w:t>
      </w:r>
    </w:p>
    <w:p w:rsidR="00B77F00" w:rsidRDefault="00B77F00">
      <w:pPr>
        <w:pStyle w:val="Textbody"/>
        <w:jc w:val="both"/>
      </w:pPr>
    </w:p>
    <w:p w:rsidR="00B77F00" w:rsidRDefault="00865FA3">
      <w:pPr>
        <w:pStyle w:val="Textbody"/>
        <w:jc w:val="both"/>
        <w:rPr>
          <w:b/>
          <w:bCs/>
        </w:rPr>
      </w:pPr>
      <w:r>
        <w:rPr>
          <w:b/>
          <w:bCs/>
        </w:rPr>
        <w:t xml:space="preserve">8. </w:t>
      </w:r>
      <w:r>
        <w:rPr>
          <w:b/>
          <w:bCs/>
        </w:rPr>
        <w:tab/>
        <w:t>Odbiór robót</w:t>
      </w:r>
    </w:p>
    <w:p w:rsidR="00B77F00" w:rsidRDefault="00865FA3">
      <w:pPr>
        <w:pStyle w:val="Textbody"/>
        <w:jc w:val="both"/>
      </w:pPr>
      <w:r>
        <w:t xml:space="preserve">8.1. </w:t>
      </w:r>
      <w:r>
        <w:tab/>
        <w:t>Ogólne zasady odbioru robót</w:t>
      </w:r>
    </w:p>
    <w:p w:rsidR="00B77F00" w:rsidRDefault="00865FA3">
      <w:pPr>
        <w:pStyle w:val="Textbody"/>
        <w:jc w:val="both"/>
      </w:pPr>
      <w:r>
        <w:t>Ogólne zasady odbioru robót podano w ST DM.00.00.00 „Wymagania ogólne”.</w:t>
      </w:r>
    </w:p>
    <w:p w:rsidR="00B77F00" w:rsidRDefault="00865FA3">
      <w:pPr>
        <w:pStyle w:val="Textbody"/>
        <w:jc w:val="both"/>
      </w:pPr>
      <w:r>
        <w:t>8</w:t>
      </w:r>
      <w:r>
        <w:t xml:space="preserve">.2. </w:t>
      </w:r>
      <w:r>
        <w:tab/>
        <w:t>Szczegółowe zasady odbioru robót</w:t>
      </w:r>
    </w:p>
    <w:p w:rsidR="00B77F00" w:rsidRDefault="00865FA3">
      <w:pPr>
        <w:pStyle w:val="Textbody"/>
        <w:jc w:val="both"/>
      </w:pPr>
      <w:r>
        <w:t>Roboty objęte niniejszą Specyfikacją podlegają odbiorowi robót zanikających i ulegających zakryciu, który jest dokonywany na podstawie wyników pomiarów, badań i oceny wizualnej.</w:t>
      </w:r>
    </w:p>
    <w:p w:rsidR="00B77F00" w:rsidRDefault="00B77F00">
      <w:pPr>
        <w:pStyle w:val="Textbody"/>
        <w:jc w:val="both"/>
      </w:pPr>
    </w:p>
    <w:p w:rsidR="00B77F00" w:rsidRDefault="00865FA3">
      <w:pPr>
        <w:pStyle w:val="Textbody"/>
        <w:jc w:val="both"/>
        <w:rPr>
          <w:b/>
          <w:bCs/>
        </w:rPr>
      </w:pPr>
      <w:r>
        <w:rPr>
          <w:b/>
          <w:bCs/>
        </w:rPr>
        <w:t xml:space="preserve">9. </w:t>
      </w:r>
      <w:r>
        <w:rPr>
          <w:b/>
          <w:bCs/>
        </w:rPr>
        <w:tab/>
        <w:t>Podstawa płatności</w:t>
      </w:r>
    </w:p>
    <w:p w:rsidR="00B77F00" w:rsidRDefault="00865FA3">
      <w:pPr>
        <w:pStyle w:val="Textbody"/>
        <w:jc w:val="both"/>
      </w:pPr>
      <w:r>
        <w:t xml:space="preserve">9.1. </w:t>
      </w:r>
      <w:r>
        <w:tab/>
        <w:t>Ogólne ust</w:t>
      </w:r>
      <w:r>
        <w:t>alenia dotyczące podstawy płatności</w:t>
      </w:r>
    </w:p>
    <w:p w:rsidR="00B77F00" w:rsidRDefault="00865FA3">
      <w:pPr>
        <w:pStyle w:val="Textbody"/>
        <w:jc w:val="both"/>
      </w:pPr>
      <w:r>
        <w:t>Ogólne ustalenia dotyczące podstawy płatności podano w ST DM.00.00.00 „Wymagania ogólne”.</w:t>
      </w:r>
    </w:p>
    <w:p w:rsidR="00B77F00" w:rsidRDefault="00865FA3">
      <w:pPr>
        <w:pStyle w:val="Textbody"/>
        <w:jc w:val="both"/>
      </w:pPr>
      <w:r>
        <w:t xml:space="preserve">9.2. </w:t>
      </w:r>
      <w:r>
        <w:tab/>
        <w:t>Cena jednostki obmiarowej</w:t>
      </w:r>
    </w:p>
    <w:p w:rsidR="00B77F00" w:rsidRDefault="00865FA3">
      <w:pPr>
        <w:pStyle w:val="Textbody"/>
        <w:jc w:val="both"/>
      </w:pPr>
      <w:r>
        <w:t>Podstawą płatności jest cena jednostkowa, która obejmuje:</w:t>
      </w:r>
    </w:p>
    <w:p w:rsidR="00B77F00" w:rsidRDefault="00865FA3">
      <w:pPr>
        <w:pStyle w:val="Textbody"/>
        <w:jc w:val="both"/>
      </w:pPr>
      <w:r>
        <w:t xml:space="preserve">-sporządzenie projektu organizacji i </w:t>
      </w:r>
      <w:r>
        <w:t>harmonogramu robót,</w:t>
      </w:r>
    </w:p>
    <w:p w:rsidR="00B77F00" w:rsidRDefault="00865FA3">
      <w:pPr>
        <w:pStyle w:val="Textbody"/>
        <w:jc w:val="both"/>
      </w:pPr>
      <w:r>
        <w:t>-zakup i dostarczenie wszystkich czynników produkcji,</w:t>
      </w:r>
    </w:p>
    <w:p w:rsidR="00B77F00" w:rsidRDefault="00865FA3">
      <w:pPr>
        <w:pStyle w:val="Textbody"/>
        <w:jc w:val="both"/>
      </w:pPr>
      <w:r>
        <w:t>-czyszczenie konstrukcji,</w:t>
      </w:r>
    </w:p>
    <w:p w:rsidR="00B77F00" w:rsidRDefault="00865FA3">
      <w:pPr>
        <w:pStyle w:val="Textbody"/>
        <w:jc w:val="both"/>
      </w:pPr>
      <w:r>
        <w:t>-wykonanie powłok na powierzchniach przewidzianych w Dokumentacji Projektowej przy użyciu powłok malarskich zgodnych z warunkami Specyfikacji i zaakceptowan</w:t>
      </w:r>
      <w:r>
        <w:t>ych przez Inżyniera,</w:t>
      </w:r>
    </w:p>
    <w:p w:rsidR="00B77F00" w:rsidRDefault="00865FA3">
      <w:pPr>
        <w:pStyle w:val="Textbody"/>
        <w:jc w:val="both"/>
      </w:pPr>
      <w:r>
        <w:t>wykonanie niezbędnych rusztowań wiszących i stojących oraz ich przekładanie,</w:t>
      </w:r>
    </w:p>
    <w:p w:rsidR="00B77F00" w:rsidRDefault="00865FA3">
      <w:pPr>
        <w:pStyle w:val="Textbody"/>
        <w:jc w:val="both"/>
      </w:pPr>
      <w:r>
        <w:t>-przeprowadzenie badań i pomiarów w niniejszej Specyfikacji,</w:t>
      </w:r>
    </w:p>
    <w:p w:rsidR="00B77F00" w:rsidRDefault="00865FA3">
      <w:pPr>
        <w:pStyle w:val="Textbody"/>
        <w:jc w:val="both"/>
      </w:pPr>
      <w:r>
        <w:t xml:space="preserve">-dostosowanie się do warunków pogodowych oraz do wymaganych przerw między poszczególnymi </w:t>
      </w:r>
      <w:r>
        <w:t>operacjami (warstwami),</w:t>
      </w:r>
    </w:p>
    <w:p w:rsidR="00B77F00" w:rsidRDefault="00865FA3">
      <w:pPr>
        <w:pStyle w:val="Textbody"/>
        <w:jc w:val="both"/>
      </w:pPr>
      <w:r>
        <w:t>-zabezpieczenie wykonywanych powłok w trakcie ich schnięcia przed skutkami opadów atmosferycznych, zanieczyszczeń oraz oddziaływania przejeżdżających pojazdów,</w:t>
      </w:r>
    </w:p>
    <w:p w:rsidR="00B77F00" w:rsidRDefault="00865FA3">
      <w:pPr>
        <w:pStyle w:val="Textbody"/>
        <w:jc w:val="both"/>
      </w:pPr>
      <w:r>
        <w:t>-demontaż rusztowań i usunięcie ich poza pas drogowy,</w:t>
      </w:r>
    </w:p>
    <w:p w:rsidR="00B77F00" w:rsidRDefault="00865FA3">
      <w:pPr>
        <w:pStyle w:val="Textbody"/>
        <w:jc w:val="both"/>
      </w:pPr>
      <w:r>
        <w:t>-zapewnienie odpow</w:t>
      </w:r>
      <w:r>
        <w:t>iednich warunków przechowywania materiałów malarskich i składowania dostarczonych z wytwórni elementów konstrukcji,</w:t>
      </w:r>
    </w:p>
    <w:p w:rsidR="00B77F00" w:rsidRDefault="00865FA3">
      <w:pPr>
        <w:pStyle w:val="Textbody"/>
        <w:jc w:val="both"/>
      </w:pPr>
      <w:r>
        <w:t>-zabezpieczenie odpowiednich warunków bezpieczeństwa i higieny pracy,</w:t>
      </w:r>
    </w:p>
    <w:p w:rsidR="00B77F00" w:rsidRDefault="00865FA3">
      <w:pPr>
        <w:pStyle w:val="Textbody"/>
        <w:jc w:val="both"/>
      </w:pPr>
      <w:r>
        <w:t>-ochrona urządzeń obcych znajdujących się na obiekcie w czasie czyszcz</w:t>
      </w:r>
      <w:r>
        <w:t>enia i malowania,</w:t>
      </w:r>
    </w:p>
    <w:p w:rsidR="00B77F00" w:rsidRDefault="00865FA3">
      <w:pPr>
        <w:pStyle w:val="Textbody"/>
        <w:jc w:val="both"/>
      </w:pPr>
      <w:r>
        <w:t>-zabezpieczenie otoczenia przed szkodliwym oddziaływaniem robót na środowisko, przechodniów i -użytkowników tras komunikacyjnych w obrębie prowadzenia robót,</w:t>
      </w:r>
    </w:p>
    <w:p w:rsidR="00B77F00" w:rsidRDefault="00865FA3">
      <w:pPr>
        <w:pStyle w:val="Textbody"/>
        <w:jc w:val="both"/>
      </w:pPr>
      <w:r>
        <w:t>-wykonanie ekranów zabezpieczających,</w:t>
      </w:r>
    </w:p>
    <w:p w:rsidR="00B77F00" w:rsidRDefault="00865FA3">
      <w:pPr>
        <w:pStyle w:val="Textbody"/>
        <w:jc w:val="both"/>
      </w:pPr>
      <w:r>
        <w:t>-wykonanie próbnych powłok malarskich,</w:t>
      </w:r>
    </w:p>
    <w:p w:rsidR="00B77F00" w:rsidRDefault="00865FA3">
      <w:pPr>
        <w:pStyle w:val="Textbody"/>
        <w:jc w:val="both"/>
      </w:pPr>
      <w:r>
        <w:t>-up</w:t>
      </w:r>
      <w:r>
        <w:t>orządkowanie miejsca robót,</w:t>
      </w:r>
    </w:p>
    <w:p w:rsidR="00B77F00" w:rsidRDefault="00865FA3">
      <w:pPr>
        <w:pStyle w:val="Textbody"/>
        <w:jc w:val="both"/>
      </w:pPr>
      <w:r>
        <w:t>-koszt opracowania projektu niezbędnych dla prowadzenia robót rusztowań, pomostów i ekranów zabezpieczających.</w:t>
      </w:r>
    </w:p>
    <w:p w:rsidR="00B77F00" w:rsidRDefault="00B77F00">
      <w:pPr>
        <w:pStyle w:val="Textbody"/>
        <w:jc w:val="both"/>
      </w:pPr>
    </w:p>
    <w:p w:rsidR="00B77F00" w:rsidRDefault="00865FA3">
      <w:pPr>
        <w:pStyle w:val="Textbody"/>
        <w:jc w:val="both"/>
        <w:rPr>
          <w:b/>
          <w:bCs/>
        </w:rPr>
      </w:pPr>
      <w:r>
        <w:rPr>
          <w:b/>
          <w:bCs/>
        </w:rPr>
        <w:t>10.</w:t>
      </w:r>
      <w:r>
        <w:rPr>
          <w:b/>
          <w:bCs/>
        </w:rPr>
        <w:tab/>
        <w:t>Przepisy związane</w:t>
      </w:r>
    </w:p>
    <w:p w:rsidR="00B77F00" w:rsidRDefault="00865FA3">
      <w:pPr>
        <w:pStyle w:val="Textbody"/>
        <w:jc w:val="both"/>
      </w:pPr>
      <w:r>
        <w:lastRenderedPageBreak/>
        <w:t>10.1</w:t>
      </w:r>
      <w:r>
        <w:tab/>
        <w:t>Normy</w:t>
      </w:r>
    </w:p>
    <w:p w:rsidR="00B77F00" w:rsidRDefault="00865FA3">
      <w:pPr>
        <w:pStyle w:val="Textbody"/>
        <w:jc w:val="both"/>
      </w:pPr>
      <w:r>
        <w:t>10.1.1</w:t>
      </w:r>
      <w:r>
        <w:tab/>
        <w:t>Wymagania ogólne</w:t>
      </w:r>
    </w:p>
    <w:p w:rsidR="00B77F00" w:rsidRDefault="00865FA3">
      <w:pPr>
        <w:pStyle w:val="Textbody"/>
        <w:jc w:val="both"/>
      </w:pPr>
      <w:r>
        <w:t>PN-89/C-81400</w:t>
      </w:r>
      <w:r>
        <w:tab/>
        <w:t>Wyroby lakierowe. Pakowanie, przechowywanie i</w:t>
      </w:r>
      <w:r>
        <w:t xml:space="preserve"> transport.</w:t>
      </w:r>
    </w:p>
    <w:p w:rsidR="00B77F00" w:rsidRDefault="00865FA3">
      <w:pPr>
        <w:pStyle w:val="Textbody"/>
        <w:jc w:val="both"/>
      </w:pPr>
      <w:r>
        <w:t>PN-89/S-10050</w:t>
      </w:r>
      <w:r>
        <w:tab/>
        <w:t>Obiekty mostowe. Konstrukcje stalowe. Wymagania i badania.</w:t>
      </w:r>
    </w:p>
    <w:p w:rsidR="00B77F00" w:rsidRDefault="00865FA3">
      <w:pPr>
        <w:pStyle w:val="Textbody"/>
        <w:jc w:val="both"/>
      </w:pPr>
      <w:r>
        <w:t>PN-EN ISO 12944-1:2001</w:t>
      </w:r>
      <w:r>
        <w:tab/>
        <w:t>Farby i lakiery -- Ochrona przed korozją konstrukcji stalowych za pomocą ochronnych systemów malarskich -- Część 1: Ogólne wprowadzenie</w:t>
      </w:r>
    </w:p>
    <w:p w:rsidR="00B77F00" w:rsidRDefault="00865FA3">
      <w:pPr>
        <w:pStyle w:val="Textbody"/>
        <w:jc w:val="both"/>
      </w:pPr>
      <w:r>
        <w:t>PN-EN ISO 1</w:t>
      </w:r>
      <w:r>
        <w:t>2944-2:2001</w:t>
      </w:r>
      <w:r>
        <w:tab/>
        <w:t>Farby i lakiery -- Ochrona przed korozją konstrukcji stalowych za pomocą ochronnych systemów malarskich -- Część 2: Klasyfikacja środowisk</w:t>
      </w:r>
    </w:p>
    <w:p w:rsidR="00B77F00" w:rsidRDefault="00865FA3">
      <w:pPr>
        <w:pStyle w:val="Textbody"/>
        <w:jc w:val="both"/>
      </w:pPr>
      <w:r>
        <w:t>PN-EN ISO 12944-3:2001</w:t>
      </w:r>
      <w:r>
        <w:tab/>
        <w:t>Farby i lakiery -- Ochrona przed korozją konstrukcji stalowych za pomocą ochronnyc</w:t>
      </w:r>
      <w:r>
        <w:t>h systemów malarskich -- Część 3: Zasady projektowania</w:t>
      </w:r>
    </w:p>
    <w:p w:rsidR="00B77F00" w:rsidRDefault="00865FA3">
      <w:pPr>
        <w:pStyle w:val="Textbody"/>
        <w:jc w:val="both"/>
      </w:pPr>
      <w:r>
        <w:t>PN-EN ISO 12944-4:2001</w:t>
      </w:r>
      <w:r>
        <w:tab/>
        <w:t>Farby i lakiery -- Ochrona przed korozją konstrukcji stalowych za pomocą ochronnych systemów malarskich -- Część 4: Rodzaje powierzchni i sposoby przygotowania powierzchni</w:t>
      </w:r>
    </w:p>
    <w:p w:rsidR="00B77F00" w:rsidRDefault="00865FA3">
      <w:pPr>
        <w:pStyle w:val="Textbody"/>
        <w:jc w:val="both"/>
      </w:pPr>
      <w:r>
        <w:t xml:space="preserve">PN-EN </w:t>
      </w:r>
      <w:r>
        <w:t>ISO 12944-5:2001</w:t>
      </w:r>
      <w:r>
        <w:tab/>
        <w:t>Farby i lakiery -- Ochrona przed korozją konstrukcji stalowych za pomocą ochronnych systemów malarskich -- Część 5: Ochronne systemy malarskie</w:t>
      </w:r>
    </w:p>
    <w:p w:rsidR="00B77F00" w:rsidRDefault="00865FA3">
      <w:pPr>
        <w:pStyle w:val="Textbody"/>
        <w:jc w:val="both"/>
      </w:pPr>
      <w:r>
        <w:t>PN-EN ISO 12944-6:2001</w:t>
      </w:r>
      <w:r>
        <w:tab/>
        <w:t xml:space="preserve">Farby i lakiery -- Ochrona przed korozją konstrukcji stalowych za pomocą </w:t>
      </w:r>
      <w:r>
        <w:t>ochronnych systemów malarskich -- Część 6: Laboratoryjne metody badań właściwości</w:t>
      </w:r>
    </w:p>
    <w:p w:rsidR="00B77F00" w:rsidRDefault="00865FA3">
      <w:pPr>
        <w:pStyle w:val="Textbody"/>
        <w:jc w:val="both"/>
      </w:pPr>
      <w:r>
        <w:t>PN-EN ISO 12944-7:2001</w:t>
      </w:r>
      <w:r>
        <w:tab/>
        <w:t>Farby i lakiery -- Ochrona przed korozją konstrukcji stalowych za pomocą ochronnych systemów malarskich -- Część 7: Wykonywanie i nadzór prac malarskic</w:t>
      </w:r>
      <w:r>
        <w:t>h</w:t>
      </w:r>
    </w:p>
    <w:p w:rsidR="00B77F00" w:rsidRDefault="00865FA3">
      <w:pPr>
        <w:pStyle w:val="Textbody"/>
        <w:jc w:val="both"/>
      </w:pPr>
      <w:r>
        <w:t>PN-EN ISO 12944-8:2001</w:t>
      </w:r>
      <w:r>
        <w:tab/>
        <w:t>Farby i lakiery -- Ochrona przed korozją konstrukcji stalowych za pomocą ochronnych systemów malarskich -- Część 8: Opracowanie dokumentacji dotyczącej nowych prac i renowacji</w:t>
      </w:r>
    </w:p>
    <w:p w:rsidR="00B77F00" w:rsidRDefault="00865FA3">
      <w:pPr>
        <w:pStyle w:val="Textbody"/>
        <w:jc w:val="both"/>
      </w:pPr>
      <w:r>
        <w:t>10.1.2</w:t>
      </w:r>
      <w:r>
        <w:tab/>
        <w:t>Przygotowanie powierzchni</w:t>
      </w:r>
    </w:p>
    <w:p w:rsidR="00B77F00" w:rsidRDefault="00865FA3">
      <w:pPr>
        <w:pStyle w:val="Textbody"/>
        <w:jc w:val="both"/>
      </w:pPr>
      <w:r>
        <w:t>PN-EN ISO 8502-2:2000</w:t>
      </w:r>
      <w:r>
        <w:tab/>
      </w:r>
      <w:r>
        <w:t>Przygotowanie podłoży stalowych przed nakładaniem farb i podobnych produktów -- Badania służące do oceny czystości powierzchni -- Laboratoryjne oznaczanie chlorków na oczyszczonych powierzchniach</w:t>
      </w:r>
    </w:p>
    <w:p w:rsidR="00B77F00" w:rsidRDefault="00865FA3">
      <w:pPr>
        <w:pStyle w:val="Textbody"/>
        <w:jc w:val="both"/>
      </w:pPr>
      <w:r>
        <w:t>PN-EN ISO 8502-3:2000</w:t>
      </w:r>
      <w:r>
        <w:tab/>
        <w:t xml:space="preserve">Przygotowanie podłoży stalowych przed </w:t>
      </w:r>
      <w:r>
        <w:t>nakładaniem farb i podobnych produktów -- Badania służące do oceny czystości powierzchni -- Ocena pozostałości kurzu na powierzchniach stalowych przygotowanych do malowania (metoda z taśmą samoprzylepną)</w:t>
      </w:r>
    </w:p>
    <w:p w:rsidR="00B77F00" w:rsidRDefault="00865FA3">
      <w:pPr>
        <w:pStyle w:val="Textbody"/>
        <w:jc w:val="both"/>
      </w:pPr>
      <w:r>
        <w:t>PN-EN ISO 8502-4:2000</w:t>
      </w:r>
      <w:r>
        <w:tab/>
        <w:t>Przygotowanie podłoży stalowyc</w:t>
      </w:r>
      <w:r>
        <w:t>h przed nakładaniem farb i podobnych produktów -- Badania służące do oceny czystości powierzchni -- Wytyczne dotyczące oceny prawdopodobieństwa kondensacji pary wodnej przed nakładaniem farby</w:t>
      </w:r>
    </w:p>
    <w:p w:rsidR="00B77F00" w:rsidRDefault="00865FA3">
      <w:pPr>
        <w:pStyle w:val="Textbody"/>
        <w:jc w:val="both"/>
      </w:pPr>
      <w:r>
        <w:t>PN-EN ISO 8502-5:2005</w:t>
      </w:r>
      <w:r>
        <w:tab/>
        <w:t>Przygotowanie podłoży stalowych przed nakł</w:t>
      </w:r>
      <w:r>
        <w:t>adaniem farb i podobnych produktów -- Badania służące do oceny czystości powierzchni – Część 5: Oznaczanie chlorków na powierzchniach stalowych przygotowanych do malowania (metoda rurki do oznaczania jonów)</w:t>
      </w:r>
    </w:p>
    <w:p w:rsidR="00B77F00" w:rsidRDefault="00865FA3">
      <w:pPr>
        <w:pStyle w:val="Textbody"/>
        <w:jc w:val="both"/>
      </w:pPr>
      <w:r>
        <w:t>PN-EN ISO 8502-6:2000</w:t>
      </w:r>
      <w:r>
        <w:tab/>
        <w:t>Przygotowanie podłoży stalo</w:t>
      </w:r>
      <w:r>
        <w:t>wych przed nakładaniem farb i podobnych produktów -- Badania służące do oceny czystości powierzchni -- Ekstrakcja rozpuszczalnych zanieczyszczeń do analizy -- Metoda Bresle'a</w:t>
      </w:r>
    </w:p>
    <w:p w:rsidR="00B77F00" w:rsidRDefault="00865FA3">
      <w:pPr>
        <w:pStyle w:val="Textbody"/>
        <w:jc w:val="both"/>
      </w:pPr>
      <w:r>
        <w:t>PN-EN ISO 8502-9:2002</w:t>
      </w:r>
      <w:r>
        <w:tab/>
        <w:t>Przygotowanie podłoży stalowych przed nakładaniem farb i po</w:t>
      </w:r>
      <w:r>
        <w:t>dobnych produktów -- Badania służące do oceny czystości powierzchni -- Część 9: Terenowa metoda konduktometrycznego oznaczania soli rozpuszczalnych w wodzie</w:t>
      </w:r>
    </w:p>
    <w:p w:rsidR="00B77F00" w:rsidRDefault="00865FA3">
      <w:pPr>
        <w:pStyle w:val="Textbody"/>
        <w:jc w:val="both"/>
      </w:pPr>
      <w:r>
        <w:t>PN-EN ISO 8503-1:1999</w:t>
      </w:r>
      <w:r>
        <w:tab/>
        <w:t xml:space="preserve">Przygotowanie podłoży stalowych przed nakładaniem farb i podobnych produktów </w:t>
      </w:r>
      <w:r>
        <w:t>-- Charakterystyki chropowatości powierzchni podłoży stalowych po obróbce strumieniowo-ściernej -- Wyszczególnienie i definicje wzorców ISO profilu powierzchni do oceny powierzchni po obróbce strumieniowo-ściernej</w:t>
      </w:r>
    </w:p>
    <w:p w:rsidR="00B77F00" w:rsidRDefault="00865FA3">
      <w:pPr>
        <w:pStyle w:val="Textbody"/>
        <w:jc w:val="both"/>
      </w:pPr>
      <w:r>
        <w:t>PN-EN ISO 8503-2:1999</w:t>
      </w:r>
      <w:r>
        <w:tab/>
        <w:t>Przygotowanie podłoż</w:t>
      </w:r>
      <w:r>
        <w:t>y stalowych przed nakładaniem farb i podobnych produktów -- Charakterystyki chropowatości powierzchni podłoży stalowych po obróbce strumieniowo-ściernej -- Metoda stopniowania profilu powierzchni stalowych po obróbce strumieniowo-ściernej -- Sposób postępo</w:t>
      </w:r>
      <w:r>
        <w:t>wania z użyciem wzorca</w:t>
      </w:r>
    </w:p>
    <w:p w:rsidR="00B77F00" w:rsidRDefault="00865FA3">
      <w:pPr>
        <w:pStyle w:val="Textbody"/>
        <w:jc w:val="both"/>
      </w:pPr>
      <w:r>
        <w:lastRenderedPageBreak/>
        <w:t>PN-EN ISO 8503-3:1999</w:t>
      </w:r>
      <w:r>
        <w:tab/>
        <w:t>Przygotowanie podłoży stalowych przed nakładaniem farb i podobnych produktów -- Charakterystyki chropowatości powierzchni podłoży stalowych po obróbce strumieniowo-ściernej -- Metoda kalibrowania wzorców ISO pro</w:t>
      </w:r>
      <w:r>
        <w:t>filu powierzchni do określania profilu powierzchni -- Sposób postępowania z użyciem mikroskopu</w:t>
      </w:r>
    </w:p>
    <w:p w:rsidR="00B77F00" w:rsidRDefault="00865FA3">
      <w:pPr>
        <w:pStyle w:val="Textbody"/>
        <w:jc w:val="both"/>
      </w:pPr>
      <w:r>
        <w:t>PN-EN ISO 8503-4:1999</w:t>
      </w:r>
      <w:r>
        <w:tab/>
        <w:t>Przygotowanie podłoży stalowych przed nakładaniem farb i podobnych produktów -- Charakterystyki chropowatości powierzchni podłoży stalowych</w:t>
      </w:r>
      <w:r>
        <w:t xml:space="preserve"> po obróbce strumieniowo-ściernej -- Metoda kalibrowania wzorców ISO profilu powierzchni do określania profilu powierzchni -- Sposób postępowania z użyciem przyrządu stykowego</w:t>
      </w:r>
    </w:p>
    <w:p w:rsidR="00B77F00" w:rsidRDefault="00865FA3">
      <w:pPr>
        <w:pStyle w:val="Textbody"/>
        <w:jc w:val="both"/>
      </w:pPr>
      <w:r>
        <w:t>PN-EN ISO 8504-1:2002</w:t>
      </w:r>
      <w:r>
        <w:tab/>
        <w:t>Przygotowanie podłoży stalowych przed nakładaniem farb i p</w:t>
      </w:r>
      <w:r>
        <w:t>odobnych produktów -- Metody przygotowania powierzchni -- Część 1: Zasady ogólne</w:t>
      </w:r>
    </w:p>
    <w:p w:rsidR="00B77F00" w:rsidRDefault="00865FA3">
      <w:pPr>
        <w:pStyle w:val="Textbody"/>
        <w:jc w:val="both"/>
      </w:pPr>
      <w:r>
        <w:t>PN-EN ISO 8504-2:2002</w:t>
      </w:r>
      <w:r>
        <w:tab/>
        <w:t>Przygotowanie podłoży stalowych przed nakładaniem farb i podobnych produktów -- Metody przygotowania powierzchni -- Część 2: Obróbka strumieniowo-ścierna</w:t>
      </w:r>
    </w:p>
    <w:p w:rsidR="00B77F00" w:rsidRDefault="00865FA3">
      <w:pPr>
        <w:pStyle w:val="Textbody"/>
        <w:jc w:val="both"/>
      </w:pPr>
      <w:r>
        <w:t>PN-EN ISO 8504-3:2004</w:t>
      </w:r>
      <w:r>
        <w:tab/>
        <w:t>Przygotowanie podłoży stalowych przed nakładaniem farb i podobnych produktów -- Metody przygotowania powierzchni -- Część 3: Czyszczenie narzędziem ręcznym i narzędziem z napędem mechanicznym</w:t>
      </w:r>
    </w:p>
    <w:p w:rsidR="00B77F00" w:rsidRDefault="00865FA3">
      <w:pPr>
        <w:pStyle w:val="Textbody"/>
        <w:jc w:val="both"/>
      </w:pPr>
      <w:r>
        <w:t>PN-ISO 8501-1:1996</w:t>
      </w:r>
      <w:r>
        <w:tab/>
        <w:t xml:space="preserve">Przygotowanie podłoży </w:t>
      </w:r>
      <w:r>
        <w:t>stalowych przed nakładaniem farb i podobnych produktów -- Wzrokowa ocena czystości powierzchni -- Stopnie skorodowania i stopnie przygotowania niezabezpieczonych podłoży stalowych oraz podłoży stalowych po całkowitym usunięciu wcześniej nałożonych powłok</w:t>
      </w:r>
    </w:p>
    <w:p w:rsidR="00B77F00" w:rsidRDefault="00865FA3">
      <w:pPr>
        <w:pStyle w:val="Textbody"/>
        <w:jc w:val="both"/>
      </w:pPr>
      <w:r>
        <w:t>1</w:t>
      </w:r>
      <w:r>
        <w:t>0.1.3.</w:t>
      </w:r>
      <w:r>
        <w:tab/>
        <w:t>Farby i lakiery</w:t>
      </w:r>
    </w:p>
    <w:p w:rsidR="00B77F00" w:rsidRDefault="00865FA3">
      <w:pPr>
        <w:pStyle w:val="Textbody"/>
        <w:jc w:val="both"/>
      </w:pPr>
      <w:r>
        <w:t>PN-86/H-04623</w:t>
      </w:r>
      <w:r>
        <w:tab/>
        <w:t>Ochrona przed korozją. Pomiar grubości powłok metalowych metodami nieniszczącymi.</w:t>
      </w:r>
    </w:p>
    <w:p w:rsidR="00B77F00" w:rsidRDefault="00865FA3">
      <w:pPr>
        <w:pStyle w:val="Textbody"/>
        <w:jc w:val="both"/>
      </w:pPr>
      <w:r>
        <w:t>PN-79/C-81514</w:t>
      </w:r>
      <w:r>
        <w:tab/>
        <w:t>Wyroby lakierowe -- Sposoby otrzymywania powłok do badań</w:t>
      </w:r>
    </w:p>
    <w:p w:rsidR="00B77F00" w:rsidRDefault="00865FA3">
      <w:pPr>
        <w:pStyle w:val="Textbody"/>
        <w:jc w:val="both"/>
      </w:pPr>
      <w:r>
        <w:t>PN-76/C-81516</w:t>
      </w:r>
      <w:r>
        <w:tab/>
        <w:t xml:space="preserve">Wyroby lakierowe -- Oznaczanie ścieralności powłok </w:t>
      </w:r>
      <w:r>
        <w:t>lakierowych</w:t>
      </w:r>
    </w:p>
    <w:p w:rsidR="00B77F00" w:rsidRDefault="00865FA3">
      <w:pPr>
        <w:pStyle w:val="Textbody"/>
        <w:jc w:val="both"/>
      </w:pPr>
      <w:r>
        <w:t>PN-75/C-81518</w:t>
      </w:r>
      <w:r>
        <w:tab/>
        <w:t>Wyroby lakierowe -- Oznaczanie porowatości powłok lakierowych</w:t>
      </w:r>
    </w:p>
    <w:p w:rsidR="00B77F00" w:rsidRDefault="00865FA3">
      <w:pPr>
        <w:pStyle w:val="Textbody"/>
        <w:jc w:val="both"/>
      </w:pPr>
      <w:r>
        <w:t>PN-79/C-81519</w:t>
      </w:r>
      <w:r>
        <w:tab/>
        <w:t>Wyroby lakierowe -- Określanie stopnia wyschnięcia i czasu wysychania</w:t>
      </w:r>
    </w:p>
    <w:p w:rsidR="00B77F00" w:rsidRDefault="00865FA3">
      <w:pPr>
        <w:pStyle w:val="Textbody"/>
        <w:jc w:val="both"/>
      </w:pPr>
      <w:r>
        <w:t>PN-76/C-81521</w:t>
      </w:r>
      <w:r>
        <w:tab/>
        <w:t>Wyroby lakierowe -- Badanie odporności powłok lakierowych na działanie</w:t>
      </w:r>
      <w:r>
        <w:t xml:space="preserve"> wody oraz oznaczanie nasiąkliwości</w:t>
      </w:r>
    </w:p>
    <w:p w:rsidR="00B77F00" w:rsidRDefault="00865FA3">
      <w:pPr>
        <w:pStyle w:val="Textbody"/>
        <w:jc w:val="both"/>
      </w:pPr>
      <w:r>
        <w:t>PN-88/C-81523</w:t>
      </w:r>
      <w:r>
        <w:tab/>
        <w:t>Wyroby lakierowe -- Oznaczanie odporności powłok na działanie mgły solnej</w:t>
      </w:r>
    </w:p>
    <w:p w:rsidR="00B77F00" w:rsidRDefault="00865FA3">
      <w:pPr>
        <w:pStyle w:val="Textbody"/>
        <w:jc w:val="both"/>
      </w:pPr>
      <w:r>
        <w:t>PN-88/C-81525</w:t>
      </w:r>
      <w:r>
        <w:tab/>
        <w:t>Wyroby lakierowe -- Badanie odporności powłok na działanie atmosfery nasyconej parą wodną</w:t>
      </w:r>
    </w:p>
    <w:p w:rsidR="00B77F00" w:rsidRDefault="00865FA3">
      <w:pPr>
        <w:pStyle w:val="Textbody"/>
        <w:jc w:val="both"/>
      </w:pPr>
      <w:r>
        <w:t>PN-89/C-81536</w:t>
      </w:r>
      <w:r>
        <w:tab/>
        <w:t>Wyroby lakiero</w:t>
      </w:r>
      <w:r>
        <w:t>we -- Oznaczanie krycia</w:t>
      </w:r>
    </w:p>
    <w:p w:rsidR="00B77F00" w:rsidRDefault="00865FA3">
      <w:pPr>
        <w:pStyle w:val="Textbody"/>
        <w:jc w:val="both"/>
      </w:pPr>
      <w:r>
        <w:t>PN-88/C-81556</w:t>
      </w:r>
      <w:r>
        <w:tab/>
        <w:t>Wyroby lakierowe -- Badanie odporności powłok lakierowych na działanie zmiennych temperatur</w:t>
      </w:r>
    </w:p>
    <w:p w:rsidR="00B77F00" w:rsidRDefault="00865FA3">
      <w:pPr>
        <w:pStyle w:val="Textbody"/>
        <w:jc w:val="both"/>
      </w:pPr>
      <w:r>
        <w:t>PN-EN ISO 1518:2000</w:t>
      </w:r>
      <w:r>
        <w:tab/>
        <w:t>Farby i lakiery -- Próba zarysowania</w:t>
      </w:r>
    </w:p>
    <w:p w:rsidR="00B77F00" w:rsidRDefault="00865FA3">
      <w:pPr>
        <w:pStyle w:val="Textbody"/>
        <w:jc w:val="both"/>
      </w:pPr>
      <w:r>
        <w:t>PN-EN ISO 2409:1999</w:t>
      </w:r>
      <w:r>
        <w:tab/>
        <w:t>Farby i lakiery -- Metoda siatki nacięć</w:t>
      </w:r>
    </w:p>
    <w:p w:rsidR="00B77F00" w:rsidRDefault="00865FA3">
      <w:pPr>
        <w:pStyle w:val="Textbody"/>
        <w:jc w:val="both"/>
      </w:pPr>
      <w:r>
        <w:t>PN-EN ISO</w:t>
      </w:r>
      <w:r>
        <w:t xml:space="preserve"> 2808:2000</w:t>
      </w:r>
      <w:r>
        <w:tab/>
        <w:t>Farby i lakiery -- Oznaczanie grubości powłoki</w:t>
      </w:r>
    </w:p>
    <w:p w:rsidR="00B77F00" w:rsidRDefault="00865FA3">
      <w:pPr>
        <w:pStyle w:val="Textbody"/>
        <w:jc w:val="both"/>
      </w:pPr>
      <w:r>
        <w:t>PN-EN ISO 2810:2005</w:t>
      </w:r>
      <w:r>
        <w:tab/>
        <w:t>Farby i lakiery -- Powłoki w naturalnych warunkach atmosferycznych -- Ekspozycja i ocena</w:t>
      </w:r>
    </w:p>
    <w:p w:rsidR="00B77F00" w:rsidRDefault="00865FA3">
      <w:pPr>
        <w:pStyle w:val="Textbody"/>
        <w:jc w:val="both"/>
      </w:pPr>
      <w:r>
        <w:t>PN-EN ISO 2812-1:2001</w:t>
      </w:r>
      <w:r>
        <w:tab/>
        <w:t>Farby i lakiery -- Oznaczanie odporności na ciecze -- Część 1: Meto</w:t>
      </w:r>
      <w:r>
        <w:t>dy ogólne</w:t>
      </w:r>
    </w:p>
    <w:p w:rsidR="00B77F00" w:rsidRDefault="00865FA3">
      <w:pPr>
        <w:pStyle w:val="Textbody"/>
        <w:jc w:val="both"/>
      </w:pPr>
      <w:r>
        <w:t>PN-EN ISO 2812-2:2000</w:t>
      </w:r>
      <w:r>
        <w:tab/>
        <w:t>Farby i lakiery -- Oznaczanie odporności na ciecze -- Metoda zanurzania w wodzie</w:t>
      </w:r>
    </w:p>
    <w:p w:rsidR="00B77F00" w:rsidRDefault="00865FA3">
      <w:pPr>
        <w:pStyle w:val="Textbody"/>
        <w:jc w:val="both"/>
      </w:pPr>
      <w:r>
        <w:t>PN-EN ISO 2813:2001</w:t>
      </w:r>
      <w:r>
        <w:tab/>
        <w:t>Farby i lakiery -- Oznaczanie połysku zwierciadlanego niemetalicznych powłok lakierowych pod kątem 20 stopni, 60 stopni i 8</w:t>
      </w:r>
      <w:r>
        <w:t>5 stopni</w:t>
      </w:r>
    </w:p>
    <w:p w:rsidR="00B77F00" w:rsidRDefault="00865FA3">
      <w:pPr>
        <w:pStyle w:val="Textbody"/>
        <w:jc w:val="both"/>
      </w:pPr>
      <w:r>
        <w:t>PN-EN ISO 2815:2004</w:t>
      </w:r>
      <w:r>
        <w:tab/>
        <w:t>Farby i lakiery -- Próba wciskania według Buchholza</w:t>
      </w:r>
    </w:p>
    <w:p w:rsidR="00B77F00" w:rsidRDefault="00865FA3">
      <w:pPr>
        <w:pStyle w:val="Textbody"/>
        <w:jc w:val="both"/>
      </w:pPr>
      <w:r>
        <w:t>PN-EN ISO 3231:2000</w:t>
      </w:r>
      <w:r>
        <w:tab/>
        <w:t>Farby i lakiery -- Oznaczanie odporności na wilgotne atmosfery zawierające ditlenek siarki</w:t>
      </w:r>
    </w:p>
    <w:p w:rsidR="00B77F00" w:rsidRDefault="00865FA3">
      <w:pPr>
        <w:pStyle w:val="Textbody"/>
        <w:jc w:val="both"/>
      </w:pPr>
      <w:r>
        <w:lastRenderedPageBreak/>
        <w:t>PN-EN ISO 3248:2001</w:t>
      </w:r>
      <w:r>
        <w:tab/>
        <w:t>Farby i lakiery -- Oznaczanie wpływu ciepła</w:t>
      </w:r>
    </w:p>
    <w:p w:rsidR="00B77F00" w:rsidRDefault="00865FA3">
      <w:pPr>
        <w:pStyle w:val="Textbody"/>
        <w:jc w:val="both"/>
      </w:pPr>
      <w:r>
        <w:t>PN-EN ISO 3668:2002</w:t>
      </w:r>
      <w:r>
        <w:tab/>
        <w:t>Farby i lakiery -- Wzrokowe porównywanie barwy farb</w:t>
      </w:r>
    </w:p>
    <w:p w:rsidR="00B77F00" w:rsidRDefault="00865FA3">
      <w:pPr>
        <w:pStyle w:val="Textbody"/>
        <w:jc w:val="both"/>
      </w:pPr>
      <w:r>
        <w:t>PN-EN ISO 3678:1999</w:t>
      </w:r>
      <w:r>
        <w:tab/>
        <w:t>Farby i lakiery -- Badanie odporności na wgniecenie</w:t>
      </w:r>
    </w:p>
    <w:p w:rsidR="00B77F00" w:rsidRDefault="00865FA3">
      <w:pPr>
        <w:pStyle w:val="Textbody"/>
        <w:jc w:val="both"/>
      </w:pPr>
      <w:r>
        <w:t>PN-EN ISO 4623-1:2002</w:t>
      </w:r>
      <w:r>
        <w:tab/>
        <w:t>Farby i lakiery -- Oznaczanie odporności na korozję nitkową -- Część 1: Podłoże stalowe</w:t>
      </w:r>
    </w:p>
    <w:p w:rsidR="00B77F00" w:rsidRDefault="00865FA3">
      <w:pPr>
        <w:pStyle w:val="Textbody"/>
        <w:jc w:val="both"/>
      </w:pPr>
      <w:r>
        <w:t>PN</w:t>
      </w:r>
      <w:r>
        <w:t>-EN ISO 4624:2004</w:t>
      </w:r>
      <w:r>
        <w:tab/>
        <w:t>Farby i lakiery -- Próba odrywania do oceny przyczepności</w:t>
      </w:r>
    </w:p>
    <w:p w:rsidR="00B77F00" w:rsidRDefault="00865FA3">
      <w:pPr>
        <w:pStyle w:val="Textbody"/>
        <w:jc w:val="both"/>
      </w:pPr>
      <w:r>
        <w:t>PN-EN ISO 4628-1:2005</w:t>
      </w:r>
      <w:r>
        <w:tab/>
        <w:t>Farby i lakiery -- Ocena zniszczenia powłok -- Określanie ilości i rozmiaru uszkodzeń oraz intensywności jednolitych zmian w wyglądzie – Część 1: Wprowadzenie</w:t>
      </w:r>
      <w:r>
        <w:t xml:space="preserve"> ogólne i system określania</w:t>
      </w:r>
    </w:p>
    <w:p w:rsidR="00B77F00" w:rsidRDefault="00865FA3">
      <w:pPr>
        <w:pStyle w:val="Textbody"/>
        <w:jc w:val="both"/>
      </w:pPr>
      <w:r>
        <w:t>PN-EN ISO 4628-2:2005</w:t>
      </w:r>
      <w:r>
        <w:tab/>
        <w:t>Farby i lakiery -- Ocena zniszczenia powłok -- Określanie ilości i rozmiaru uszkodzeń oraz intensywności jednolitych zmian w wyglądzie – Część 2: Ocena stopnia spęcherzenia</w:t>
      </w:r>
    </w:p>
    <w:p w:rsidR="00B77F00" w:rsidRDefault="00865FA3">
      <w:pPr>
        <w:pStyle w:val="Textbody"/>
        <w:jc w:val="both"/>
      </w:pPr>
      <w:r>
        <w:t>PN-EN ISO 4628-3:2005</w:t>
      </w:r>
      <w:r>
        <w:tab/>
        <w:t>Farby i lak</w:t>
      </w:r>
      <w:r>
        <w:t>iery -- Ocena zniszczenia powłok -- Określanie ilości i rozmiaru uszkodzeń oraz intensywności jednolitych zmian w wyglądzie – Część 3: Ocena stopnia zardzewienia</w:t>
      </w:r>
    </w:p>
    <w:p w:rsidR="00B77F00" w:rsidRDefault="00865FA3">
      <w:pPr>
        <w:pStyle w:val="Textbody"/>
        <w:jc w:val="both"/>
      </w:pPr>
      <w:r>
        <w:t>PN-EN ISO 4628-4:2005</w:t>
      </w:r>
      <w:r>
        <w:tab/>
        <w:t>Farby i lakiery -- Ocena zniszczenia powłok -- Określanie ilości i rozmi</w:t>
      </w:r>
      <w:r>
        <w:t>aru uszkodzeń oraz intensywności jednolitych zmian w wyglądzie – Część 4: Ocena stopnia spękania</w:t>
      </w:r>
    </w:p>
    <w:p w:rsidR="00B77F00" w:rsidRDefault="00865FA3">
      <w:pPr>
        <w:pStyle w:val="Textbody"/>
        <w:jc w:val="both"/>
      </w:pPr>
      <w:r>
        <w:t>PN-EN ISO 4628-5:2005</w:t>
      </w:r>
      <w:r>
        <w:tab/>
        <w:t xml:space="preserve">Farby i lakiery -- Ocena zniszczenia powłok -- Określanie ilości i rozmiaru uszkodzeń oraz intensywności jednolitych zmian w wyglądzie – </w:t>
      </w:r>
      <w:r>
        <w:t>Część 5: Ocena stopnia złuszczenia</w:t>
      </w:r>
    </w:p>
    <w:p w:rsidR="00B77F00" w:rsidRDefault="00865FA3">
      <w:pPr>
        <w:pStyle w:val="Textbody"/>
        <w:jc w:val="both"/>
      </w:pPr>
      <w:r>
        <w:t xml:space="preserve"> </w:t>
      </w:r>
    </w:p>
    <w:p w:rsidR="00B77F00" w:rsidRDefault="00865FA3">
      <w:pPr>
        <w:pStyle w:val="Textbody"/>
        <w:jc w:val="both"/>
      </w:pPr>
      <w:r>
        <w:t>PN-EN ISO 4628-7:2005</w:t>
      </w:r>
      <w:r>
        <w:tab/>
        <w:t>Farby i lakiery -- Ocena zniszczenia powłok -- Określanie ilości i rozmiaru uszkodzeń oraz intensywności jednolitych zmian w wyglądzie – Część 7: Ocena stopnia skredowania metodą aksamitu</w:t>
      </w:r>
    </w:p>
    <w:p w:rsidR="00B77F00" w:rsidRDefault="00865FA3">
      <w:pPr>
        <w:pStyle w:val="Textbody"/>
        <w:jc w:val="both"/>
      </w:pPr>
      <w:r>
        <w:t>PN-EN ISO</w:t>
      </w:r>
      <w:r>
        <w:t xml:space="preserve"> 4628-8:2005 (U)</w:t>
      </w:r>
      <w:r>
        <w:tab/>
        <w:t>Farby i lakiery -- Ocena zniszczenia powłok -- Określanie ilości i rozmiaru uszkodzeń oraz intensywności jednolitych zmian w wyglądzie – Część 8: Ocena stopnia rozwarstwienia i korozji wokół zarysowania</w:t>
      </w:r>
    </w:p>
    <w:p w:rsidR="00B77F00" w:rsidRDefault="00865FA3">
      <w:pPr>
        <w:pStyle w:val="Textbody"/>
        <w:jc w:val="both"/>
      </w:pPr>
      <w:r>
        <w:t>PN-EN ISO 4628-10:2005</w:t>
      </w:r>
      <w:r>
        <w:tab/>
        <w:t>Farby i lakie</w:t>
      </w:r>
      <w:r>
        <w:t>ry -- Ocena zniszczenia powłok -- Określanie ilości i rozmiaru uszkodzeń oraz intensywności jednolitych zmian w wyglądzie – Część 10: Ocena stopnia korozji nitkowej</w:t>
      </w:r>
    </w:p>
    <w:p w:rsidR="00B77F00" w:rsidRDefault="00865FA3">
      <w:pPr>
        <w:pStyle w:val="Textbody"/>
        <w:jc w:val="both"/>
      </w:pPr>
      <w:r>
        <w:t>PN-EN ISO 6270-1:2002</w:t>
      </w:r>
      <w:r>
        <w:tab/>
        <w:t>Farby i lakiery -- Oznaczanie odporności na wilgoć -- Część 1: Konden</w:t>
      </w:r>
      <w:r>
        <w:t>sacja ciągła</w:t>
      </w:r>
    </w:p>
    <w:p w:rsidR="00B77F00" w:rsidRDefault="00865FA3">
      <w:pPr>
        <w:pStyle w:val="Textbody"/>
        <w:jc w:val="both"/>
      </w:pPr>
      <w:r>
        <w:t>PN-EN ISO 6270-2:2005 (U)</w:t>
      </w:r>
      <w:r>
        <w:tab/>
        <w:t>Farby i lakiery -- Oznaczanie odporności na wilgoć -- Część 2: Metoda ekspozycji próbek do badań w środowiskach z kondensacją wody</w:t>
      </w:r>
    </w:p>
    <w:p w:rsidR="00B77F00" w:rsidRDefault="00865FA3">
      <w:pPr>
        <w:pStyle w:val="Textbody"/>
        <w:jc w:val="both"/>
      </w:pPr>
      <w:r>
        <w:t>PN-EN ISO 6272-1:2005</w:t>
      </w:r>
      <w:r>
        <w:tab/>
        <w:t>Farby i lakiery -- Badania nagłego odkształcenia (odporność na u</w:t>
      </w:r>
      <w:r>
        <w:t>derzenie) -- Część 1: Badanie za pomocą spadającego ciężarka, wgłębnik o dużej powierzchni</w:t>
      </w:r>
    </w:p>
    <w:p w:rsidR="00B77F00" w:rsidRDefault="00865FA3">
      <w:pPr>
        <w:pStyle w:val="Textbody"/>
        <w:jc w:val="both"/>
      </w:pPr>
      <w:r>
        <w:t>PN-EN ISO 6860:2000</w:t>
      </w:r>
      <w:r>
        <w:tab/>
        <w:t>Farby i lakiery -- Próba zginania na sworzniu (sworzeń stożkowy)</w:t>
      </w:r>
    </w:p>
    <w:p w:rsidR="00B77F00" w:rsidRDefault="00865FA3">
      <w:pPr>
        <w:pStyle w:val="Textbody"/>
        <w:jc w:val="both"/>
      </w:pPr>
      <w:r>
        <w:t>PN-EN ISO 11341:2005</w:t>
      </w:r>
      <w:r>
        <w:tab/>
        <w:t>Farby i lakiery -- Sztuczne warunki atmosferyczne i ekspozy</w:t>
      </w:r>
      <w:r>
        <w:t>cja na sztuczne promieniowanie -- Ekspozycja na filtrowane promieniowanie lampy ksenonowej łukowej</w:t>
      </w:r>
    </w:p>
    <w:p w:rsidR="00B77F00" w:rsidRDefault="00865FA3">
      <w:pPr>
        <w:pStyle w:val="Textbody"/>
        <w:jc w:val="both"/>
      </w:pPr>
      <w:r>
        <w:t>PN-ISO 4628-6:1999</w:t>
      </w:r>
      <w:r>
        <w:tab/>
        <w:t>Farby i lakiery -- Ocena zniszczenia powłok lakierowych -- Określanie intensywności, ilości i rozmiaru podstawowych rodzajów uszkodzenia -</w:t>
      </w:r>
      <w:r>
        <w:t>- Ocena stopnia skredowania metodą taśmy</w:t>
      </w:r>
    </w:p>
    <w:p w:rsidR="00B77F00" w:rsidRDefault="00865FA3">
      <w:pPr>
        <w:pStyle w:val="Textbody"/>
        <w:jc w:val="both"/>
      </w:pPr>
      <w:r>
        <w:t>PN-ISO 7253:2000</w:t>
      </w:r>
      <w:r>
        <w:tab/>
        <w:t>Farby i lakiery -- Oznaczanie odporności na rozpyloną obojętną solankę (mgłę)</w:t>
      </w:r>
    </w:p>
    <w:p w:rsidR="00B77F00" w:rsidRDefault="00865FA3">
      <w:pPr>
        <w:pStyle w:val="Textbody"/>
        <w:jc w:val="both"/>
      </w:pPr>
      <w:r>
        <w:t>PN-ISO 7724-1:2003</w:t>
      </w:r>
      <w:r>
        <w:tab/>
        <w:t>Farby i lakiery -- Kolorymetria -- Część 1: Podstawy</w:t>
      </w:r>
    </w:p>
    <w:p w:rsidR="00B77F00" w:rsidRDefault="00865FA3">
      <w:pPr>
        <w:pStyle w:val="Textbody"/>
        <w:jc w:val="both"/>
      </w:pPr>
      <w:r>
        <w:t>PN-ISO 7724-2:2003</w:t>
      </w:r>
      <w:r>
        <w:tab/>
        <w:t xml:space="preserve">Farby i lakiery -- </w:t>
      </w:r>
      <w:r>
        <w:t>Kolorymetria -- Część 2: Pomiar barwy</w:t>
      </w:r>
    </w:p>
    <w:p w:rsidR="00B77F00" w:rsidRDefault="00865FA3">
      <w:pPr>
        <w:pStyle w:val="Textbody"/>
        <w:jc w:val="both"/>
      </w:pPr>
      <w:r>
        <w:t>PN-ISO 7724-3:2003</w:t>
      </w:r>
      <w:r>
        <w:tab/>
        <w:t>Farby i lakiery -- Kolorymetria -- Część 3: Obliczanie różnic barwy</w:t>
      </w:r>
    </w:p>
    <w:p w:rsidR="00B77F00" w:rsidRDefault="00865FA3">
      <w:pPr>
        <w:pStyle w:val="Textbody"/>
        <w:jc w:val="both"/>
      </w:pPr>
      <w:r>
        <w:t>PN-ISO 7784-1:2000</w:t>
      </w:r>
      <w:r>
        <w:tab/>
        <w:t>Farby i lakiery -- Oznaczanie odporności na ścieranie -- Metoda obracającego się krążka pokrytego papierem ścier</w:t>
      </w:r>
      <w:r>
        <w:t>nym</w:t>
      </w:r>
    </w:p>
    <w:p w:rsidR="00B77F00" w:rsidRDefault="00865FA3">
      <w:pPr>
        <w:pStyle w:val="Textbody"/>
        <w:jc w:val="both"/>
      </w:pPr>
      <w:r>
        <w:t>PN-ISO 7784-2:2000</w:t>
      </w:r>
      <w:r>
        <w:tab/>
        <w:t>Farby i lakiery -- Oznaczanie odporności na ścieranie -- Metoda obracającego się gumowego krążka ściernego</w:t>
      </w:r>
    </w:p>
    <w:p w:rsidR="00B77F00" w:rsidRDefault="00865FA3">
      <w:pPr>
        <w:pStyle w:val="Textbody"/>
        <w:jc w:val="both"/>
      </w:pPr>
      <w:r>
        <w:lastRenderedPageBreak/>
        <w:t>PN-ISO 7784-3:2002</w:t>
      </w:r>
      <w:r>
        <w:tab/>
        <w:t>Farby i lakiery -- Oznaczanie odporności na ścieranie -- Część 3: Metoda badania płytek w ruchu posuwisto-z</w:t>
      </w:r>
      <w:r>
        <w:t>wrotnym</w:t>
      </w:r>
    </w:p>
    <w:p w:rsidR="00B77F00" w:rsidRDefault="00865FA3">
      <w:pPr>
        <w:pStyle w:val="Textbody"/>
        <w:jc w:val="both"/>
      </w:pPr>
      <w:r>
        <w:t>PN-ISO 11503:2001</w:t>
      </w:r>
      <w:r>
        <w:tab/>
        <w:t>Farby i lakiery -- Oznaczanie odporności na wilgoć (kondensacja nieciągła)</w:t>
      </w:r>
    </w:p>
    <w:p w:rsidR="00B77F00" w:rsidRDefault="00865FA3">
      <w:pPr>
        <w:pStyle w:val="Textbody"/>
        <w:jc w:val="both"/>
      </w:pPr>
      <w:r>
        <w:t>PN-ISO 11507:2000</w:t>
      </w:r>
      <w:r>
        <w:tab/>
        <w:t>Farby i lakiery -- Ekspozycja powłok lakierowych na sztuczne działanie atmosferyczne -- Ekspozycja na promieniowanie fluorescencyjne UV i</w:t>
      </w:r>
      <w:r>
        <w:t xml:space="preserve"> wodę</w:t>
      </w:r>
    </w:p>
    <w:p w:rsidR="00B77F00" w:rsidRDefault="00865FA3">
      <w:pPr>
        <w:pStyle w:val="Textbody"/>
        <w:jc w:val="both"/>
      </w:pPr>
      <w:r>
        <w:t>PN-ISO 12137-1:2001</w:t>
      </w:r>
      <w:r>
        <w:tab/>
        <w:t>Farby i lakiery -- Oznaczanie odporności na uszkodzenie -- Część 1: Metoda z zastosowaniem zaokrąglonego rylca</w:t>
      </w:r>
    </w:p>
    <w:p w:rsidR="00B77F00" w:rsidRDefault="00865FA3">
      <w:pPr>
        <w:pStyle w:val="Textbody"/>
        <w:jc w:val="both"/>
      </w:pPr>
      <w:r>
        <w:t>PN-ISO 12137-2:2001</w:t>
      </w:r>
      <w:r>
        <w:tab/>
        <w:t>Farby i lakiery -- Oznaczanie odporności na uszkodzenie -- Część 2: Metoda z zastosowaniem spiczast</w:t>
      </w:r>
      <w:r>
        <w:t>ego rylca</w:t>
      </w:r>
    </w:p>
    <w:p w:rsidR="00B77F00" w:rsidRDefault="00865FA3">
      <w:pPr>
        <w:pStyle w:val="Textbody"/>
        <w:jc w:val="both"/>
      </w:pPr>
      <w:r>
        <w:t>PN-ISO 15184:2001</w:t>
      </w:r>
      <w:r>
        <w:tab/>
        <w:t>Farby i lakiery -- Oznaczanie twardości powłoki metodą ołówkową</w:t>
      </w:r>
    </w:p>
    <w:p w:rsidR="00B77F00" w:rsidRDefault="00865FA3">
      <w:pPr>
        <w:pStyle w:val="Textbody"/>
        <w:jc w:val="both"/>
      </w:pPr>
      <w:r>
        <w:t>10.2</w:t>
      </w:r>
      <w:r>
        <w:tab/>
        <w:t>Inne dokumenty</w:t>
      </w:r>
    </w:p>
    <w:p w:rsidR="00B77F00" w:rsidRDefault="00865FA3">
      <w:pPr>
        <w:pStyle w:val="Textbody"/>
        <w:jc w:val="both"/>
      </w:pPr>
      <w:r>
        <w:tab/>
        <w:t xml:space="preserve">Katalog metod zabezpieczenia przed korozją stalowych obiektów mostowych. Instytut badawczy Dróg i Mostów. Informacje, </w:t>
      </w:r>
      <w:r>
        <w:rPr>
          <w:rFonts w:eastAsia="Arial" w:cs="Arial"/>
          <w:spacing w:val="-1"/>
          <w:szCs w:val="20"/>
        </w:rPr>
        <w:t>instrukcje</w:t>
      </w:r>
      <w:r>
        <w:t xml:space="preserve">. Zeszyt 57. </w:t>
      </w:r>
      <w:r>
        <w:t>Warszawa 1998</w:t>
      </w:r>
    </w:p>
    <w:p w:rsidR="00B77F00" w:rsidRDefault="00865FA3">
      <w:pPr>
        <w:pStyle w:val="Textbody"/>
        <w:tabs>
          <w:tab w:val="left" w:pos="2280"/>
        </w:tabs>
        <w:spacing w:after="0"/>
        <w:jc w:val="both"/>
        <w:rPr>
          <w:rFonts w:cs="Arial"/>
          <w:szCs w:val="20"/>
        </w:rPr>
      </w:pPr>
      <w:r>
        <w:rPr>
          <w:rFonts w:cs="Arial"/>
          <w:szCs w:val="20"/>
        </w:rPr>
        <w:tab/>
        <w:t xml:space="preserve">Instrukcja malowania i renowacji pokryć malarskich wykonywanych poza wytwórnią na </w:t>
      </w:r>
      <w:r>
        <w:rPr>
          <w:rFonts w:cs="Arial"/>
          <w:szCs w:val="20"/>
        </w:rPr>
        <w:t>stalowych</w:t>
      </w:r>
      <w:r>
        <w:rPr>
          <w:rFonts w:cs="Arial"/>
          <w:szCs w:val="20"/>
        </w:rPr>
        <w:t xml:space="preserve"> konstrukcjach mostowych, IBDiM Warszawa, 1989r.</w:t>
      </w:r>
    </w:p>
    <w:p w:rsidR="00B77F00" w:rsidRDefault="00B77F00">
      <w:pPr>
        <w:pStyle w:val="Textbody"/>
        <w:tabs>
          <w:tab w:val="left" w:pos="2280"/>
        </w:tabs>
        <w:spacing w:after="0"/>
        <w:jc w:val="both"/>
        <w:rPr>
          <w:rFonts w:cs="Arial"/>
          <w:szCs w:val="20"/>
        </w:rPr>
      </w:pPr>
    </w:p>
    <w:p w:rsidR="00B77F00" w:rsidRDefault="00B77F00">
      <w:pPr>
        <w:pStyle w:val="Textbody"/>
        <w:tabs>
          <w:tab w:val="left" w:pos="2280"/>
        </w:tabs>
        <w:spacing w:after="0"/>
        <w:jc w:val="both"/>
        <w:rPr>
          <w:rFonts w:cs="Arial"/>
          <w:szCs w:val="20"/>
        </w:rPr>
      </w:pPr>
    </w:p>
    <w:p w:rsidR="00B77F00" w:rsidRDefault="00B77F00">
      <w:pPr>
        <w:pStyle w:val="Textbody"/>
        <w:tabs>
          <w:tab w:val="left" w:pos="2280"/>
        </w:tabs>
        <w:spacing w:after="0"/>
        <w:jc w:val="both"/>
        <w:rPr>
          <w:rFonts w:cs="Arial"/>
          <w:szCs w:val="20"/>
        </w:rPr>
      </w:pPr>
    </w:p>
    <w:p w:rsidR="00B77F00" w:rsidRDefault="00B77F00">
      <w:pPr>
        <w:pStyle w:val="Textbody"/>
        <w:tabs>
          <w:tab w:val="left" w:pos="2280"/>
        </w:tabs>
        <w:spacing w:after="0"/>
        <w:jc w:val="both"/>
        <w:rPr>
          <w:rFonts w:cs="Arial"/>
          <w:szCs w:val="20"/>
        </w:rPr>
      </w:pPr>
    </w:p>
    <w:p w:rsidR="00B77F00" w:rsidRDefault="00B77F00">
      <w:pPr>
        <w:pStyle w:val="Textbody"/>
        <w:tabs>
          <w:tab w:val="left" w:pos="2280"/>
        </w:tabs>
        <w:spacing w:after="0"/>
        <w:jc w:val="both"/>
        <w:rPr>
          <w:rFonts w:cs="Arial"/>
          <w:szCs w:val="20"/>
        </w:rPr>
      </w:pPr>
    </w:p>
    <w:p w:rsidR="00B77F00" w:rsidRDefault="00B77F00">
      <w:pPr>
        <w:pStyle w:val="Textbody"/>
        <w:tabs>
          <w:tab w:val="left" w:pos="2280"/>
        </w:tabs>
        <w:spacing w:after="0"/>
        <w:jc w:val="both"/>
        <w:rPr>
          <w:rFonts w:cs="Arial"/>
          <w:szCs w:val="20"/>
        </w:rPr>
      </w:pPr>
    </w:p>
    <w:p w:rsidR="00B77F00" w:rsidRDefault="00B77F00">
      <w:pPr>
        <w:pStyle w:val="Textbody"/>
        <w:tabs>
          <w:tab w:val="left" w:pos="2280"/>
        </w:tabs>
        <w:spacing w:after="0"/>
        <w:jc w:val="both"/>
        <w:rPr>
          <w:rFonts w:cs="Arial"/>
          <w:szCs w:val="20"/>
        </w:rPr>
      </w:pPr>
    </w:p>
    <w:p w:rsidR="00B77F00" w:rsidRDefault="00B77F00">
      <w:pPr>
        <w:pStyle w:val="Textbody"/>
        <w:tabs>
          <w:tab w:val="left" w:pos="2280"/>
        </w:tabs>
        <w:spacing w:after="0"/>
        <w:jc w:val="both"/>
        <w:rPr>
          <w:rFonts w:cs="Arial"/>
          <w:szCs w:val="20"/>
        </w:rPr>
      </w:pPr>
    </w:p>
    <w:p w:rsidR="00B77F00" w:rsidRDefault="00B77F00">
      <w:pPr>
        <w:pStyle w:val="Textbody"/>
        <w:tabs>
          <w:tab w:val="left" w:pos="2280"/>
        </w:tabs>
        <w:spacing w:after="0"/>
        <w:jc w:val="both"/>
        <w:rPr>
          <w:rFonts w:cs="Arial"/>
          <w:szCs w:val="20"/>
        </w:rPr>
      </w:pPr>
    </w:p>
    <w:p w:rsidR="00B77F00" w:rsidRDefault="00B77F00">
      <w:pPr>
        <w:pStyle w:val="Textbody"/>
        <w:tabs>
          <w:tab w:val="left" w:pos="2280"/>
        </w:tabs>
        <w:spacing w:after="0"/>
        <w:jc w:val="both"/>
        <w:rPr>
          <w:rFonts w:cs="Arial"/>
          <w:szCs w:val="20"/>
        </w:rPr>
      </w:pPr>
    </w:p>
    <w:p w:rsidR="00B77F00" w:rsidRDefault="00B77F00">
      <w:pPr>
        <w:pStyle w:val="Textbody"/>
        <w:tabs>
          <w:tab w:val="left" w:pos="2280"/>
        </w:tabs>
        <w:spacing w:after="0"/>
        <w:jc w:val="both"/>
        <w:rPr>
          <w:rFonts w:cs="Arial"/>
          <w:szCs w:val="20"/>
        </w:rPr>
      </w:pPr>
    </w:p>
    <w:p w:rsidR="00B77F00" w:rsidRDefault="00B77F00">
      <w:pPr>
        <w:pStyle w:val="Textbody"/>
        <w:tabs>
          <w:tab w:val="left" w:pos="2280"/>
        </w:tabs>
        <w:spacing w:after="0"/>
        <w:jc w:val="both"/>
        <w:rPr>
          <w:rFonts w:cs="Arial"/>
          <w:szCs w:val="20"/>
        </w:rPr>
      </w:pPr>
    </w:p>
    <w:p w:rsidR="00B77F00" w:rsidRDefault="00B77F00">
      <w:pPr>
        <w:pStyle w:val="Textbody"/>
        <w:tabs>
          <w:tab w:val="left" w:pos="2280"/>
        </w:tabs>
        <w:spacing w:after="0"/>
        <w:jc w:val="both"/>
        <w:rPr>
          <w:rFonts w:cs="Arial"/>
          <w:szCs w:val="20"/>
        </w:rPr>
      </w:pPr>
    </w:p>
    <w:p w:rsidR="00B77F00" w:rsidRDefault="00B77F00">
      <w:pPr>
        <w:pStyle w:val="Textbody"/>
        <w:tabs>
          <w:tab w:val="left" w:pos="2280"/>
        </w:tabs>
        <w:spacing w:after="0"/>
        <w:jc w:val="both"/>
        <w:rPr>
          <w:rFonts w:cs="Arial"/>
          <w:szCs w:val="20"/>
        </w:rPr>
      </w:pPr>
    </w:p>
    <w:p w:rsidR="00B77F00" w:rsidRDefault="00B77F00">
      <w:pPr>
        <w:pStyle w:val="Textbody"/>
        <w:tabs>
          <w:tab w:val="left" w:pos="2280"/>
        </w:tabs>
        <w:spacing w:after="0"/>
        <w:jc w:val="both"/>
        <w:rPr>
          <w:color w:val="000000"/>
        </w:rPr>
        <w:sectPr w:rsidR="00B77F00">
          <w:headerReference w:type="default" r:id="rId47"/>
          <w:footerReference w:type="default" r:id="rId48"/>
          <w:pgSz w:w="11906" w:h="16838"/>
          <w:pgMar w:top="632" w:right="1134" w:bottom="1785" w:left="1134" w:header="708" w:footer="1134" w:gutter="0"/>
          <w:cols w:space="708"/>
        </w:sectPr>
      </w:pPr>
    </w:p>
    <w:p w:rsidR="00B77F00" w:rsidRDefault="00865FA3">
      <w:pPr>
        <w:pStyle w:val="Nagwek2"/>
        <w:spacing w:after="60" w:line="322" w:lineRule="exact"/>
      </w:pPr>
      <w:bookmarkStart w:id="28" w:name="__RefHeading___Toc718555_469610192"/>
      <w:r>
        <w:rPr>
          <w:color w:val="000000"/>
        </w:rPr>
        <w:lastRenderedPageBreak/>
        <w:t>M.30.01.04 Naprawa powierzchni zaprawami PCC</w:t>
      </w:r>
      <w:bookmarkEnd w:id="28"/>
    </w:p>
    <w:p w:rsidR="00B77F00" w:rsidRDefault="00B77F00">
      <w:pPr>
        <w:pStyle w:val="Standard"/>
        <w:rPr>
          <w:i/>
          <w:color w:val="000000"/>
        </w:rPr>
      </w:pPr>
    </w:p>
    <w:p w:rsidR="00B77F00" w:rsidRDefault="00865FA3">
      <w:pPr>
        <w:pStyle w:val="Standard"/>
        <w:jc w:val="both"/>
        <w:rPr>
          <w:b/>
          <w:bCs/>
        </w:rPr>
      </w:pPr>
      <w:r>
        <w:rPr>
          <w:b/>
          <w:bCs/>
        </w:rPr>
        <w:t>1. Wstęp</w:t>
      </w:r>
    </w:p>
    <w:p w:rsidR="00B77F00" w:rsidRDefault="00865FA3">
      <w:pPr>
        <w:pStyle w:val="Standard"/>
        <w:jc w:val="both"/>
      </w:pPr>
      <w:r>
        <w:t>1.1. Przedmiot ST</w:t>
      </w:r>
    </w:p>
    <w:p w:rsidR="00B77F00" w:rsidRDefault="00865FA3">
      <w:pPr>
        <w:pStyle w:val="Standard"/>
      </w:pPr>
      <w:r>
        <w:t xml:space="preserve">Przedmiotem </w:t>
      </w:r>
      <w:r>
        <w:t xml:space="preserve"> niniejszej  Specyfikacji  są  wymagania  techniczne  dotyczące  wykonania  i  odbioru  robót związanych z lokalnymi naprawami powierzchni betonowych zaprawami typu PCC dla inwestycji</w:t>
      </w:r>
    </w:p>
    <w:p w:rsidR="00B77F00" w:rsidRDefault="00865FA3">
      <w:pPr>
        <w:pStyle w:val="Standard"/>
        <w:jc w:val="both"/>
      </w:pPr>
      <w:r>
        <w:rPr>
          <w:rStyle w:val="WW-DefaultParagraphFont"/>
          <w:rFonts w:eastAsia="Times New Roman" w:cs="Arial"/>
          <w:color w:val="000000"/>
          <w:spacing w:val="-3"/>
          <w:lang w:val="pl-PL" w:bidi="ar-SA"/>
        </w:rPr>
        <w:t xml:space="preserve">„Remont mostu na rzece Wiązownica w msc. Wrzos w ciągu drogi powiatowej </w:t>
      </w:r>
      <w:r>
        <w:rPr>
          <w:rStyle w:val="WW-DefaultParagraphFont"/>
          <w:rFonts w:eastAsia="Times New Roman" w:cs="Arial"/>
          <w:color w:val="000000"/>
          <w:spacing w:val="-3"/>
          <w:lang w:val="pl-PL" w:bidi="ar-SA"/>
        </w:rPr>
        <w:t>nr 3501W Wrzeszczów – Wrzos - Domaniów w km 4+206”.</w:t>
      </w:r>
    </w:p>
    <w:p w:rsidR="00B77F00" w:rsidRDefault="00865FA3">
      <w:pPr>
        <w:pStyle w:val="Standard"/>
        <w:jc w:val="both"/>
      </w:pPr>
      <w:r>
        <w:t>1.2. Zakres stosowania ST</w:t>
      </w:r>
    </w:p>
    <w:p w:rsidR="00B77F00" w:rsidRDefault="00865FA3">
      <w:pPr>
        <w:pStyle w:val="Standard"/>
        <w:jc w:val="both"/>
      </w:pPr>
      <w:r>
        <w:t>Specyfikacja techniczna jest stosowana jako dokument przetargowy i kontraktowy przy zlec</w:t>
      </w:r>
      <w:r>
        <w:t>aniu i realizacji robót.</w:t>
      </w:r>
    </w:p>
    <w:p w:rsidR="00B77F00" w:rsidRDefault="00865FA3">
      <w:pPr>
        <w:pStyle w:val="Standard"/>
        <w:jc w:val="both"/>
      </w:pPr>
      <w:r>
        <w:t>1.3. Zakres robót objętych ST</w:t>
      </w:r>
    </w:p>
    <w:p w:rsidR="00B77F00" w:rsidRDefault="00865FA3">
      <w:pPr>
        <w:pStyle w:val="Standard"/>
        <w:jc w:val="both"/>
      </w:pPr>
      <w:r>
        <w:t>Ustalenia zawarte w niniejszej specyfikacji dotyczą prowadzenia robót renowacyjnychskorodowanej powierzchni zaprawą cementową z dodatkiem żywic syntetycznych przez nakładanie szpachlą elementów betonow</w:t>
      </w:r>
      <w:r>
        <w:t>ych remontowanego mostu i obejmują:</w:t>
      </w:r>
    </w:p>
    <w:p w:rsidR="00B77F00" w:rsidRDefault="00865FA3">
      <w:pPr>
        <w:pStyle w:val="Standard"/>
        <w:jc w:val="both"/>
      </w:pPr>
      <w:r>
        <w:t>a) przeprowadzenie badań betonu w istniejących konstrukcjach,</w:t>
      </w:r>
    </w:p>
    <w:p w:rsidR="00B77F00" w:rsidRDefault="00865FA3">
      <w:pPr>
        <w:pStyle w:val="Standard"/>
        <w:jc w:val="both"/>
      </w:pPr>
      <w:r>
        <w:t>b) wyrównanie powierzchni zaprawą syntetyczną typu PC - wielowarstwowo,</w:t>
      </w:r>
    </w:p>
    <w:p w:rsidR="00B77F00" w:rsidRDefault="00865FA3">
      <w:pPr>
        <w:pStyle w:val="Standard"/>
        <w:jc w:val="both"/>
      </w:pPr>
      <w:r>
        <w:t>c) wykonanie naprawy  powierzchnibetonowych</w:t>
      </w:r>
      <w:r>
        <w:t xml:space="preserve"> zaprawą cementową z dodatkiem żywic syntetycznych systemu PCC -wielowarstwowo,</w:t>
      </w:r>
    </w:p>
    <w:p w:rsidR="00B77F00" w:rsidRDefault="00865FA3">
      <w:pPr>
        <w:pStyle w:val="Standard"/>
        <w:jc w:val="both"/>
      </w:pPr>
      <w:r>
        <w:t>d) montaż i demontaż rusztowania roboczych,</w:t>
      </w:r>
    </w:p>
    <w:p w:rsidR="00B77F00" w:rsidRDefault="00865FA3">
      <w:pPr>
        <w:pStyle w:val="Standard"/>
        <w:jc w:val="both"/>
      </w:pPr>
      <w:r>
        <w:t>e). uzupełnienia ubytków kamiennych wraz ze spoinami dla przyczółków kamiennych,</w:t>
      </w:r>
    </w:p>
    <w:p w:rsidR="00B77F00" w:rsidRDefault="00865FA3">
      <w:pPr>
        <w:pStyle w:val="Standard"/>
        <w:jc w:val="both"/>
      </w:pPr>
      <w:r>
        <w:t>1.4. Określenia podstawowe</w:t>
      </w:r>
    </w:p>
    <w:p w:rsidR="00B77F00" w:rsidRDefault="00865FA3">
      <w:pPr>
        <w:pStyle w:val="Standard"/>
        <w:jc w:val="both"/>
      </w:pPr>
      <w:r>
        <w:t>Określenia podane w nini</w:t>
      </w:r>
      <w:r>
        <w:t xml:space="preserve">ejszej </w:t>
      </w:r>
      <w:r>
        <w:t>ST są zgodne z obowiązującymi odpowiednimi normamii wytycznymi wykonania betonu natryskowego i ST D-M.00.00.00 "Wymagania ogólne".</w:t>
      </w:r>
    </w:p>
    <w:p w:rsidR="00B77F00" w:rsidRDefault="00865FA3">
      <w:pPr>
        <w:pStyle w:val="Standard"/>
        <w:jc w:val="both"/>
      </w:pPr>
      <w:r>
        <w:t>1.5. Ogólne wymagania dotyczące robót</w:t>
      </w:r>
    </w:p>
    <w:p w:rsidR="00B77F00" w:rsidRDefault="00865FA3">
      <w:pPr>
        <w:pStyle w:val="Standard"/>
        <w:jc w:val="both"/>
      </w:pPr>
      <w:r>
        <w:t>Wykonawca robót jest odpowiedzialny za jakość ich wykonania oraz za zgodnośćz Do</w:t>
      </w:r>
      <w:r>
        <w:t>kumentacją Projektową, ST i poleceniami Kierownika Projektu.</w:t>
      </w:r>
    </w:p>
    <w:p w:rsidR="00B77F00" w:rsidRDefault="00865FA3">
      <w:pPr>
        <w:pStyle w:val="Standard"/>
        <w:jc w:val="both"/>
      </w:pPr>
      <w:r>
        <w:t>Ogólne wymagania dotyczące robót podano w ST D-M.00.00.00 "</w:t>
      </w:r>
      <w:r>
        <w:t>Wymagania ogólne".</w:t>
      </w:r>
    </w:p>
    <w:p w:rsidR="00B77F00" w:rsidRDefault="00B77F00">
      <w:pPr>
        <w:pStyle w:val="Standard"/>
        <w:rPr>
          <w:rFonts w:ascii="Times New Roman" w:hAnsi="Times New Roman"/>
          <w:color w:val="000000"/>
          <w:sz w:val="24"/>
        </w:rPr>
      </w:pPr>
    </w:p>
    <w:p w:rsidR="00B77F00" w:rsidRDefault="00865FA3">
      <w:pPr>
        <w:pStyle w:val="Standard"/>
        <w:rPr>
          <w:b/>
          <w:bCs/>
        </w:rPr>
      </w:pPr>
      <w:r>
        <w:rPr>
          <w:b/>
          <w:bCs/>
        </w:rPr>
        <w:t>2. Materiały</w:t>
      </w:r>
    </w:p>
    <w:p w:rsidR="00B77F00" w:rsidRDefault="00865FA3">
      <w:pPr>
        <w:pStyle w:val="Standard"/>
        <w:jc w:val="both"/>
      </w:pPr>
      <w:r>
        <w:t>W niniejszej ST opisano ogólnie materiały stosowane do napraw powierzchni betonu w systemie PCC (lub PC</w:t>
      </w:r>
      <w:r>
        <w:t>).</w:t>
      </w:r>
    </w:p>
    <w:p w:rsidR="00B77F00" w:rsidRDefault="00865FA3">
      <w:pPr>
        <w:pStyle w:val="Standard"/>
        <w:jc w:val="both"/>
      </w:pPr>
      <w:r>
        <w:t>2.1. Naprawy i ochronę powierzchniowa betonu w konstrukcjach mostowych Wykonawca powinien realizować:</w:t>
      </w:r>
    </w:p>
    <w:p w:rsidR="00B77F00" w:rsidRDefault="00865FA3">
      <w:pPr>
        <w:pStyle w:val="Standard"/>
        <w:jc w:val="both"/>
      </w:pPr>
      <w:r>
        <w:t xml:space="preserve">- materiałami do napraw i ochrony powierzchniowej betonu posiadającymiodpowiednie dokumenty dopuszczające do obrotu i stosowania w budownictwie </w:t>
      </w:r>
      <w:r>
        <w:t>komunikacyjnym, zgodnie z art. 10 Ustawy z dnia 7 lipca 1994 r. Prawo budowlane (Dz. U. Nr 89 z dnia 25 sierpnia 1994 r., poz. 414),</w:t>
      </w:r>
    </w:p>
    <w:p w:rsidR="00B77F00" w:rsidRDefault="00865FA3">
      <w:pPr>
        <w:pStyle w:val="Standard"/>
        <w:jc w:val="both"/>
      </w:pPr>
      <w:r>
        <w:t>- po zaakceptowaniu przez Inżyniera materiałów do wbudowania, technologiii organizacji robót.</w:t>
      </w:r>
    </w:p>
    <w:p w:rsidR="00B77F00" w:rsidRDefault="00865FA3">
      <w:pPr>
        <w:pStyle w:val="Standard"/>
        <w:jc w:val="both"/>
      </w:pPr>
      <w:r>
        <w:t>- zgodnie z projektem technic</w:t>
      </w:r>
      <w:r>
        <w:t>znym opracowanym według zasad i technologii przedstawionych w niniejszej ST,</w:t>
      </w:r>
    </w:p>
    <w:p w:rsidR="00B77F00" w:rsidRDefault="00865FA3">
      <w:pPr>
        <w:pStyle w:val="Standard"/>
        <w:jc w:val="both"/>
      </w:pPr>
      <w:r>
        <w:t>Do napraw konstrukcji mostowych mogą być używane materiały (systemy materiałów) dla których Wykonawca posiada Aprobatę techniczną.</w:t>
      </w:r>
    </w:p>
    <w:p w:rsidR="00B77F00" w:rsidRDefault="00865FA3">
      <w:pPr>
        <w:pStyle w:val="Standard"/>
        <w:jc w:val="both"/>
      </w:pPr>
      <w:r>
        <w:t xml:space="preserve">Jeżeli dla materiału została wydana promesa </w:t>
      </w:r>
      <w:r>
        <w:t>Aprobaty, to roboty muszą być wykonywane pod nadzorem naukowym IBDiM.</w:t>
      </w:r>
    </w:p>
    <w:p w:rsidR="00B77F00" w:rsidRDefault="00865FA3">
      <w:pPr>
        <w:pStyle w:val="Standard"/>
      </w:pPr>
      <w:r>
        <w:t>2.2. Naprawy zaprawami PCC wykonuje się według ogólnych zasad dotyczących robót betonowych.</w:t>
      </w:r>
    </w:p>
    <w:p w:rsidR="00B77F00" w:rsidRDefault="00865FA3">
      <w:pPr>
        <w:pStyle w:val="Standard"/>
        <w:jc w:val="both"/>
      </w:pPr>
      <w:r>
        <w:t>Zaprawy PCC powinny występować w formie systemów materiałowych i wówczas obejmują powłokę anty</w:t>
      </w:r>
      <w:r>
        <w:t>korozyjną zbrojenia, warstwę sczepna oraz zaprawę naprawczą.</w:t>
      </w:r>
    </w:p>
    <w:p w:rsidR="00B77F00" w:rsidRDefault="00865FA3">
      <w:pPr>
        <w:pStyle w:val="Standard"/>
        <w:jc w:val="both"/>
      </w:pPr>
      <w:r>
        <w:t>Do napraw konstrukcji betonowych należy stosować materiały konfekcjonowane, tzn.wytwarzane przez producenta poza obiektem i dostarczane jako gotowy produkt dostosowania na obiekcie. W przypadku s</w:t>
      </w:r>
      <w:r>
        <w:t>tosowania płynów zarobowych opartych na koncentratach, przygotowanie płynu zarobowego powinno również przebiegać poza obiektem.</w:t>
      </w:r>
    </w:p>
    <w:p w:rsidR="00B77F00" w:rsidRDefault="00865FA3">
      <w:pPr>
        <w:pStyle w:val="Standard"/>
        <w:jc w:val="both"/>
      </w:pPr>
      <w:r>
        <w:t>Zaprawami PCC można uzupełniać ubytki betonu konstrukcyjnego we wszystkich elementach konstrukcji mostowych, odpowiednio do dopu</w:t>
      </w:r>
      <w:r>
        <w:t>szczonego zakresu stosowania określonego w Polskich Normach lub aprobatach technicznych. Zaprawami PCC z regułyuzupełnia się ubytki betonu na głębokości 1-10 cm w kilku warstwach. W niektórychzestawach materiałów między warstwami zaprawy naprawczej stosuje</w:t>
      </w:r>
      <w:r>
        <w:t xml:space="preserve"> się warstwę sczepną. Jednorazowa maksymalna grubość warstwy powinna być zgodna z zaleceniami producenta materiałów. Zaprawy o spoiwie polimerowo - cementowym posiadają korzystniejsze cechy barierowe oraz większa przyczepność do naprawianego podłoża niż za</w:t>
      </w:r>
      <w:r>
        <w:t xml:space="preserve">prawy o spoiwie cementowym. Wykazują mniejsza </w:t>
      </w:r>
      <w:r>
        <w:lastRenderedPageBreak/>
        <w:t>podatność na karbonatyzacje oraz wnikanie chlorków i innych agresywnych substancji. Mogą być stosowane w środowiskach agresywnych.</w:t>
      </w:r>
    </w:p>
    <w:p w:rsidR="00B77F00" w:rsidRDefault="00865FA3">
      <w:pPr>
        <w:pStyle w:val="Standard"/>
        <w:jc w:val="both"/>
      </w:pPr>
      <w:r>
        <w:t>Rozróżnia się następujące rodzaje zapraw PCC, w zależności od możliwego zakresu</w:t>
      </w:r>
      <w:r>
        <w:t xml:space="preserve"> stosowania:</w:t>
      </w:r>
    </w:p>
    <w:p w:rsidR="00B77F00" w:rsidRDefault="00865FA3">
      <w:pPr>
        <w:pStyle w:val="Standard"/>
        <w:jc w:val="both"/>
      </w:pPr>
      <w:r>
        <w:t>PCC I – na powierzchnie obciążane dynamicznie bezpośrednio ruchem drogowym (np. wierzch płyty pomostowej),</w:t>
      </w:r>
    </w:p>
    <w:p w:rsidR="00B77F00" w:rsidRDefault="00865FA3">
      <w:pPr>
        <w:pStyle w:val="Standard"/>
        <w:jc w:val="both"/>
      </w:pPr>
      <w:r>
        <w:t>PCC II – na powierzchnie nie obciążane bezpośrednio ruchem drogowym ale obciążone dynamicznie (np. dźwigary główne i spód płyty pomostow</w:t>
      </w:r>
      <w:r>
        <w:t>ej),</w:t>
      </w:r>
    </w:p>
    <w:p w:rsidR="00B77F00" w:rsidRDefault="00865FA3">
      <w:pPr>
        <w:pStyle w:val="Standard"/>
        <w:jc w:val="both"/>
      </w:pPr>
      <w:r>
        <w:t>PCC III – na powierzchnie nie obciążane bezpośrednio ruchem drogowym oraz nie obciążone dynamicznie (np. masywne filary, przyczółki, mury oporowe).</w:t>
      </w:r>
    </w:p>
    <w:p w:rsidR="00B77F00" w:rsidRDefault="00865FA3">
      <w:pPr>
        <w:pStyle w:val="Standard"/>
        <w:jc w:val="both"/>
      </w:pPr>
      <w:r>
        <w:t xml:space="preserve">Zalecane jest stosowanie zapraw PCC I, II, III zgodnie z zakresem stosowania podanym przez producenta. </w:t>
      </w:r>
      <w:r>
        <w:t>Zaprawy PCC I mogą być stosowane jako PCC II i III, ale ze względu na ich ceny jest to ekonomicznie nieuzasadnione.</w:t>
      </w:r>
    </w:p>
    <w:p w:rsidR="00B77F00" w:rsidRDefault="00865FA3">
      <w:pPr>
        <w:pStyle w:val="Standard"/>
        <w:jc w:val="both"/>
      </w:pPr>
      <w:r>
        <w:t>2.3. Składniki mieszanek zapraw</w:t>
      </w:r>
    </w:p>
    <w:p w:rsidR="00B77F00" w:rsidRDefault="00865FA3">
      <w:pPr>
        <w:pStyle w:val="Standard"/>
        <w:jc w:val="both"/>
        <w:rPr>
          <w:color w:val="000000"/>
        </w:rPr>
      </w:pPr>
      <w:r>
        <w:rPr>
          <w:color w:val="000000"/>
        </w:rPr>
        <w:t>2.3.1. Zaprawa typu PC</w:t>
      </w:r>
    </w:p>
    <w:p w:rsidR="00B77F00" w:rsidRDefault="00865FA3">
      <w:pPr>
        <w:pStyle w:val="Standard"/>
        <w:jc w:val="both"/>
      </w:pPr>
      <w:r>
        <w:t>Zaprawę w systemie PC stosuje się jako warstwę sczepną ze starym betonem oraz jako wa</w:t>
      </w:r>
      <w:r>
        <w:t>rstwę wyrównawczą. Zaprawa PC i materiały należące do tego systemu muszą spełniać wymagania zawarte w Aprobacie technicznej.</w:t>
      </w:r>
    </w:p>
    <w:p w:rsidR="00B77F00" w:rsidRDefault="00865FA3">
      <w:pPr>
        <w:pStyle w:val="Standard"/>
        <w:jc w:val="both"/>
        <w:rPr>
          <w:color w:val="000000"/>
        </w:rPr>
      </w:pPr>
      <w:r>
        <w:rPr>
          <w:color w:val="000000"/>
        </w:rPr>
        <w:t>2.3.2. Zaprawa typu PCC</w:t>
      </w:r>
    </w:p>
    <w:p w:rsidR="00B77F00" w:rsidRDefault="00865FA3">
      <w:pPr>
        <w:pStyle w:val="Standard"/>
        <w:jc w:val="both"/>
      </w:pPr>
      <w:r>
        <w:t>Zaprawa PCC i materiały należące do tego systemu muszą spełniać wymagania zawarte w Aprobacie technicznej.</w:t>
      </w:r>
    </w:p>
    <w:p w:rsidR="00B77F00" w:rsidRDefault="00865FA3">
      <w:pPr>
        <w:pStyle w:val="Standard"/>
        <w:jc w:val="both"/>
        <w:rPr>
          <w:color w:val="000000"/>
        </w:rPr>
      </w:pPr>
      <w:r>
        <w:rPr>
          <w:color w:val="000000"/>
        </w:rPr>
        <w:t>2.3.3. Kruszywo</w:t>
      </w:r>
    </w:p>
    <w:p w:rsidR="00B77F00" w:rsidRDefault="00865FA3">
      <w:pPr>
        <w:pStyle w:val="Standard"/>
        <w:jc w:val="both"/>
      </w:pPr>
      <w:r>
        <w:t>Należy stosować kruszywo o maksymalnym uziarnieniu określonym w Instrukcji Producenta – nie większym niż 8 mm oraz nie większym niż 1/3 planowanej grubości zaprawy.</w:t>
      </w:r>
    </w:p>
    <w:p w:rsidR="00B77F00" w:rsidRDefault="00865FA3">
      <w:pPr>
        <w:pStyle w:val="Standard"/>
        <w:jc w:val="both"/>
        <w:rPr>
          <w:color w:val="000000"/>
        </w:rPr>
      </w:pPr>
      <w:r>
        <w:rPr>
          <w:color w:val="000000"/>
        </w:rPr>
        <w:t>2.3.4. Woda</w:t>
      </w:r>
    </w:p>
    <w:p w:rsidR="00B77F00" w:rsidRDefault="00865FA3">
      <w:pPr>
        <w:pStyle w:val="Standard"/>
        <w:jc w:val="both"/>
      </w:pPr>
      <w:r>
        <w:t>Zaleca się stosowanie wody wodociągowej pitnej. W przypadku pob</w:t>
      </w:r>
      <w:r>
        <w:t>oru z innego źródła należy przeprowadzić bieżącą kontrolę zgodnie z PN-88/B-32250 .</w:t>
      </w:r>
    </w:p>
    <w:p w:rsidR="00B77F00" w:rsidRDefault="00865FA3">
      <w:pPr>
        <w:pStyle w:val="Standard"/>
      </w:pPr>
      <w:r>
        <w:t>2.3.5 Stal zbrojeniowa</w:t>
      </w:r>
    </w:p>
    <w:p w:rsidR="00B77F00" w:rsidRDefault="00865FA3">
      <w:pPr>
        <w:pStyle w:val="Standard"/>
      </w:pPr>
      <w:r>
        <w:t>Stal klasy A-IIIN wg normy PN-89/H-84023/06:</w:t>
      </w:r>
    </w:p>
    <w:p w:rsidR="00B77F00" w:rsidRDefault="00865FA3">
      <w:pPr>
        <w:pStyle w:val="Standard"/>
      </w:pPr>
      <w:r>
        <w:t>gatunek: BSt 500S,</w:t>
      </w:r>
    </w:p>
    <w:p w:rsidR="00B77F00" w:rsidRDefault="00865FA3">
      <w:pPr>
        <w:pStyle w:val="Standard"/>
      </w:pPr>
      <w:r>
        <w:t>rodzaj: okrągła żebrowana dwuskośnie,</w:t>
      </w:r>
    </w:p>
    <w:p w:rsidR="00B77F00" w:rsidRDefault="00865FA3">
      <w:pPr>
        <w:pStyle w:val="Standard"/>
      </w:pPr>
      <w:r>
        <w:t>średnice: 6 - 32 mm,</w:t>
      </w:r>
    </w:p>
    <w:p w:rsidR="00B77F00" w:rsidRDefault="00865FA3">
      <w:pPr>
        <w:pStyle w:val="Standard"/>
      </w:pPr>
      <w:r>
        <w:t xml:space="preserve">granica plastyczności: </w:t>
      </w:r>
      <w:r>
        <w:t>min. 500 MPa, wytrzymałość na rozciąganie: 550 MPa, wydłużalność: min. 16 %,</w:t>
      </w:r>
    </w:p>
    <w:p w:rsidR="00B77F00" w:rsidRDefault="00865FA3">
      <w:pPr>
        <w:pStyle w:val="Standard"/>
      </w:pPr>
      <w:r>
        <w:t>próba na zginanie wg aprobaty Technicznej IBDiM AT/2001-04-1115 – brak pęknięć,</w:t>
      </w:r>
    </w:p>
    <w:p w:rsidR="00B77F00" w:rsidRDefault="00865FA3">
      <w:pPr>
        <w:pStyle w:val="Standard"/>
        <w:jc w:val="both"/>
      </w:pPr>
      <w:r>
        <w:t>wytrzymałość charakterystyczna: 490 MPa, wytrzymałość obliczeniowa: 375 Mpa.</w:t>
      </w:r>
    </w:p>
    <w:p w:rsidR="00B77F00" w:rsidRDefault="00865FA3">
      <w:pPr>
        <w:pStyle w:val="Standard"/>
        <w:jc w:val="both"/>
        <w:rPr>
          <w:color w:val="000000"/>
        </w:rPr>
      </w:pPr>
      <w:r>
        <w:t xml:space="preserve">2.4. </w:t>
      </w:r>
      <w:r>
        <w:rPr>
          <w:color w:val="000000"/>
        </w:rPr>
        <w:t>Przed wbudowaniem</w:t>
      </w:r>
      <w:r>
        <w:rPr>
          <w:color w:val="000000"/>
        </w:rPr>
        <w:t xml:space="preserve"> materiałów Wykonawca musi przedstawić Kierownikowi Projektu </w:t>
      </w:r>
      <w:r>
        <w:t>numer partii towaru oraz</w:t>
      </w:r>
      <w:r>
        <w:t xml:space="preserve"> aktualne wyniki badań w ramach nadzoru wewnętrznego producenta materiału. Wybór konkretnej zaprawy dokonany zostanie przez Kierownika Projektu w terminie późniejszym w uzgodnieniu z Projektantem.</w:t>
      </w:r>
    </w:p>
    <w:p w:rsidR="00B77F00" w:rsidRDefault="00B77F00">
      <w:pPr>
        <w:pStyle w:val="Standard"/>
        <w:rPr>
          <w:rFonts w:ascii="Times New Roman" w:hAnsi="Times New Roman"/>
          <w:color w:val="000000"/>
          <w:sz w:val="24"/>
        </w:rPr>
      </w:pPr>
    </w:p>
    <w:p w:rsidR="00B77F00" w:rsidRDefault="00865FA3">
      <w:pPr>
        <w:pStyle w:val="Standard"/>
        <w:rPr>
          <w:b/>
          <w:bCs/>
        </w:rPr>
      </w:pPr>
      <w:r>
        <w:rPr>
          <w:b/>
          <w:bCs/>
        </w:rPr>
        <w:t>3. Sprzęt</w:t>
      </w:r>
    </w:p>
    <w:p w:rsidR="00B77F00" w:rsidRDefault="00865FA3">
      <w:pPr>
        <w:pStyle w:val="Standard"/>
        <w:jc w:val="both"/>
      </w:pPr>
      <w:r>
        <w:t>Wykonawca zobowiązany jest posiadać niezbędny sp</w:t>
      </w:r>
      <w:r>
        <w:t>rzęt do wykonywania robót, zgodnie z przyjętą technologią i Kartami Technicznymi materiałów oraz konieczny, podstawowy laboratoryjny do kontroli procesu technologicznego i wykonanych prac.</w:t>
      </w:r>
    </w:p>
    <w:p w:rsidR="00B77F00" w:rsidRDefault="00865FA3">
      <w:pPr>
        <w:pStyle w:val="Standard"/>
        <w:jc w:val="both"/>
      </w:pPr>
      <w:r>
        <w:t>Podczas robót Wykonawca zobowiązany jest posiadać sprzęt do kontrol</w:t>
      </w:r>
      <w:r>
        <w:t>i warunków atmosferycznych:</w:t>
      </w:r>
    </w:p>
    <w:p w:rsidR="00B77F00" w:rsidRDefault="00865FA3">
      <w:pPr>
        <w:pStyle w:val="Standard"/>
        <w:jc w:val="both"/>
      </w:pPr>
      <w:r>
        <w:t>- wilgotnościomierz,</w:t>
      </w:r>
    </w:p>
    <w:p w:rsidR="00B77F00" w:rsidRDefault="00865FA3">
      <w:pPr>
        <w:pStyle w:val="Standard"/>
        <w:jc w:val="both"/>
      </w:pPr>
      <w:r>
        <w:t>- termometry do pomiaru temperatury powietrza i podłoża betonowego.</w:t>
      </w:r>
    </w:p>
    <w:p w:rsidR="00B77F00" w:rsidRDefault="00865FA3">
      <w:pPr>
        <w:pStyle w:val="Standard"/>
        <w:jc w:val="both"/>
      </w:pPr>
      <w:r>
        <w:t>Sprzęt specjalistyczny powinien być zaakceptowany przez Kierownika Projektu.</w:t>
      </w:r>
    </w:p>
    <w:p w:rsidR="00B77F00" w:rsidRDefault="00B77F00">
      <w:pPr>
        <w:pStyle w:val="Standard"/>
        <w:rPr>
          <w:rFonts w:ascii="Times New Roman" w:hAnsi="Times New Roman"/>
          <w:color w:val="000000"/>
          <w:sz w:val="24"/>
        </w:rPr>
      </w:pPr>
    </w:p>
    <w:p w:rsidR="00B77F00" w:rsidRDefault="00865FA3">
      <w:pPr>
        <w:pStyle w:val="Standard"/>
        <w:rPr>
          <w:b/>
          <w:bCs/>
        </w:rPr>
      </w:pPr>
      <w:r>
        <w:rPr>
          <w:b/>
          <w:bCs/>
        </w:rPr>
        <w:t>4. Transport</w:t>
      </w:r>
    </w:p>
    <w:p w:rsidR="00B77F00" w:rsidRDefault="00865FA3">
      <w:pPr>
        <w:pStyle w:val="Standard"/>
        <w:jc w:val="both"/>
      </w:pPr>
      <w:r>
        <w:t>Materiały mogą być przewożone środkami transport</w:t>
      </w:r>
      <w:r>
        <w:t>u odpowiednimi dla danego asortymentu. Materiały należy podczas transportu oraz składowania chronić przed niekorzystnymi wpływami atmosferycznymi.</w:t>
      </w:r>
    </w:p>
    <w:p w:rsidR="00B77F00" w:rsidRDefault="00B77F00">
      <w:pPr>
        <w:pStyle w:val="Standard"/>
        <w:rPr>
          <w:i/>
          <w:color w:val="000000"/>
        </w:rPr>
      </w:pPr>
    </w:p>
    <w:p w:rsidR="00B77F00" w:rsidRDefault="00865FA3">
      <w:pPr>
        <w:pStyle w:val="Standard"/>
        <w:rPr>
          <w:b/>
          <w:bCs/>
        </w:rPr>
      </w:pPr>
      <w:r>
        <w:rPr>
          <w:b/>
          <w:bCs/>
        </w:rPr>
        <w:t>5. Wykonanie robót</w:t>
      </w:r>
    </w:p>
    <w:p w:rsidR="00B77F00" w:rsidRDefault="00865FA3">
      <w:pPr>
        <w:pStyle w:val="Standard"/>
        <w:jc w:val="both"/>
      </w:pPr>
      <w:r>
        <w:t>5.1. Ogólne warunki wykonania robót Ogólne warunki wykonania robót podano w ST D-M.00.00.</w:t>
      </w:r>
      <w:r>
        <w:t>00 "Wymagania ogólne".</w:t>
      </w:r>
    </w:p>
    <w:p w:rsidR="00B77F00" w:rsidRDefault="00865FA3">
      <w:pPr>
        <w:pStyle w:val="Standard"/>
        <w:jc w:val="both"/>
      </w:pPr>
      <w:r>
        <w:t>5.2. Badanie obiektu przed przystąpieniem do naprawy.</w:t>
      </w:r>
    </w:p>
    <w:p w:rsidR="00B77F00" w:rsidRDefault="00865FA3">
      <w:pPr>
        <w:pStyle w:val="Standard"/>
        <w:jc w:val="both"/>
      </w:pPr>
      <w:r>
        <w:t>Przed przystąpieniem do naprawy obiektu należy przeprowadzić badanie właściwości betonu naprawianej konstrukcji.</w:t>
      </w:r>
    </w:p>
    <w:p w:rsidR="00B77F00" w:rsidRDefault="00865FA3">
      <w:pPr>
        <w:pStyle w:val="Standard"/>
        <w:jc w:val="both"/>
      </w:pPr>
      <w:r>
        <w:t>Badanie powinno obejmować:</w:t>
      </w:r>
    </w:p>
    <w:p w:rsidR="00B77F00" w:rsidRDefault="00865FA3">
      <w:pPr>
        <w:pStyle w:val="Standard"/>
        <w:jc w:val="both"/>
      </w:pPr>
      <w:r>
        <w:lastRenderedPageBreak/>
        <w:t>- głębokość karbonatyzacji,</w:t>
      </w:r>
    </w:p>
    <w:p w:rsidR="00B77F00" w:rsidRDefault="00865FA3">
      <w:pPr>
        <w:pStyle w:val="Standard"/>
        <w:jc w:val="both"/>
      </w:pPr>
      <w:r>
        <w:t>- wytrzyma</w:t>
      </w:r>
      <w:r>
        <w:t>łość betonu na ściskanie,</w:t>
      </w:r>
    </w:p>
    <w:p w:rsidR="00B77F00" w:rsidRDefault="00865FA3">
      <w:pPr>
        <w:pStyle w:val="Standard"/>
        <w:jc w:val="both"/>
      </w:pPr>
      <w:r>
        <w:t>- grubość otuliny zbrojenia,</w:t>
      </w:r>
    </w:p>
    <w:p w:rsidR="00B77F00" w:rsidRDefault="00865FA3">
      <w:pPr>
        <w:pStyle w:val="Standard"/>
        <w:jc w:val="both"/>
      </w:pPr>
      <w:r>
        <w:t>- wytrzymałość betonu na rozciąganie metodą „pull – off” (przyczepność podłoża),</w:t>
      </w:r>
    </w:p>
    <w:p w:rsidR="00B77F00" w:rsidRDefault="00865FA3">
      <w:pPr>
        <w:pStyle w:val="Standard"/>
        <w:jc w:val="both"/>
      </w:pPr>
      <w:r>
        <w:t>- pomiar stopnia skażenia, w tym ocena zawartości i rozkładu chlorków i ew. siarczanów w przekroju betonowym,</w:t>
      </w:r>
    </w:p>
    <w:p w:rsidR="00B77F00" w:rsidRDefault="00865FA3">
      <w:pPr>
        <w:pStyle w:val="Standard"/>
        <w:jc w:val="both"/>
      </w:pPr>
      <w:r>
        <w:t>- pomiar w</w:t>
      </w:r>
      <w:r>
        <w:t>ilgotności, w tym miejsc dotkniętych korozją,</w:t>
      </w:r>
    </w:p>
    <w:p w:rsidR="00B77F00" w:rsidRDefault="00865FA3">
      <w:pPr>
        <w:pStyle w:val="Standard"/>
        <w:jc w:val="both"/>
      </w:pPr>
      <w:r>
        <w:t>- pomiar szerokości rozwarcia rys.</w:t>
      </w:r>
    </w:p>
    <w:p w:rsidR="00B77F00" w:rsidRDefault="00865FA3">
      <w:pPr>
        <w:pStyle w:val="Standard"/>
        <w:jc w:val="both"/>
      </w:pPr>
      <w:r>
        <w:t xml:space="preserve">Szczegółowy zakres badań określi kierownik Projektu na podstawie oględzin zewnętrznych obiektu. Badania te powinny być wykonane zarówno na powierzchniach wizualnie </w:t>
      </w:r>
      <w:r>
        <w:t>nieuszkodzonych jak i uszkodzonych.</w:t>
      </w:r>
    </w:p>
    <w:p w:rsidR="00B77F00" w:rsidRDefault="00865FA3">
      <w:pPr>
        <w:pStyle w:val="Standard"/>
        <w:jc w:val="both"/>
      </w:pPr>
      <w:r>
        <w:t>Badanie należy przeprowadzić zgodnie z normami i wytycznymi:</w:t>
      </w:r>
    </w:p>
    <w:p w:rsidR="00B77F00" w:rsidRDefault="00865FA3">
      <w:pPr>
        <w:pStyle w:val="Standard"/>
        <w:jc w:val="both"/>
      </w:pPr>
      <w:r>
        <w:t>- PN-B-01807:1988 „Antykorozyjne zabezpieczenie w budownictwie. Konstrukcje betonowe i żelbetowe. Zasady diagnostyki konstrukcji.</w:t>
      </w:r>
    </w:p>
    <w:p w:rsidR="00B77F00" w:rsidRDefault="00865FA3">
      <w:pPr>
        <w:pStyle w:val="Standard"/>
        <w:jc w:val="both"/>
      </w:pPr>
      <w:r>
        <w:t xml:space="preserve">- Wytyczne badań właściwości </w:t>
      </w:r>
      <w:r>
        <w:t>ochronnych betonu względem zbrojenia w mostach IBDiM. Informacje, instrukcje, zeszyt S9, Warszawa 1992</w:t>
      </w:r>
    </w:p>
    <w:p w:rsidR="00B77F00" w:rsidRDefault="00865FA3">
      <w:pPr>
        <w:pStyle w:val="Standard"/>
        <w:jc w:val="both"/>
      </w:pPr>
      <w:r>
        <w:t>- Zalecenia dotyczące oceny jakości betonu „in-situ” w istniejących konstrukcjach obiektów mostowych , GDDP, Warszawa 1998 r.</w:t>
      </w:r>
    </w:p>
    <w:p w:rsidR="00B77F00" w:rsidRDefault="00865FA3">
      <w:pPr>
        <w:pStyle w:val="Standard"/>
        <w:jc w:val="both"/>
      </w:pPr>
      <w:r>
        <w:t>Ponadto należy przeprowadzi</w:t>
      </w:r>
      <w:r>
        <w:t>ć szczegółowe badanie laboratoryjne próbek, pozwalające</w:t>
      </w:r>
    </w:p>
    <w:p w:rsidR="00B77F00" w:rsidRDefault="00865FA3">
      <w:pPr>
        <w:pStyle w:val="Standard"/>
        <w:jc w:val="both"/>
      </w:pPr>
      <w:r>
        <w:t>określić:</w:t>
      </w:r>
    </w:p>
    <w:p w:rsidR="00B77F00" w:rsidRDefault="00865FA3">
      <w:pPr>
        <w:pStyle w:val="Standard"/>
        <w:jc w:val="both"/>
      </w:pPr>
      <w:r>
        <w:t>- strukturę kompozytu,</w:t>
      </w:r>
    </w:p>
    <w:p w:rsidR="00B77F00" w:rsidRDefault="00865FA3">
      <w:pPr>
        <w:pStyle w:val="Standard"/>
        <w:jc w:val="both"/>
      </w:pPr>
      <w:r>
        <w:t>- profil chlorkowy – rozkład zawartości chlorków w głąb elementu,</w:t>
      </w:r>
    </w:p>
    <w:p w:rsidR="00B77F00" w:rsidRDefault="00865FA3">
      <w:pPr>
        <w:pStyle w:val="Standard"/>
        <w:jc w:val="both"/>
      </w:pPr>
      <w:r>
        <w:t>- wilgotność i nasiąkliwość,</w:t>
      </w:r>
    </w:p>
    <w:p w:rsidR="00B77F00" w:rsidRDefault="00865FA3">
      <w:pPr>
        <w:pStyle w:val="Standard"/>
        <w:jc w:val="both"/>
      </w:pPr>
      <w:r>
        <w:t>- wytrzymałość na ściskanie i rozciąganie przy zginaniu,</w:t>
      </w:r>
    </w:p>
    <w:p w:rsidR="00B77F00" w:rsidRDefault="00865FA3">
      <w:pPr>
        <w:pStyle w:val="Standard"/>
        <w:jc w:val="both"/>
      </w:pPr>
      <w:r>
        <w:t>- odkształcalno</w:t>
      </w:r>
      <w:r>
        <w:t>ść termiczna, skurcz, wytrzymałość na ścieranie, itp.</w:t>
      </w:r>
    </w:p>
    <w:p w:rsidR="00B77F00" w:rsidRDefault="00865FA3">
      <w:pPr>
        <w:pStyle w:val="Standard"/>
        <w:jc w:val="both"/>
      </w:pPr>
      <w:r>
        <w:t>W oparciu o wyniki badań należy dobrać materiały do napraw.</w:t>
      </w:r>
    </w:p>
    <w:p w:rsidR="00B77F00" w:rsidRDefault="00865FA3">
      <w:pPr>
        <w:pStyle w:val="Standard"/>
        <w:jc w:val="both"/>
      </w:pPr>
      <w:r>
        <w:t>5.3. Wymagania w stosunku do Wykonawcy</w:t>
      </w:r>
    </w:p>
    <w:p w:rsidR="00B77F00" w:rsidRDefault="00865FA3">
      <w:pPr>
        <w:pStyle w:val="Standard"/>
        <w:jc w:val="both"/>
      </w:pPr>
      <w:r>
        <w:t xml:space="preserve">Naprawę powierzchni podpór oraz konstrukcji nośnej powinna wykonywać firma posiadająca doświadczenie w </w:t>
      </w:r>
      <w:r>
        <w:t>wykonywaniu takich robót.</w:t>
      </w:r>
    </w:p>
    <w:p w:rsidR="00B77F00" w:rsidRDefault="00865FA3">
      <w:pPr>
        <w:pStyle w:val="Standard"/>
        <w:jc w:val="both"/>
      </w:pPr>
      <w:r>
        <w:t>Wymagania w stosunku do osób kierujących robotami:</w:t>
      </w:r>
    </w:p>
    <w:p w:rsidR="00B77F00" w:rsidRDefault="00865FA3">
      <w:pPr>
        <w:pStyle w:val="Standard"/>
        <w:jc w:val="both"/>
      </w:pPr>
      <w:r>
        <w:t>- uprawnienia wykonawcze budowlane do wykonywania samodzielnych funkcji technicznych w zakresie budownictwa mostowego,</w:t>
      </w:r>
    </w:p>
    <w:p w:rsidR="00B77F00" w:rsidRDefault="00865FA3">
      <w:pPr>
        <w:pStyle w:val="Standard"/>
        <w:jc w:val="both"/>
      </w:pPr>
      <w:r>
        <w:t xml:space="preserve">- znajomość zasad napraw i ochrony powierzchniowej betonu w </w:t>
      </w:r>
      <w:r>
        <w:t>konstrukcjach mostowych oraz technologii stosowania materiałów, udokumentowane ukończeniem szkolenia w zakresie napraw oraz doświadczenie w wykonywaniu prac tego typu.</w:t>
      </w:r>
    </w:p>
    <w:p w:rsidR="00B77F00" w:rsidRDefault="00865FA3">
      <w:pPr>
        <w:pStyle w:val="Standard"/>
        <w:jc w:val="both"/>
      </w:pPr>
      <w:r>
        <w:t>Wymagania w stosunku do brygadzistów:</w:t>
      </w:r>
    </w:p>
    <w:p w:rsidR="00B77F00" w:rsidRDefault="00865FA3">
      <w:pPr>
        <w:pStyle w:val="Standard"/>
        <w:jc w:val="both"/>
      </w:pPr>
      <w:r>
        <w:t>- znajomość technologii i umiejętność stosowania m</w:t>
      </w:r>
      <w:r>
        <w:t>ateriałów do napraw i ochrony powierzchniowej betonu, ukończenie szkolenia w zakresie napraw oraz doświadczenie w wykonywaniu prac tego typu.</w:t>
      </w:r>
    </w:p>
    <w:p w:rsidR="00B77F00" w:rsidRDefault="00865FA3">
      <w:pPr>
        <w:pStyle w:val="Standard"/>
        <w:jc w:val="both"/>
      </w:pPr>
      <w:r>
        <w:t>Wymagania w stosunku do robotników:</w:t>
      </w:r>
    </w:p>
    <w:p w:rsidR="00B77F00" w:rsidRDefault="00865FA3">
      <w:pPr>
        <w:pStyle w:val="Standard"/>
        <w:jc w:val="both"/>
      </w:pPr>
      <w:r>
        <w:t>- znajomość zasad i umiejętność stosowania materiałów do napraw i ochrony beto</w:t>
      </w:r>
      <w:r>
        <w:t>nu, przeszkolenie na stanowisku pracy.</w:t>
      </w:r>
    </w:p>
    <w:p w:rsidR="00B77F00" w:rsidRDefault="00865FA3">
      <w:pPr>
        <w:pStyle w:val="Standard"/>
        <w:jc w:val="both"/>
      </w:pPr>
      <w:r>
        <w:t>Dokumenty potwierdzające spełnienie wymagań w stosunku do personelu Wykonawca zobowiązany jest dołączyć do oferty przetargowej.</w:t>
      </w:r>
    </w:p>
    <w:p w:rsidR="00B77F00" w:rsidRDefault="00865FA3">
      <w:pPr>
        <w:pStyle w:val="Standard"/>
        <w:jc w:val="both"/>
      </w:pPr>
      <w:r>
        <w:t>5.4. Zakres wykonywanych robót naprawczych</w:t>
      </w:r>
    </w:p>
    <w:p w:rsidR="00B77F00" w:rsidRDefault="00865FA3">
      <w:pPr>
        <w:pStyle w:val="Standard"/>
        <w:jc w:val="both"/>
      </w:pPr>
      <w:r>
        <w:t>Dokładny zakres robót będzie możliwy do określ</w:t>
      </w:r>
      <w:r>
        <w:t>enia po oczyszczeniu uszkodzonych elementów. W trakcie wykonywania napraw materiałami PC lub PCC należy ściśle przestrzegać zaleceń Producenta zawartych w Instrukcji Stosowania.</w:t>
      </w:r>
    </w:p>
    <w:p w:rsidR="00B77F00" w:rsidRDefault="00865FA3">
      <w:pPr>
        <w:pStyle w:val="Standard"/>
        <w:jc w:val="both"/>
      </w:pPr>
      <w:r>
        <w:t>5.4.1. Rusztowanie robocze</w:t>
      </w:r>
    </w:p>
    <w:p w:rsidR="00B77F00" w:rsidRDefault="00865FA3">
      <w:pPr>
        <w:pStyle w:val="Standard"/>
        <w:jc w:val="both"/>
      </w:pPr>
      <w:r>
        <w:t>Wykonanie naprawy najlepiej wykonać z rusztowań pod</w:t>
      </w:r>
      <w:r>
        <w:t>wieszonych lub stojących. Rusztowania robocze wykonać wg odrębnego projektu.</w:t>
      </w:r>
    </w:p>
    <w:p w:rsidR="00B77F00" w:rsidRDefault="00865FA3">
      <w:pPr>
        <w:pStyle w:val="Standard"/>
        <w:jc w:val="both"/>
      </w:pPr>
      <w:r>
        <w:t>5.4.2. Przygotowanie podłoża do nakładania zaprawy</w:t>
      </w:r>
    </w:p>
    <w:p w:rsidR="00B77F00" w:rsidRDefault="00865FA3">
      <w:pPr>
        <w:pStyle w:val="Standard"/>
        <w:jc w:val="both"/>
      </w:pPr>
      <w:r>
        <w:t>Przygotowanie podłoża betonowego oraz powierzchni prętów zbrojeniowych przy uzupełnieniu ubytków betonu oraz nanoszeniu warstw o</w:t>
      </w:r>
      <w:r>
        <w:t>chrony powierzchniowej ma szczególne znaczenie dla jakości i trwałości wykonywanych robót.</w:t>
      </w:r>
    </w:p>
    <w:p w:rsidR="00B77F00" w:rsidRDefault="00865FA3">
      <w:pPr>
        <w:pStyle w:val="Standard"/>
        <w:jc w:val="both"/>
      </w:pPr>
      <w:r>
        <w:t>Sposób przygotowania powierzchni betonowej zależy od przewidzianych do stosowania materiałów naprawczych i ochronnych.</w:t>
      </w:r>
    </w:p>
    <w:p w:rsidR="00B77F00" w:rsidRDefault="00865FA3">
      <w:pPr>
        <w:pStyle w:val="Standard"/>
        <w:jc w:val="both"/>
      </w:pPr>
      <w:r>
        <w:t xml:space="preserve">W zakres przygotowania podłoża wchodzą m.in. </w:t>
      </w:r>
      <w:r>
        <w:t>następujące prace:</w:t>
      </w:r>
    </w:p>
    <w:p w:rsidR="00B77F00" w:rsidRDefault="00865FA3">
      <w:pPr>
        <w:pStyle w:val="Standard"/>
        <w:jc w:val="both"/>
      </w:pPr>
      <w:r>
        <w:t xml:space="preserve">- usunięcie pozostałości powłok ochronnych i pielęgnacyjnych oraz powierzchniowych zanieczyszczeń (w tym również chemicznych) mogących mieć wpływ na połączenie nakładanych materiałów z betonem lub korozję </w:t>
      </w:r>
      <w:r>
        <w:lastRenderedPageBreak/>
        <w:t>betonu albo stali zbrojeniowej,</w:t>
      </w:r>
    </w:p>
    <w:p w:rsidR="00B77F00" w:rsidRDefault="00865FA3">
      <w:pPr>
        <w:pStyle w:val="Standard"/>
        <w:jc w:val="both"/>
      </w:pPr>
      <w:r>
        <w:t>- usunięcie mleczka cementowego i słabo związanych warstw betonu,</w:t>
      </w:r>
    </w:p>
    <w:p w:rsidR="00B77F00" w:rsidRDefault="00865FA3">
      <w:pPr>
        <w:pStyle w:val="Standard"/>
        <w:jc w:val="both"/>
      </w:pPr>
      <w:r>
        <w:t>- odkucie otuliny betonowej skorodowanych prętów,</w:t>
      </w:r>
    </w:p>
    <w:p w:rsidR="00B77F00" w:rsidRDefault="00865FA3">
      <w:pPr>
        <w:pStyle w:val="Standard"/>
        <w:jc w:val="both"/>
      </w:pPr>
      <w:r>
        <w:t>- oczyszczenie odsłoniętych prętów zbrojeniowych z rdzy do wymaganego stopnia czystości,</w:t>
      </w:r>
    </w:p>
    <w:p w:rsidR="00B77F00" w:rsidRDefault="00865FA3">
      <w:pPr>
        <w:pStyle w:val="Standard"/>
        <w:jc w:val="both"/>
      </w:pPr>
      <w:r>
        <w:t xml:space="preserve">- oczyszczenie podłoża betonowego z pyłów i części </w:t>
      </w:r>
      <w:r>
        <w:t>luźnych oraz ewentualnie usunięcie nadmiaru wody.</w:t>
      </w:r>
    </w:p>
    <w:p w:rsidR="00B77F00" w:rsidRDefault="00865FA3">
      <w:pPr>
        <w:pStyle w:val="Standard"/>
        <w:jc w:val="both"/>
      </w:pPr>
      <w:r>
        <w:t>Prawidłowość przygotowania powierzchni betonu przeznaczonej do naprawy lub ochrony powierzchniowej stwierdza Inżynier. Parametrem technicznym charakteryzującym przygotowanie podłoża betonowego jest wytrzyma</w:t>
      </w:r>
      <w:r>
        <w:t>łość na odrywanie. Parametr ten zależy głównie od wytrzymałości betonu na ściskanie oraz sposobu przygotowania powierzchni. Wykonawca zobowiązany jest do oznaczania wytrzymałości na odrywanie podłoża, zarówno dla zapraw jak i ochrony powierzchniowej i odpo</w:t>
      </w:r>
      <w:r>
        <w:t>wiedniego dokumentowania w protokóle pomiarów z wynikami badań. Należy wykonać co najmniej 1 pomiar na każde 25 m2 powierzchni oczyszczonego podłoża, lecz nie mniej niż 5.</w:t>
      </w:r>
    </w:p>
    <w:p w:rsidR="00B77F00" w:rsidRDefault="00865FA3">
      <w:pPr>
        <w:pStyle w:val="Standard"/>
        <w:jc w:val="both"/>
      </w:pPr>
      <w:r>
        <w:t>Przygotowane podłoże betonowe musi spełnić następujące wymagania:</w:t>
      </w:r>
    </w:p>
    <w:p w:rsidR="00B77F00" w:rsidRDefault="00865FA3">
      <w:pPr>
        <w:pStyle w:val="Standard"/>
        <w:jc w:val="both"/>
      </w:pPr>
      <w:r>
        <w:t>- wytrzymałość śre</w:t>
      </w:r>
      <w:r>
        <w:t>dnia na ściskanie ≥ 25 MPa,</w:t>
      </w:r>
    </w:p>
    <w:p w:rsidR="00B77F00" w:rsidRDefault="00865FA3">
      <w:pPr>
        <w:pStyle w:val="Standard"/>
        <w:jc w:val="both"/>
      </w:pPr>
      <w:r>
        <w:t>- wytrzymałość na odrywanie oceniona wg punktu 6.1:</w:t>
      </w:r>
    </w:p>
    <w:p w:rsidR="00B77F00" w:rsidRDefault="00865FA3">
      <w:pPr>
        <w:pStyle w:val="Standard"/>
        <w:jc w:val="both"/>
      </w:pPr>
      <w:r>
        <w:t>§ wartość średnia ≥1,5 MPa,</w:t>
      </w:r>
    </w:p>
    <w:p w:rsidR="00B77F00" w:rsidRDefault="00865FA3">
      <w:pPr>
        <w:pStyle w:val="Standard"/>
        <w:jc w:val="both"/>
      </w:pPr>
      <w:r>
        <w:t>§ wartość minimalna 1,0 MPa.</w:t>
      </w:r>
    </w:p>
    <w:p w:rsidR="00B77F00" w:rsidRDefault="00865FA3">
      <w:pPr>
        <w:pStyle w:val="Standard"/>
        <w:jc w:val="both"/>
      </w:pPr>
      <w:r>
        <w:t>Etap przygotowania podłoża polegający na odkuciu skorodowanego betonu należy wykonać tylko pod bezpośrednim nadzorem Ki</w:t>
      </w:r>
      <w:r>
        <w:t>erownika robót.</w:t>
      </w:r>
    </w:p>
    <w:p w:rsidR="00B77F00" w:rsidRDefault="00865FA3">
      <w:pPr>
        <w:pStyle w:val="Standard"/>
        <w:jc w:val="both"/>
      </w:pPr>
      <w:r>
        <w:t>Dopuszczalna wielkość obszaru odkuwania betonu musi być określona w projekcie naprawy i niedopuszczalne jest odkuwanie betonu na obszarze wykraczającym poza ten zakres bez konsultacji z Inżynierem.</w:t>
      </w:r>
    </w:p>
    <w:p w:rsidR="00B77F00" w:rsidRDefault="00865FA3">
      <w:pPr>
        <w:pStyle w:val="Standard"/>
        <w:jc w:val="both"/>
      </w:pPr>
      <w:r>
        <w:t>5.4.2.1. Odkuwanie betonu</w:t>
      </w:r>
    </w:p>
    <w:p w:rsidR="00B77F00" w:rsidRDefault="00865FA3">
      <w:pPr>
        <w:pStyle w:val="Standard"/>
        <w:jc w:val="both"/>
      </w:pPr>
      <w:r>
        <w:t xml:space="preserve">Zasadnicze </w:t>
      </w:r>
      <w:r>
        <w:t>roboty przygotowawcze polegające na usunięciu zanieczyszczeń oraz odkuciu skorodowanego betonu, aż do tzw. „zdrowego” betonu można wykonać metodami mechanicznymi, fizycznymi lub chemicznymi pod warunkiem, że nie wpływają one negatywnie na strukturę materia</w:t>
      </w:r>
      <w:r>
        <w:t>łu konstrukcyjnego poza zakresem prowadzonych robót. Głębokość i kształt skucia powinny być ustalone na podstawie badań, określających m.in. głębokość karbonatyzacji, głębokość penetracji szkodliwych związków chemicznych, a także na podstawie badań wytrzym</w:t>
      </w:r>
      <w:r>
        <w:t>ałościowych, określających wytrzymałość betonu. W przypadku degradacji betonu sięgającej znacznej głębokości i konieczności odkucia betonu na znacznym obszarze, mogącym mieć wpływ na statykę konstrukcji obiektu lub jej poszczególnych elementów, należy prze</w:t>
      </w:r>
      <w:r>
        <w:t>rwać roboty i powiadomić Inżyniera celem skonsultowania się z Projektantem. W takim przypadku może być konieczne przeprowadzenie analizy statyczno wytrzymałościowej, określającej czy skuwanie nie zagrozi bezpieczeństwu konstrukcji i ewentualnie wykonać nie</w:t>
      </w:r>
      <w:r>
        <w:t>zbędne prace zabezpieczające. Linie wyznaczające krawędzie odkuć powinny być prostopadłe lub równoległe do osi naprawianego elementu. Krawędzie obszaru naprawianego należy podkuć (naciąć liniowo) pod kątem prostym. Minimalna głębokość podkucia wynosi 1 cm.</w:t>
      </w:r>
      <w:r>
        <w:t xml:space="preserve"> Należy również powiadomić bezzwłocznie nadzór inwestorski i przerwać roboty przygotowawcze w przypadku natrafienia na stal sprężającą.</w:t>
      </w:r>
    </w:p>
    <w:p w:rsidR="00B77F00" w:rsidRDefault="00865FA3">
      <w:pPr>
        <w:pStyle w:val="Standard"/>
        <w:jc w:val="both"/>
      </w:pPr>
      <w:r>
        <w:t>5.4.2.2. Przygotowanie zbrojenia</w:t>
      </w:r>
    </w:p>
    <w:p w:rsidR="00B77F00" w:rsidRDefault="00865FA3">
      <w:pPr>
        <w:pStyle w:val="Standard"/>
        <w:jc w:val="both"/>
      </w:pPr>
      <w:r>
        <w:t>Jeżeli stwierdzono korozję zbrojenia, to powinno być ono odsłonięte w stopniu umożliwia</w:t>
      </w:r>
      <w:r>
        <w:t>jącym jego oczyszczenie i ewentualne wykonanie zabezpieczenia antykorozyjnego jego powierzchni. W przypadku stwierdzenia powierzchniowej korozji prętów zbrojenia (od strony otuliny) beton należy rozkuć do . średnicy pręta zbrojeniowego. Gdy pręty zbrojenio</w:t>
      </w:r>
      <w:r>
        <w:t>we są skorodowane na całym obwodzie rozkucie powinno sięgać jeszcze około 2 cm poza pręt. Odkryte zbrojenie należy oczyścić z rdzy metodą mechaniczną (obróbka strumieniowościerna) do wymaganego stopnia czystości (Sa 2 .) zgodnie z normą PN-ISO-8501-1:1996.</w:t>
      </w:r>
    </w:p>
    <w:p w:rsidR="00B77F00" w:rsidRDefault="00865FA3">
      <w:pPr>
        <w:pStyle w:val="Standard"/>
        <w:jc w:val="both"/>
      </w:pPr>
      <w:r>
        <w:t>W przypadku stwierdzenia korozji 20% przekroju pręta zbrojeniowego należy wzmocnić zbrojenie prętami uzupełniającymi lub odcinki zniszczone pręta usunąć i zastąpić nowymi. Projekt naprawy powinien zawierać sposób wykonania zbrojenia uzupełniającego. Pręty</w:t>
      </w:r>
      <w:r>
        <w:t xml:space="preserve"> stanowiące uzupełnienie należy oczyścić do stopnia czystości jak pręty zbrojenia uzupełniającego. Po oczyszczeniu pręty zbrojeniowe należy zabezpieczyć środkiem antykorozyjnym. Jako środki zabezpieczające przed korozją należy stosować materiały o spoiwie </w:t>
      </w:r>
      <w:r>
        <w:t>z żywic epoksydowych. Materiały te należy stosować łącznie z materiałami naprawczymi. Ilość i grubość warstw ochrony antykorozyjnej prętów oraz całość przebiegu procesu wbudowywania materiału musi odpowiadać wymaganiom producenta podanym w Kartach Technicz</w:t>
      </w:r>
      <w:r>
        <w:t>nych materiałów.</w:t>
      </w:r>
    </w:p>
    <w:p w:rsidR="00B77F00" w:rsidRDefault="00865FA3">
      <w:pPr>
        <w:pStyle w:val="Standard"/>
        <w:jc w:val="both"/>
      </w:pPr>
      <w:r>
        <w:t>5.4.2.3. Postępowanie z podłożem zarysowanym</w:t>
      </w:r>
    </w:p>
    <w:p w:rsidR="00B77F00" w:rsidRDefault="00865FA3">
      <w:pPr>
        <w:pStyle w:val="Standard"/>
        <w:jc w:val="both"/>
      </w:pPr>
      <w:r>
        <w:t>W przypadku, gdy w przygotowanym podłożu występują rysy nie uwzględnione w projekcie to Wykonawca zobowiązany jest je zinwentaryzować. W elementach betonowych i żelbetowych dopuszczalne jest poz</w:t>
      </w:r>
      <w:r>
        <w:t>ostawienie rys, gdy ich rozwartość nie przekracza 0,2 mm, są one suche, a ich propagacja jest już zakończona. W przypadku rys o rozwartości powyżej 0,2 mm i/lub zawilgoconych lub, gdy nadal propagują, Wykonawca powiadamia o tym nadzór, który sposób dalszeg</w:t>
      </w:r>
      <w:r>
        <w:t xml:space="preserve">o postępowania konsultuje z autorem projektu </w:t>
      </w:r>
      <w:r>
        <w:lastRenderedPageBreak/>
        <w:t>naprawy.</w:t>
      </w:r>
    </w:p>
    <w:p w:rsidR="00B77F00" w:rsidRDefault="00865FA3">
      <w:pPr>
        <w:pStyle w:val="Standard"/>
        <w:jc w:val="both"/>
      </w:pPr>
      <w:r>
        <w:t>5.4.2.4 .Czyszczenie podłoża betonowego</w:t>
      </w:r>
    </w:p>
    <w:p w:rsidR="00B77F00" w:rsidRDefault="00865FA3">
      <w:pPr>
        <w:pStyle w:val="Standard"/>
        <w:jc w:val="both"/>
      </w:pPr>
      <w:r>
        <w:t>Czyszczenie podłoża betonowego polega na usunięciu części luźnych, pyłów, olejów, mleczka cementowego i innych elementów obniżających przyczepność. Sposób oczyszc</w:t>
      </w:r>
      <w:r>
        <w:t xml:space="preserve">zania należy dostosować do przewidzianych do wbudowania materiałów naprawczych, zgodnie z Kartami Technicznymi. Stosowane są m.in.: metody strumieniowo – ścierne (np.: piaskowanie, śrutowanie, hydropiaskowanie). Przygotowane podłoże musi spełnić wymagania </w:t>
      </w:r>
      <w:r>
        <w:t>ogólne zawarte w punkcie 5.4.2 i ewentualne wymagania szczegółowe zawarte w ST. Po oczyszczeniu powierzchnię należy osuszyć i przedmuchać sprężonym powietrzem, usuwając z niej pył. Podłoże przeznaczone do nałożenia zaprawy powinno być suche, wilgotność wzg</w:t>
      </w:r>
      <w:r>
        <w:t>lędna betonu w podłożu nie powinna przekraczać 4% (jeżeli Wytyczne Stosowania nie przewidują inaczej). Powierzchnia betonu przygotowana do nałożenia zaprawy nie może zawierać lokalnych wgłębień ani wystających fragmentów (aby nie występowały nagłe zmiany g</w:t>
      </w:r>
      <w:r>
        <w:t>rubości nakładanej warstwy zaprawy). Sposób przygotowania podłoża i jego stan powinien być zgodny z Wytycznymi Stosowania użytego materiału.</w:t>
      </w:r>
    </w:p>
    <w:p w:rsidR="00B77F00" w:rsidRDefault="00865FA3">
      <w:pPr>
        <w:pStyle w:val="Standard"/>
        <w:jc w:val="both"/>
      </w:pPr>
      <w:r>
        <w:t>5.4.3. Wykonanie naprawy betonu zaprawą typu PCC (PC)</w:t>
      </w:r>
    </w:p>
    <w:p w:rsidR="00B77F00" w:rsidRDefault="00865FA3">
      <w:pPr>
        <w:pStyle w:val="Standard"/>
        <w:jc w:val="both"/>
      </w:pPr>
      <w:r>
        <w:t>Uzupełnienie ubytków betonu zaprawami typu PCC powinno być zg</w:t>
      </w:r>
      <w:r>
        <w:t xml:space="preserve">odne z Kartami Technicznymi materiałów, przedstawionymi przez producenta materiałów. Grubość nakładanej warstwy zaprawy PCC nie może być mniejsza niż 3-krotna grubość najgrubszej frakcji kruszywa ale nie mniej niż 1 cm. Maksymalne uziarnienie kruszywa nie </w:t>
      </w:r>
      <w:r>
        <w:t>może być większe niż 1/3 planowanej grubości warstwy zaprawy i powinno być mniejsze niż 8 mm. Przed wbudowaniem materiałów Wykonawca musi przedstawić Inżynierowi numer partii</w:t>
      </w:r>
    </w:p>
    <w:p w:rsidR="00B77F00" w:rsidRDefault="00865FA3">
      <w:pPr>
        <w:pStyle w:val="Standard"/>
        <w:jc w:val="both"/>
      </w:pPr>
      <w:r>
        <w:t>towaru. Opakowania towaru muszą spełniać odpowiednie wymagania. Strukturę powierz</w:t>
      </w:r>
      <w:r>
        <w:t>chni nakładanego materiału należy dostosować do struktury i kształtu betonu miejsca naprawianego. Do przygotowania zaprawy należy każdorazowo zużywać całą zawartość opakowania bez dzielenia ich na porcje.</w:t>
      </w:r>
    </w:p>
    <w:p w:rsidR="00B77F00" w:rsidRDefault="00865FA3">
      <w:pPr>
        <w:pStyle w:val="Standard"/>
        <w:jc w:val="both"/>
      </w:pPr>
      <w:r>
        <w:t>Dozowanie składników musi ściśle odpowiadać porcjom</w:t>
      </w:r>
      <w:r>
        <w:t xml:space="preserve"> podanym w Wytycznych Stosowania. Mieszalnik musi odpowiadać wskazanemu w Wytycznych Stosowania. Jeżeli producent materiałów nie podaje inaczej w Kartach Technicznych podczas prowadzenia napraw zaprawami o spoiwie polimerowo – cementowym temperatura podłoż</w:t>
      </w:r>
      <w:r>
        <w:t>a i powietrza nie powinna być niższa niż + 5oC. Dodatkowo zaleca się, aby była wyższa o 3 K od punktu rosy. Wykonawca zobowiązany jest kontrolować wilgotność podłoża i powietrza oraz temperaturę podłoża i powietrza.</w:t>
      </w:r>
    </w:p>
    <w:p w:rsidR="00B77F00" w:rsidRDefault="00865FA3">
      <w:pPr>
        <w:pStyle w:val="Standard"/>
        <w:jc w:val="both"/>
      </w:pPr>
      <w:r>
        <w:t>5.4.4. Nałożenie warstwy sczepnej</w:t>
      </w:r>
    </w:p>
    <w:p w:rsidR="00B77F00" w:rsidRDefault="00865FA3">
      <w:pPr>
        <w:pStyle w:val="Standard"/>
        <w:jc w:val="both"/>
      </w:pPr>
      <w:r>
        <w:t xml:space="preserve">Przed </w:t>
      </w:r>
      <w:r>
        <w:t xml:space="preserve">wbudowaniem materiałów warstwy sczepnej np. typu PC Wykonawca musi przedstawić Kierownikowi Projektu numer partii towaru. Opakowania towaru muszą spełniać odpowiednie wymagania. Do przygotowania zaprawy należy każdorazowo zużywać całą zawartość opakowania </w:t>
      </w:r>
      <w:r>
        <w:t>bez dzielenia ich na porcje. Dozowanie składników musi ściśle odpowiadać porcjom podanym w Wytycznych Stosowania. Mieszalnik musi odpowiadać wskazanemu w Wytycznych Stosowania. Podczas robót temperatura otoczenia i podłoża nie może być niższa niż 8oC i mus</w:t>
      </w:r>
      <w:r>
        <w:t>i być wyższa o 3 K od punktu rosy. Wykonawca zobowiązany jest kontrolować wilgotność podłoża i powietrza oraz temperaturę podłoża i powietrza.Warstwę sczepną o grubości 2÷5 mm należy nakładać ręcznie</w:t>
      </w:r>
    </w:p>
    <w:p w:rsidR="00B77F00" w:rsidRDefault="00865FA3">
      <w:pPr>
        <w:pStyle w:val="Standard"/>
        <w:jc w:val="both"/>
      </w:pPr>
      <w:r>
        <w:t>5.4.5. Nałożenie warstwy wypełnienia właściwego. Przed w</w:t>
      </w:r>
      <w:r>
        <w:t>budowaniem materiałów PCC (PC) wykonawca musi przedstawić Kierownikowi Projektu numer partii towaru. Opakowania towaru muszą spełniać odpowiednie wymagania. Do przygotowania zaprawy PCC należy każdorazowo zużywać całą zawartość opakowania bez dzielenia ich</w:t>
      </w:r>
      <w:r>
        <w:t xml:space="preserve"> na porcje. Dozowanie składników musi ściśle odpowiadać porcjom podanym w Wytycznych Stosowania. Mieszalnik musi odpowiadać wskazanemu w Wytycznych Stosowania. Podczas robót temperatura otoczenia i podłoża nie może być niższa niż 8 oC i musi być wyższa o 3</w:t>
      </w:r>
      <w:r>
        <w:t xml:space="preserve"> K od punktu rosy. Wykonawca zobowiązany jest kontrolować wilgotność podłoża i powietrza oraz temperaturę podłoża i powietrza. Wypełnienie właściwe należy nakładać na świeżą warstwę sczepną, gdy wykazuje ona właściwości klejące. Nakładanie wykonać ręcznie.</w:t>
      </w:r>
      <w:r>
        <w:t xml:space="preserve"> Grubość nakładanej warstwy zaprawy PCC nie może być mniejsza niż trzykrotna grubość ziaren najgrubszej frakcji kruszywa. łączna grubość warstw powinna się mieścić w, przedziale od 10 do 100 mm. Krawędzie obszaru naprawianego betonu należy podkuć pod kątem</w:t>
      </w:r>
      <w:r>
        <w:t xml:space="preserve"> 45o...90o na głębokości minimum trzykrotnej grubości najgrubszej frakcji kruszywa. Jeżeli otulina zbrojenia przy powierzchniach odkrytych nie przekracza 4 cm, to należy wykonać odpowiednią powłokę ochronną zabezpieczającą zaprawę przed karbonizacją.</w:t>
      </w:r>
    </w:p>
    <w:p w:rsidR="00B77F00" w:rsidRDefault="00865FA3">
      <w:pPr>
        <w:pStyle w:val="Standard"/>
        <w:jc w:val="both"/>
      </w:pPr>
      <w:r>
        <w:t>5.4.6</w:t>
      </w:r>
      <w:r>
        <w:t>. Pielęgnacja zaprawy</w:t>
      </w:r>
    </w:p>
    <w:p w:rsidR="00B77F00" w:rsidRDefault="00865FA3">
      <w:pPr>
        <w:pStyle w:val="Standard"/>
        <w:jc w:val="both"/>
      </w:pPr>
      <w:r>
        <w:t>Ze względu na możliwość powstawania rys skurczowych, odkryte powierzchnie nałożonej zaprawy wymagają pielęgnacji zgodnie z Wytycznymi Stosowania materiału.</w:t>
      </w:r>
    </w:p>
    <w:p w:rsidR="00B77F00" w:rsidRDefault="00865FA3">
      <w:pPr>
        <w:pStyle w:val="Standard"/>
        <w:jc w:val="both"/>
      </w:pPr>
      <w:r>
        <w:t>5.5. Zakres wykonywanych robót. Wyrównanie powierzchni betonowych. Naprawa pol</w:t>
      </w:r>
      <w:r>
        <w:t>ega na uzupełnieniu ubytków oraz wyrównaniu powierzchni zaprawą syntetyczną typu PCC.</w:t>
      </w:r>
    </w:p>
    <w:p w:rsidR="00B77F00" w:rsidRDefault="00865FA3">
      <w:pPr>
        <w:pStyle w:val="Standard"/>
        <w:jc w:val="both"/>
      </w:pPr>
      <w:r>
        <w:t>5.6. Dokumentacja robót. Przed przystąpieniem do prac Wykonawca zobowiązany jest przedstawić Program Zapewnień Jakości (PZJ). Przed przystąpieniem do prac naprawczych Wyk</w:t>
      </w:r>
      <w:r>
        <w:t xml:space="preserve">onawca i Inżynier okonują ustaleń </w:t>
      </w:r>
      <w:r>
        <w:lastRenderedPageBreak/>
        <w:t>technologicznych, takich jak:</w:t>
      </w:r>
    </w:p>
    <w:p w:rsidR="00B77F00" w:rsidRDefault="00865FA3">
      <w:pPr>
        <w:pStyle w:val="Standard"/>
        <w:jc w:val="both"/>
      </w:pPr>
      <w:r>
        <w:t>- ustalenie osób odpowiedzialnych,</w:t>
      </w:r>
    </w:p>
    <w:p w:rsidR="00B77F00" w:rsidRDefault="00865FA3">
      <w:pPr>
        <w:pStyle w:val="Standard"/>
        <w:jc w:val="both"/>
      </w:pPr>
      <w:r>
        <w:t>- wskazanie laboratorium dokonującego badań,</w:t>
      </w:r>
    </w:p>
    <w:p w:rsidR="00B77F00" w:rsidRDefault="00865FA3">
      <w:pPr>
        <w:pStyle w:val="Standard"/>
        <w:jc w:val="both"/>
      </w:pPr>
      <w:r>
        <w:t>- rodzaj stosowanych materiałów,</w:t>
      </w:r>
    </w:p>
    <w:p w:rsidR="00B77F00" w:rsidRDefault="00865FA3">
      <w:pPr>
        <w:pStyle w:val="Standard"/>
        <w:jc w:val="both"/>
      </w:pPr>
      <w:r>
        <w:t>- warunków prowadzenia prac,</w:t>
      </w:r>
    </w:p>
    <w:p w:rsidR="00B77F00" w:rsidRDefault="00865FA3">
      <w:pPr>
        <w:pStyle w:val="Standard"/>
        <w:jc w:val="both"/>
      </w:pPr>
      <w:r>
        <w:t>- wykaz sprzętu i ludzi.</w:t>
      </w:r>
    </w:p>
    <w:p w:rsidR="00B77F00" w:rsidRDefault="00865FA3">
      <w:pPr>
        <w:pStyle w:val="Standard"/>
        <w:jc w:val="both"/>
      </w:pPr>
      <w:r>
        <w:t>Podczas prac, na bieżąco,</w:t>
      </w:r>
      <w:r>
        <w:t xml:space="preserve"> na odpowiednich formularzach Wykonawca zobowiązany jest do sporządzenia dokumentacji wykonawczej, w które zamieszcza m.in.:</w:t>
      </w:r>
    </w:p>
    <w:p w:rsidR="00B77F00" w:rsidRDefault="00865FA3">
      <w:pPr>
        <w:pStyle w:val="Standard"/>
        <w:jc w:val="both"/>
      </w:pPr>
      <w:r>
        <w:t>- dane o obiekcie i naprawianych elementach,</w:t>
      </w:r>
    </w:p>
    <w:p w:rsidR="00B77F00" w:rsidRDefault="00865FA3">
      <w:pPr>
        <w:pStyle w:val="Standard"/>
        <w:jc w:val="both"/>
      </w:pPr>
      <w:r>
        <w:t>- informacje o stosowanych materiałach i technologii prac,</w:t>
      </w:r>
    </w:p>
    <w:p w:rsidR="00B77F00" w:rsidRDefault="00865FA3">
      <w:pPr>
        <w:pStyle w:val="Standard"/>
        <w:jc w:val="both"/>
      </w:pPr>
      <w:r>
        <w:t xml:space="preserve">- dane dzienne o warunkach </w:t>
      </w:r>
      <w:r>
        <w:t>atmosferycznych podczas robót,</w:t>
      </w:r>
    </w:p>
    <w:p w:rsidR="00B77F00" w:rsidRDefault="00865FA3">
      <w:pPr>
        <w:pStyle w:val="Standard"/>
        <w:jc w:val="both"/>
      </w:pPr>
      <w:r>
        <w:t>- informacje o ilości wykonanych prac i zużytych materiałów,</w:t>
      </w:r>
    </w:p>
    <w:p w:rsidR="00B77F00" w:rsidRDefault="00865FA3">
      <w:pPr>
        <w:pStyle w:val="Standard"/>
        <w:jc w:val="both"/>
      </w:pPr>
      <w:r>
        <w:t>- wyniki wykonanych badań w ramach kontroli wykonywania i odbioru robót.</w:t>
      </w:r>
    </w:p>
    <w:p w:rsidR="00B77F00" w:rsidRDefault="00B77F00">
      <w:pPr>
        <w:pStyle w:val="Standard"/>
        <w:jc w:val="both"/>
        <w:rPr>
          <w:i/>
        </w:rPr>
      </w:pPr>
    </w:p>
    <w:p w:rsidR="00B77F00" w:rsidRDefault="00865FA3">
      <w:pPr>
        <w:pStyle w:val="Standard"/>
        <w:jc w:val="both"/>
      </w:pPr>
      <w:r>
        <w:t>Powyższa dokumentacja stanowi podstawę do rozliczenia robót naprawczych. Dokumentację tą W</w:t>
      </w:r>
      <w:r>
        <w:t>ykonawca zobowiązany jest dołączyć jako element operatu kolaudacyjnego. Przed przystąpieniem do prac naprawczych i/lub zabezpieczających na obiekcie Wykonawca, w obecności Inżyniera, przygotuje pole referencyjne naprawy lub ochrony powierzchniowej.</w:t>
      </w:r>
    </w:p>
    <w:p w:rsidR="00B77F00" w:rsidRDefault="00B77F00">
      <w:pPr>
        <w:pStyle w:val="Standard"/>
        <w:jc w:val="both"/>
      </w:pPr>
    </w:p>
    <w:p w:rsidR="00B77F00" w:rsidRDefault="00865FA3">
      <w:pPr>
        <w:pStyle w:val="Standard"/>
        <w:jc w:val="both"/>
        <w:rPr>
          <w:b/>
          <w:bCs/>
        </w:rPr>
      </w:pPr>
      <w:r>
        <w:rPr>
          <w:b/>
          <w:bCs/>
        </w:rPr>
        <w:t>6. Kon</w:t>
      </w:r>
      <w:r>
        <w:rPr>
          <w:b/>
          <w:bCs/>
        </w:rPr>
        <w:t>trola jakości robót</w:t>
      </w:r>
    </w:p>
    <w:p w:rsidR="00B77F00" w:rsidRDefault="00865FA3">
      <w:pPr>
        <w:pStyle w:val="Standard"/>
        <w:jc w:val="both"/>
      </w:pPr>
      <w:r>
        <w:t>Ogólne zasady kontroli jakości robót poda</w:t>
      </w:r>
      <w:r>
        <w:t>no w ST D-M.00.00.00.</w:t>
      </w:r>
    </w:p>
    <w:p w:rsidR="00B77F00" w:rsidRDefault="00865FA3">
      <w:pPr>
        <w:pStyle w:val="Standard"/>
        <w:jc w:val="both"/>
      </w:pPr>
      <w:r>
        <w:t>Kontrola jakości obejmuje:</w:t>
      </w:r>
    </w:p>
    <w:p w:rsidR="00B77F00" w:rsidRDefault="00865FA3">
      <w:pPr>
        <w:pStyle w:val="Standard"/>
        <w:jc w:val="both"/>
      </w:pPr>
      <w:r>
        <w:t>- kontrolę przygotowania podłoża,</w:t>
      </w:r>
    </w:p>
    <w:p w:rsidR="00B77F00" w:rsidRDefault="00865FA3">
      <w:pPr>
        <w:pStyle w:val="Standard"/>
        <w:jc w:val="both"/>
      </w:pPr>
      <w:r>
        <w:t>- kontrolę wykonywania prac zgodnie z projektem,</w:t>
      </w:r>
    </w:p>
    <w:p w:rsidR="00B77F00" w:rsidRDefault="00865FA3">
      <w:pPr>
        <w:pStyle w:val="Standard"/>
        <w:jc w:val="both"/>
      </w:pPr>
      <w:r>
        <w:t>- kontrolę przydatności materiałów,</w:t>
      </w:r>
    </w:p>
    <w:p w:rsidR="00B77F00" w:rsidRDefault="00865FA3">
      <w:pPr>
        <w:pStyle w:val="Standard"/>
        <w:jc w:val="both"/>
      </w:pPr>
      <w:r>
        <w:t xml:space="preserve">- kontrolę wykonywania </w:t>
      </w:r>
      <w:r>
        <w:t>robót przeprowadzaną przez Wykonawcę,</w:t>
      </w:r>
    </w:p>
    <w:p w:rsidR="00B77F00" w:rsidRDefault="00865FA3">
      <w:pPr>
        <w:pStyle w:val="Standard"/>
        <w:jc w:val="both"/>
      </w:pPr>
      <w:r>
        <w:t>- kontrole zużycia materiałów,</w:t>
      </w:r>
    </w:p>
    <w:p w:rsidR="00B77F00" w:rsidRDefault="00865FA3">
      <w:pPr>
        <w:pStyle w:val="Standard"/>
        <w:jc w:val="both"/>
      </w:pPr>
      <w:r>
        <w:t>- badania kontrolne wykonywane przez nadzór.</w:t>
      </w:r>
    </w:p>
    <w:p w:rsidR="00B77F00" w:rsidRDefault="00865FA3">
      <w:pPr>
        <w:pStyle w:val="Standard"/>
        <w:jc w:val="both"/>
      </w:pPr>
      <w:r>
        <w:t>6.1. Kontrola przygotowania podłoża obejmuje badanie:</w:t>
      </w:r>
    </w:p>
    <w:p w:rsidR="00B77F00" w:rsidRDefault="00865FA3">
      <w:pPr>
        <w:pStyle w:val="Standard"/>
        <w:jc w:val="both"/>
      </w:pPr>
      <w:r>
        <w:t>- wytrzymałość średnia na ściskanie</w:t>
      </w:r>
    </w:p>
    <w:p w:rsidR="00B77F00" w:rsidRDefault="00865FA3">
      <w:pPr>
        <w:pStyle w:val="Standard"/>
        <w:jc w:val="both"/>
      </w:pPr>
      <w:r>
        <w:t xml:space="preserve">- wytrzymałość na odrywanie Pomiar wytrzymałości na </w:t>
      </w:r>
      <w:r>
        <w:t>odrywanie należy wykonać zgodnie z PN-B-01814:1992. Należy wykonać co najmniej 1 pomiar na każde 25 m2 powierzchni oczyszczonego podłoża, lecz nie mniej niż 5 - wymagania wg punktu 5.4.2.</w:t>
      </w:r>
    </w:p>
    <w:p w:rsidR="00B77F00" w:rsidRDefault="00865FA3">
      <w:pPr>
        <w:pStyle w:val="Standard"/>
        <w:jc w:val="both"/>
      </w:pPr>
      <w:r>
        <w:t>6.2. Kontrola materiałów do przygotowania zaprawy Kontrolę wytwarzan</w:t>
      </w:r>
      <w:r>
        <w:t>ia materiałów do napraw sprawuje producent w ramach nadzoru wewnętrznego i dokumentuje ją wydaniem atestu dla każdej partii materiału.</w:t>
      </w:r>
    </w:p>
    <w:p w:rsidR="00B77F00" w:rsidRDefault="00865FA3">
      <w:pPr>
        <w:pStyle w:val="Standard"/>
        <w:jc w:val="both"/>
      </w:pPr>
      <w:r>
        <w:t>Przed wbudowaniem materiałów Wykonawca zobowiązany jest do sprawdzenia:</w:t>
      </w:r>
    </w:p>
    <w:p w:rsidR="00B77F00" w:rsidRDefault="00865FA3">
      <w:pPr>
        <w:pStyle w:val="Standard"/>
        <w:jc w:val="both"/>
      </w:pPr>
      <w:r>
        <w:t>- aktualności otrzymanych atestów,</w:t>
      </w:r>
    </w:p>
    <w:p w:rsidR="00B77F00" w:rsidRDefault="00865FA3">
      <w:pPr>
        <w:pStyle w:val="Standard"/>
        <w:jc w:val="both"/>
      </w:pPr>
      <w:r>
        <w:t>- numeru produ</w:t>
      </w:r>
      <w:r>
        <w:t>ktu na opakowaniu,</w:t>
      </w:r>
    </w:p>
    <w:p w:rsidR="00B77F00" w:rsidRDefault="00865FA3">
      <w:pPr>
        <w:pStyle w:val="Standard"/>
        <w:jc w:val="both"/>
      </w:pPr>
      <w:r>
        <w:t>- stanu opakowań,</w:t>
      </w:r>
    </w:p>
    <w:p w:rsidR="00B77F00" w:rsidRDefault="00865FA3">
      <w:pPr>
        <w:pStyle w:val="Standard"/>
        <w:jc w:val="both"/>
      </w:pPr>
      <w:r>
        <w:t>- daty produkcji i daty przydatności do stosowania.</w:t>
      </w:r>
    </w:p>
    <w:p w:rsidR="00B77F00" w:rsidRDefault="00865FA3">
      <w:pPr>
        <w:pStyle w:val="Standard"/>
        <w:jc w:val="both"/>
      </w:pPr>
      <w:r>
        <w:t>- parametrów technicznych materiałów podstawowych z wymaganiami wg Kart Technicznych</w:t>
      </w:r>
    </w:p>
    <w:p w:rsidR="00B77F00" w:rsidRDefault="00865FA3">
      <w:pPr>
        <w:pStyle w:val="Standard"/>
        <w:jc w:val="both"/>
      </w:pPr>
      <w:r>
        <w:t>- oraz wykonania badań kontrolnych zgodnie z wymaganiami Polskich Norm lub aprobat</w:t>
      </w:r>
      <w:r>
        <w:t xml:space="preserve"> technicznych.</w:t>
      </w:r>
    </w:p>
    <w:p w:rsidR="00B77F00" w:rsidRDefault="00865FA3">
      <w:pPr>
        <w:pStyle w:val="Standard"/>
        <w:jc w:val="both"/>
      </w:pPr>
      <w:r>
        <w:t>Przed przystąpieniem do wbudowania materiałów Wykonawca zobowiązany jest do przedstawienia dla każdej dostawy deklaracji zgodności lub certyfikatu zgodności materiału z Polską Normą, a w przypadku jej braku aprobatą techniczną. Na żądanie in</w:t>
      </w:r>
      <w:r>
        <w:t>westora Wykonawca powinien przedstawić aktualne wyniki badań materiałów wykonywanych w ramach nadzoru wewnętrznego przez producenta. Wykonawca obowiązany jest przedstawić Kierownikowi Projektu do zaakceptowania system kontroli wewnętrznej obejmujący wszyst</w:t>
      </w:r>
      <w:r>
        <w:t>kie czynności technologiczne, który powinien być zgodny z ST, przedmiotowymi normami i uwzględniać „Zalecenia do wykonywania oraz odbioru napraw i ochrony powierzchniowej betonu w istniejących konstrukcjach mostowych, GDDP Warszawa 1998 r.”.</w:t>
      </w:r>
    </w:p>
    <w:p w:rsidR="00B77F00" w:rsidRDefault="00865FA3">
      <w:pPr>
        <w:pStyle w:val="Standard"/>
        <w:jc w:val="both"/>
      </w:pPr>
      <w:r>
        <w:t xml:space="preserve">6.3. Kontrola </w:t>
      </w:r>
      <w:r>
        <w:t>wykonania robót</w:t>
      </w:r>
    </w:p>
    <w:p w:rsidR="00B77F00" w:rsidRDefault="00865FA3">
      <w:pPr>
        <w:pStyle w:val="Standard"/>
        <w:jc w:val="both"/>
      </w:pPr>
      <w:r>
        <w:t>Kontrolę wykonania robót dokumentuje Wykonawca przez wykonanie badań wyszczególnionych poniżej.</w:t>
      </w:r>
    </w:p>
    <w:p w:rsidR="00B77F00" w:rsidRDefault="00865FA3">
      <w:pPr>
        <w:pStyle w:val="Standard"/>
        <w:jc w:val="both"/>
      </w:pPr>
      <w:r>
        <w:t>Kontrola wykonania robót obejmuje:</w:t>
      </w:r>
    </w:p>
    <w:p w:rsidR="00B77F00" w:rsidRDefault="00865FA3">
      <w:pPr>
        <w:pStyle w:val="Standard"/>
        <w:jc w:val="both"/>
      </w:pPr>
      <w:r>
        <w:t>- badanie przygotowania podłoża,</w:t>
      </w:r>
    </w:p>
    <w:p w:rsidR="00B77F00" w:rsidRDefault="00865FA3">
      <w:pPr>
        <w:pStyle w:val="Standard"/>
        <w:jc w:val="both"/>
      </w:pPr>
      <w:r>
        <w:t>- badanie wytrzymałości zaprawy na odrywanie od podłoża,</w:t>
      </w:r>
    </w:p>
    <w:p w:rsidR="00B77F00" w:rsidRDefault="00865FA3">
      <w:pPr>
        <w:pStyle w:val="Standard"/>
        <w:jc w:val="both"/>
      </w:pPr>
      <w:r>
        <w:t>- sprawdzenie podst</w:t>
      </w:r>
      <w:r>
        <w:t>awowych wymiarów geometrycznych naprawianego elementu,</w:t>
      </w:r>
    </w:p>
    <w:p w:rsidR="00B77F00" w:rsidRDefault="00865FA3">
      <w:pPr>
        <w:pStyle w:val="Standard"/>
        <w:jc w:val="both"/>
      </w:pPr>
      <w:r>
        <w:t>- sprawdzenie grubości otuliny zbrojenia.</w:t>
      </w:r>
    </w:p>
    <w:p w:rsidR="00B77F00" w:rsidRDefault="00865FA3">
      <w:pPr>
        <w:pStyle w:val="Standard"/>
        <w:jc w:val="both"/>
      </w:pPr>
      <w:r>
        <w:t xml:space="preserve">Wyniki badań Wykonawca przedstawia do akceptacji Inżynierowi. Naprawione powierzchnie, po odpowiednim </w:t>
      </w:r>
      <w:r>
        <w:lastRenderedPageBreak/>
        <w:t xml:space="preserve">stwardnieniu zaprawy, Wykonawca bada w obecności nadzoru </w:t>
      </w:r>
      <w:r>
        <w:t>przez ostukiwanie. Badanie wytrzymałości wykonanej naprawy na odrywanie od podłoża należy wykonać wg PN-B-01814:1992. Należy wykonać co najmniej 1 pomiar na 25 m2 wykonanej naprawy, lecz nie mniej niż 5 dla elementu. Miejsca pomiarowe wskazuje nadzór inwes</w:t>
      </w:r>
      <w:r>
        <w:t>torski. Wartość średnia ze wszystkich pomiarów nie powinna być niższa niż 1,5 MPa, minimalna wartość pojedynczego pomiaru powinna wynosić nie mniej niż 1,0 MPa, przy czym przełom musi przebiegać w betonie. Jeżeli wartość pojedynczego pomiaru jest niższa ni</w:t>
      </w:r>
      <w:r>
        <w:t>ż 1,0 MPa wówczas należy wykonać dodatkowy pomiar obok, w miejscu również wskazanym przez nadzór. W przypadku, gdy dodatkowy pomiar spełni warunek minimalnej wytrzymałości na odrywanie i równocześnie wartości średnie ze wszystkich pomiarów nie będzie niższ</w:t>
      </w:r>
      <w:r>
        <w:t>a niż 1,5 MPa, to można uznać, że warunek wytrzymałości na odrywanie został spełniony. Miejsca uszkodzone podczas badań należy naprawić przy użyciu tej samej zaprawy, która była stosowana do napraw, zachowując wymagania technologiczne odnośnie jej stosowan</w:t>
      </w:r>
      <w:r>
        <w:t>ia. W czasie prac należy także dążyć do odtworzenia, w miejscu wykonywania naprawy, charakteru istniejącej faktury. Sprawdzenie podstawowych wymiarów geometrycznych należy wykonać zgodnie z PNS- 10040:1997. Po zakończeniu napraw wskazane jest sprawdzenie w</w:t>
      </w:r>
      <w:r>
        <w:t>ykonanej otuliny zbrojenia w naprawianym elemencie metodami nieniszczącymi, pod kątem zachowania wartości założonych w projekcie naprawy. Wszystkie wyżej wymienione badania Wykonawca wykonuje w obecności nadzoru inwestorskiego, a wyniki załącza do dokument</w:t>
      </w:r>
      <w:r>
        <w:t>acji podwykonawczej budowy.</w:t>
      </w:r>
    </w:p>
    <w:p w:rsidR="00B77F00" w:rsidRDefault="00865FA3">
      <w:pPr>
        <w:pStyle w:val="Standard"/>
        <w:jc w:val="both"/>
      </w:pPr>
      <w:r>
        <w:t>6.4. Badania kontrolne</w:t>
      </w:r>
    </w:p>
    <w:p w:rsidR="00B77F00" w:rsidRDefault="00865FA3">
      <w:pPr>
        <w:pStyle w:val="Standard"/>
        <w:jc w:val="both"/>
      </w:pPr>
      <w:r>
        <w:t>Badania kontrolne obejmują cały proces budowy od robót przygotowawczych, przez etapy realizacji robót, aż do badań końcowych. Zakres badań kontrolnych ustala Inżynier. Badania realizuje Inżynier na próbkac</w:t>
      </w:r>
      <w:r>
        <w:t xml:space="preserve">h „świadka” wykonanych przez Wykonawcę, bądź na próbkach wykonanych przez własne lub wybrane przez siebie laboratorium w trakcie prowadzenia robót. Badania kontrolne obejmują również badania naprawianej konstrukcji. Koszty tych badań ponosi zleceniodawca. </w:t>
      </w:r>
      <w:r>
        <w:t>Inżynier może odstąpić od badań kontrolnych opierając się na badaniach wykonanych przez Wykonawcę podczas kontroli wykonania robót. W przypadkach spornych, Inżynier może zlecić wykonanie dodatkowych badań kontrolnych niezależnemu laboratorium, a koszty tyc</w:t>
      </w:r>
      <w:r>
        <w:t>h badań, w przypadku stwierdzenia usterek, ponosiWykonawca.</w:t>
      </w:r>
    </w:p>
    <w:p w:rsidR="00B77F00" w:rsidRDefault="00B77F00">
      <w:pPr>
        <w:pStyle w:val="Standard"/>
        <w:rPr>
          <w:rFonts w:ascii="Times New Roman" w:hAnsi="Times New Roman"/>
          <w:color w:val="000000"/>
          <w:sz w:val="24"/>
        </w:rPr>
      </w:pPr>
    </w:p>
    <w:p w:rsidR="00B77F00" w:rsidRDefault="00865FA3">
      <w:pPr>
        <w:pStyle w:val="Standard"/>
        <w:jc w:val="both"/>
        <w:rPr>
          <w:b/>
          <w:bCs/>
        </w:rPr>
      </w:pPr>
      <w:r>
        <w:rPr>
          <w:b/>
          <w:bCs/>
        </w:rPr>
        <w:t>7. Obmiar robót</w:t>
      </w:r>
    </w:p>
    <w:p w:rsidR="00B77F00" w:rsidRDefault="00865FA3">
      <w:pPr>
        <w:pStyle w:val="Standard"/>
        <w:jc w:val="both"/>
      </w:pPr>
      <w:r>
        <w:t xml:space="preserve">Jednostką obmiaru jest 1 m2 naprawianej powierzchni betonowej zgodnie z Dokumentacją Projektową oraz pomiarem w terenie i uwzględnia pozostałe elementy składowe robót obmierzane </w:t>
      </w:r>
      <w:r>
        <w:t xml:space="preserve">według innych jednostek. Podczas przygotowywania obmiaru Wykonawca powinien wykonać szkic wykonanej naprawy wraz z umiejscowieniem, umożliwiający obliczenia ilości robót oraz wbudowanego materiału. Obmiar obejmuje roboty objęte umową oraz roboty dodatkowe </w:t>
      </w:r>
      <w:r>
        <w:t>i nieprzewidziane, których potrzebę wykonania i zakres uzgodniono protokółem konieczności wykonania robót pomiędzy Wykonawca i inwestorem . Ogólne zasady obmiaru robót podano w ST D-M.00.00.00 punkt 7.</w:t>
      </w:r>
    </w:p>
    <w:p w:rsidR="00B77F00" w:rsidRDefault="00B77F00">
      <w:pPr>
        <w:pStyle w:val="Standard"/>
      </w:pPr>
    </w:p>
    <w:p w:rsidR="00B77F00" w:rsidRDefault="00865FA3">
      <w:pPr>
        <w:pStyle w:val="Standard"/>
        <w:rPr>
          <w:b/>
          <w:bCs/>
        </w:rPr>
      </w:pPr>
      <w:r>
        <w:rPr>
          <w:b/>
          <w:bCs/>
        </w:rPr>
        <w:t>8. Odbiór robót</w:t>
      </w:r>
    </w:p>
    <w:p w:rsidR="00B77F00" w:rsidRDefault="00865FA3">
      <w:pPr>
        <w:pStyle w:val="Standard"/>
        <w:jc w:val="both"/>
      </w:pPr>
      <w:r>
        <w:t xml:space="preserve">Ogólne zasady odbioru robót podano w </w:t>
      </w:r>
      <w:r>
        <w:t>ST D-M.00.00.00.</w:t>
      </w:r>
    </w:p>
    <w:p w:rsidR="00B77F00" w:rsidRDefault="00865FA3">
      <w:pPr>
        <w:pStyle w:val="Standard"/>
        <w:jc w:val="both"/>
      </w:pPr>
      <w:r>
        <w:t>8.1. Odbiory robót powinny być dokonywane zgodnie z ustaleniami umowy (*warunkami kontraktu) i potwierdzane w formie pisemnej.</w:t>
      </w:r>
    </w:p>
    <w:p w:rsidR="00B77F00" w:rsidRDefault="00865FA3">
      <w:pPr>
        <w:pStyle w:val="Standard"/>
        <w:jc w:val="both"/>
      </w:pPr>
      <w:r>
        <w:t xml:space="preserve">- Odbiór robót ulegających zakryciu – polega na finalnej ocenie jakości i ilości wykonywanych robót przed ich </w:t>
      </w:r>
      <w:r>
        <w:t>zakryciem. Odbioru tego dokonuje i potwierdza również w formie pisemnej Inżynier, po zgłoszeniu przez Wykonawcę.</w:t>
      </w:r>
    </w:p>
    <w:p w:rsidR="00B77F00" w:rsidRDefault="00865FA3">
      <w:pPr>
        <w:pStyle w:val="Standard"/>
        <w:jc w:val="both"/>
      </w:pPr>
      <w:r>
        <w:t>- Odbiór częściowy – polega na ocenie jakości, ilości i wartości sprzedażnej wykonywanych robót objętych odbiorem częściowym. Przedmiotem odbio</w:t>
      </w:r>
      <w:r>
        <w:t>ru częściowego mogą być wyłącznie zakończone elementy obiektu (np. Podpora, przęsło) w danym rodzaju robót.</w:t>
      </w:r>
    </w:p>
    <w:p w:rsidR="00B77F00" w:rsidRDefault="00865FA3">
      <w:pPr>
        <w:pStyle w:val="Standard"/>
        <w:jc w:val="both"/>
      </w:pPr>
      <w:r>
        <w:t>- Odbiór końcowy – polega na ostatecznej ocenie jakości, ilości i wartości sprzedażnej wykonanych robót. Przedmiotem odbioru końcowego mogą być tylk</w:t>
      </w:r>
      <w:r>
        <w:t xml:space="preserve">o całkowicie zakończone roboty na obiekcie. Zasady wykonywania odbioru końcowego są określone w umowie (warunkach kontraktu). Podstawą do oceny jakości i zgodności robót z umową są badania i pomiary prowadzone zarówno w czasie realizacji obiektu, jak i po </w:t>
      </w:r>
      <w:r>
        <w:t>zakończeniu robót oraz oględziny wizualne dokonywane podczas odbioru. Zakres i częstotliwość badań powinny być zgodne z podanymi w niniejszych zaleceniach. Podczas odbioru należy przedstawić wszystkie wyniki badań i pomiarów wraz z określeniem zakresu i il</w:t>
      </w:r>
      <w:r>
        <w:t>ości wykonanych robót. W przypadku wątpliwości co do jakości robót Wykonawca, w porozumieniu z nadzorem, wykonuje dodatkowe badania laboratoryjne lub pomiary uzupełniające. Dotyczy to wszystkich rodzajów odbioru.</w:t>
      </w:r>
    </w:p>
    <w:p w:rsidR="00B77F00" w:rsidRDefault="00B77F00">
      <w:pPr>
        <w:pStyle w:val="Standard"/>
        <w:jc w:val="both"/>
        <w:rPr>
          <w:i/>
          <w:color w:val="000000"/>
        </w:rPr>
      </w:pPr>
    </w:p>
    <w:p w:rsidR="00B77F00" w:rsidRDefault="00865FA3">
      <w:pPr>
        <w:pStyle w:val="Standard"/>
        <w:jc w:val="both"/>
      </w:pPr>
      <w:r>
        <w:t>8.2. Zasady odbioru robót ulegających zakr</w:t>
      </w:r>
      <w:r>
        <w:t>yciu</w:t>
      </w:r>
    </w:p>
    <w:p w:rsidR="00B77F00" w:rsidRDefault="00865FA3">
      <w:pPr>
        <w:pStyle w:val="Standard"/>
        <w:jc w:val="both"/>
      </w:pPr>
      <w:r>
        <w:t xml:space="preserve">Jeżeli nie ustalono inaczej w umowie (warunkach kontraktu), odbiór robót ulegających zakryciu powinien być </w:t>
      </w:r>
      <w:r>
        <w:lastRenderedPageBreak/>
        <w:t>dokonywany bez hamowania postępu robót. Odbioru robót dokonuje nadzór inwestorski na podstawie dokumentów zawierających wyniki badań laboratoryj</w:t>
      </w:r>
      <w:r>
        <w:t>nych oraz pomiarów cech geometrycznych. Odbiorowi podlegają poszczególne etapy wykonywanej naprawy: przygotowanie podłoża, oczyszczenie prętów zbrojeniowych, ewentualne wykonanie zabezpieczenia antykorozyjnego prętów zbrojeniowych, kolejne warstwy naprawcz</w:t>
      </w:r>
      <w:r>
        <w:t>e, kolejne warstwy powłoki ochronnej. W przypadkach stwierdzenia odchyleń, odbierający nakazuje usunięcie wadliwie wykonanych robót. Ewentualne roboty poprawkowe dokonuje Wykonawca na swój koszt i ponownie przedstawia do odbioru, w terminie uzgodnionym z n</w:t>
      </w:r>
      <w:r>
        <w:t>adzorem.</w:t>
      </w:r>
    </w:p>
    <w:p w:rsidR="00B77F00" w:rsidRDefault="00865FA3">
      <w:pPr>
        <w:pStyle w:val="Standard"/>
        <w:jc w:val="both"/>
      </w:pPr>
      <w:r>
        <w:t>8.3. Zasady odbioru częściowego robót</w:t>
      </w:r>
    </w:p>
    <w:p w:rsidR="00B77F00" w:rsidRDefault="00865FA3">
      <w:pPr>
        <w:pStyle w:val="Standard"/>
        <w:jc w:val="both"/>
      </w:pPr>
      <w:r>
        <w:t>Jeżeli nie ustalono inaczej w umowie (warunkach kontraktu), odbiór częściowy powinien być wykonany w terminie 7 dni po zgłoszeniu zrealizowanych robót zgodnie z dokumentacją i wymaganiami robót na elemencie do</w:t>
      </w:r>
      <w:r>
        <w:t xml:space="preserve"> odbioru. Odbioru robót dokonuje Inżynier na podstawie dokumentów zawierających wyniki badań laboratoryjnych, pomiarów cech geometrycznych oraz obmiarów (przykłady protokółów w załączniku nr 2), itd. Przedmiotem odbioru częściowego mogą być wykonane zgodni</w:t>
      </w:r>
      <w:r>
        <w:t>e z dokumentacją, wyłącznie zakończone elementy obiektu (np. podpory, przęsła) w danym rodzaju robót.</w:t>
      </w:r>
    </w:p>
    <w:p w:rsidR="00B77F00" w:rsidRDefault="00865FA3">
      <w:pPr>
        <w:pStyle w:val="Standard"/>
        <w:jc w:val="both"/>
      </w:pPr>
      <w:r>
        <w:t>8.4. Zasady odbioru końcowego robót.</w:t>
      </w:r>
    </w:p>
    <w:p w:rsidR="00B77F00" w:rsidRDefault="00865FA3">
      <w:pPr>
        <w:pStyle w:val="Standard"/>
        <w:jc w:val="both"/>
      </w:pPr>
      <w:r>
        <w:t>Po zakończeniu robót, uzyskaniu pozytywnych wyników badań i pomiarów oraz skompletowaniu całej przewidzianej w umowie</w:t>
      </w:r>
      <w:r>
        <w:t xml:space="preserve"> dokumentacji powykonawczej (operatu kolaudacyjnego), Wykonawca zawiadamia o tym pisemnie nadzór inwestorski. Jeżeli nie ustalono inaczej w umowie (warunkach kontraktu), po sprawdzeniu dokumentacji i stwierdzeniu gotowości robót do odbioru Inwestor powinie</w:t>
      </w:r>
      <w:r>
        <w:t>n, w ciągu 14 dni od potwierdzenia gotowości przez nadzór, zwołać komisję w celu przyjęcia robót. W czasie prac komisji, po szczegółowych oględzinach obiektu, sporządza się i podpisuje protokół odbioru końcowego robót. Za datę zakończenia robót uważa się d</w:t>
      </w:r>
      <w:r>
        <w:t>atę dokonanego odbioru końcowego.</w:t>
      </w:r>
    </w:p>
    <w:p w:rsidR="00B77F00" w:rsidRDefault="00B77F00">
      <w:pPr>
        <w:pStyle w:val="Standard"/>
      </w:pPr>
    </w:p>
    <w:p w:rsidR="00B77F00" w:rsidRDefault="00865FA3">
      <w:pPr>
        <w:pStyle w:val="Standard"/>
        <w:rPr>
          <w:b/>
          <w:bCs/>
        </w:rPr>
      </w:pPr>
      <w:r>
        <w:rPr>
          <w:b/>
          <w:bCs/>
        </w:rPr>
        <w:t>9. Podstawa płatności</w:t>
      </w:r>
    </w:p>
    <w:p w:rsidR="00B77F00" w:rsidRDefault="00865FA3">
      <w:pPr>
        <w:pStyle w:val="Standard"/>
        <w:jc w:val="both"/>
      </w:pPr>
      <w:r>
        <w:t>Ogólne wymagania dotyczące płatności podano w ST D-M.00.00.00.</w:t>
      </w:r>
    </w:p>
    <w:p w:rsidR="00B77F00" w:rsidRDefault="00865FA3">
      <w:pPr>
        <w:pStyle w:val="Standard"/>
        <w:jc w:val="both"/>
      </w:pPr>
      <w:r>
        <w:t>Płatność za m2 wykonanej naprawy powierzchni betonowej zgodnie z obmiarem i atestem producenta  materiałów oraz oceną jakości wykonanych</w:t>
      </w:r>
      <w:r>
        <w:t xml:space="preserve"> robót na podstawie wyników pomiarów i badań laboratoryjnych.</w:t>
      </w:r>
    </w:p>
    <w:p w:rsidR="00B77F00" w:rsidRDefault="00865FA3">
      <w:pPr>
        <w:pStyle w:val="Standard"/>
        <w:jc w:val="both"/>
      </w:pPr>
      <w:r>
        <w:t>Cena wykonania robót obejmuje:</w:t>
      </w:r>
    </w:p>
    <w:p w:rsidR="00B77F00" w:rsidRDefault="00865FA3">
      <w:pPr>
        <w:pStyle w:val="Standard"/>
        <w:jc w:val="both"/>
      </w:pPr>
      <w:r>
        <w:t>- zakup i transport materiałów do wykonania robót,</w:t>
      </w:r>
    </w:p>
    <w:p w:rsidR="00B77F00" w:rsidRDefault="00865FA3">
      <w:pPr>
        <w:pStyle w:val="Standard"/>
        <w:jc w:val="both"/>
      </w:pPr>
      <w:r>
        <w:t>- wykonanie rusztowania roboczego,</w:t>
      </w:r>
    </w:p>
    <w:p w:rsidR="00B77F00" w:rsidRDefault="00865FA3">
      <w:pPr>
        <w:pStyle w:val="Standard"/>
        <w:jc w:val="both"/>
      </w:pPr>
      <w:r>
        <w:t>- oczyszczenie ręczne szczotkami lub skucie skorodowanego betonu elementów mo</w:t>
      </w:r>
      <w:r>
        <w:t>stu,</w:t>
      </w:r>
    </w:p>
    <w:p w:rsidR="00B77F00" w:rsidRDefault="00865FA3">
      <w:pPr>
        <w:pStyle w:val="Standard"/>
        <w:jc w:val="both"/>
      </w:pPr>
      <w:r>
        <w:t>- oczyszczenie metodą strumieniowo-ścierną (np. przez piaskowanie) skorodowanych powierzchni elementów obiektu mostowego</w:t>
      </w:r>
    </w:p>
    <w:p w:rsidR="00B77F00" w:rsidRDefault="00865FA3">
      <w:pPr>
        <w:pStyle w:val="Standard"/>
        <w:jc w:val="both"/>
      </w:pPr>
      <w:r>
        <w:t>- osuszenie, przygotowanie i odpylenie naprawianej powierzchni,</w:t>
      </w:r>
    </w:p>
    <w:p w:rsidR="00B77F00" w:rsidRDefault="00865FA3">
      <w:pPr>
        <w:pStyle w:val="Standard"/>
        <w:jc w:val="both"/>
      </w:pPr>
      <w:r>
        <w:t>- w przypadku odkrycia zbrojenia usunięcie pozostałej rdzy ze zbro</w:t>
      </w:r>
      <w:r>
        <w:t>jenia i naniesienie warstwy antykorozyjnej na odkryte zbrojenie,</w:t>
      </w:r>
    </w:p>
    <w:p w:rsidR="00B77F00" w:rsidRDefault="00865FA3">
      <w:pPr>
        <w:pStyle w:val="Standard"/>
        <w:jc w:val="both"/>
      </w:pPr>
      <w:r>
        <w:t>- w przypadku potrzeby uzupełnienia zbrojenia koszt zakupu w montażu tego zbrojenia,</w:t>
      </w:r>
    </w:p>
    <w:p w:rsidR="00B77F00" w:rsidRDefault="00865FA3">
      <w:pPr>
        <w:pStyle w:val="Standard"/>
        <w:jc w:val="both"/>
      </w:pPr>
      <w:r>
        <w:t>- wykonanie mieszanki zaprawy PC,</w:t>
      </w:r>
    </w:p>
    <w:p w:rsidR="00B77F00" w:rsidRDefault="00865FA3">
      <w:pPr>
        <w:pStyle w:val="Standard"/>
        <w:jc w:val="both"/>
      </w:pPr>
      <w:r>
        <w:t>- wykonanie mieszanki zaprawy PCC,</w:t>
      </w:r>
    </w:p>
    <w:p w:rsidR="00B77F00" w:rsidRDefault="00865FA3">
      <w:pPr>
        <w:pStyle w:val="Standard"/>
        <w:jc w:val="both"/>
      </w:pPr>
      <w:r>
        <w:t>- wykonanie warstwy sczepnej z zapraw</w:t>
      </w:r>
      <w:r>
        <w:t>y syntetycznej systemu PC gr. 2...5 mm,</w:t>
      </w:r>
    </w:p>
    <w:p w:rsidR="00B77F00" w:rsidRDefault="00865FA3">
      <w:pPr>
        <w:pStyle w:val="Standard"/>
        <w:jc w:val="both"/>
      </w:pPr>
      <w:r>
        <w:t>- wykonanie warstwy wyrównwczej - naprawy właściwej z zaprawy z żywic syntetycznych systemu PC warstwami,</w:t>
      </w:r>
    </w:p>
    <w:p w:rsidR="00B77F00" w:rsidRDefault="00865FA3">
      <w:pPr>
        <w:pStyle w:val="Standard"/>
        <w:jc w:val="both"/>
      </w:pPr>
      <w:r>
        <w:t>- wykonanie wypełnienia - naprawy właściwej z zaprawy cementowej z dodatkiem żywic syntetycznych systemu PCC w</w:t>
      </w:r>
      <w:r>
        <w:t>arstwami,</w:t>
      </w:r>
    </w:p>
    <w:p w:rsidR="00B77F00" w:rsidRDefault="00865FA3">
      <w:pPr>
        <w:pStyle w:val="Standard"/>
        <w:jc w:val="both"/>
      </w:pPr>
      <w:r>
        <w:t>- pielęgnacja naprawionej powierzchni podpór i ustroju nośnego,</w:t>
      </w:r>
    </w:p>
    <w:p w:rsidR="00B77F00" w:rsidRDefault="00865FA3">
      <w:pPr>
        <w:pStyle w:val="Standard"/>
        <w:jc w:val="both"/>
      </w:pPr>
      <w:r>
        <w:t>- uzupełnienia ubytków kamiennych wraz ze spoinami dla przyczółków kamiennych,</w:t>
      </w:r>
    </w:p>
    <w:p w:rsidR="00B77F00" w:rsidRDefault="00865FA3">
      <w:pPr>
        <w:pStyle w:val="Standard"/>
        <w:jc w:val="both"/>
      </w:pPr>
      <w:r>
        <w:t>- usunięcie zbędnych materiałów poza pas drogowy,</w:t>
      </w:r>
    </w:p>
    <w:p w:rsidR="00B77F00" w:rsidRDefault="00865FA3">
      <w:pPr>
        <w:pStyle w:val="Standard"/>
        <w:jc w:val="both"/>
      </w:pPr>
      <w:r>
        <w:t xml:space="preserve">- wykonanie niezbędnych badań laboratoryjnych i </w:t>
      </w:r>
      <w:r>
        <w:t>pomiarów,</w:t>
      </w:r>
    </w:p>
    <w:p w:rsidR="00B77F00" w:rsidRDefault="00865FA3">
      <w:pPr>
        <w:pStyle w:val="Standard"/>
        <w:jc w:val="both"/>
      </w:pPr>
      <w:r>
        <w:t>- opracowanie wszelkich niezbędnych projektów roboczych i technologicznych,</w:t>
      </w:r>
    </w:p>
    <w:p w:rsidR="00B77F00" w:rsidRDefault="00865FA3">
      <w:pPr>
        <w:pStyle w:val="Standard"/>
        <w:jc w:val="both"/>
      </w:pPr>
      <w:r>
        <w:t>- wszytskie elementy nie ujęte w dokumentacji, a będące niezbędne do prawidłowego zrealizowania zamierzenia jakim jest remont obiektu.</w:t>
      </w:r>
    </w:p>
    <w:p w:rsidR="00B77F00" w:rsidRDefault="00B77F00">
      <w:pPr>
        <w:pStyle w:val="Standard"/>
        <w:jc w:val="both"/>
      </w:pPr>
    </w:p>
    <w:p w:rsidR="00B77F00" w:rsidRDefault="00865FA3">
      <w:pPr>
        <w:pStyle w:val="Standard"/>
        <w:rPr>
          <w:b/>
          <w:bCs/>
        </w:rPr>
      </w:pPr>
      <w:r>
        <w:rPr>
          <w:b/>
          <w:bCs/>
        </w:rPr>
        <w:t>10. Przepisy związane</w:t>
      </w:r>
    </w:p>
    <w:p w:rsidR="00B77F00" w:rsidRDefault="00865FA3">
      <w:pPr>
        <w:pStyle w:val="Standard"/>
        <w:jc w:val="both"/>
      </w:pPr>
      <w:r>
        <w:t>PN-80/B-0180</w:t>
      </w:r>
      <w:r>
        <w:t>0 Antykorozyjne zabezpieczenie w budownictwie. Konstrukcje betonowe i żelbetowe. Klasyfikacje i określenie środowisk.</w:t>
      </w:r>
    </w:p>
    <w:p w:rsidR="00B77F00" w:rsidRDefault="00865FA3">
      <w:pPr>
        <w:pStyle w:val="Standard"/>
        <w:jc w:val="both"/>
      </w:pPr>
      <w:r>
        <w:t>PN-88/B-01807 Antykorozyjne zabezpieczenie w budownictwie. Konstrukcje betonowe i żelbetowe. Zasady diagnostyki.</w:t>
      </w:r>
    </w:p>
    <w:p w:rsidR="00B77F00" w:rsidRDefault="00865FA3">
      <w:pPr>
        <w:pStyle w:val="Standard"/>
        <w:jc w:val="both"/>
      </w:pPr>
      <w:r>
        <w:t>PN-91/B-01813 Antykorozyj</w:t>
      </w:r>
      <w:r>
        <w:t xml:space="preserve">ne zabezpieczenie w budownictwie. Konstrukcje betonowe i żelbetowe. </w:t>
      </w:r>
      <w:r>
        <w:lastRenderedPageBreak/>
        <w:t>Zabezpieczenie powierzchniowe. Zasady doboru.</w:t>
      </w:r>
    </w:p>
    <w:p w:rsidR="00B77F00" w:rsidRDefault="00865FA3">
      <w:pPr>
        <w:pStyle w:val="Standard"/>
        <w:jc w:val="both"/>
      </w:pPr>
      <w:r>
        <w:t>PN-92/B-01814 Antykorozyjne zabezpieczenie w budownictwie. Konstrukcje betonowe i żelbetowe. Metoda badań przyczepności powłok ochronnych.</w:t>
      </w:r>
    </w:p>
    <w:p w:rsidR="00B77F00" w:rsidRDefault="00865FA3">
      <w:pPr>
        <w:pStyle w:val="Standard"/>
        <w:jc w:val="both"/>
      </w:pPr>
      <w:r>
        <w:t>PN-</w:t>
      </w:r>
      <w:r>
        <w:t>85/B-04500 Zaprawy budowlane. Badanie cech fizycznych i wytrzymałościowych.</w:t>
      </w:r>
    </w:p>
    <w:p w:rsidR="00B77F00" w:rsidRDefault="00865FA3">
      <w:pPr>
        <w:pStyle w:val="Standard"/>
        <w:jc w:val="both"/>
      </w:pPr>
      <w:r>
        <w:t>PN-79/B-06711 Kruszywa mineralne. Piaski do zapraw budowlanych.</w:t>
      </w:r>
    </w:p>
    <w:p w:rsidR="00B77F00" w:rsidRDefault="00865FA3">
      <w:pPr>
        <w:pStyle w:val="Standard"/>
        <w:jc w:val="both"/>
      </w:pPr>
      <w:r>
        <w:t>PN-86/B-06712 Kruszywa mineralne do betonu zwykłego.</w:t>
      </w:r>
    </w:p>
    <w:p w:rsidR="00B77F00" w:rsidRDefault="00865FA3">
      <w:pPr>
        <w:pStyle w:val="Standard"/>
        <w:jc w:val="both"/>
      </w:pPr>
      <w:r>
        <w:t>PN-78/B-06714/34 Kruszywa mineralne. Oznaczenie reaktywności al</w:t>
      </w:r>
      <w:r>
        <w:t xml:space="preserve">kalicznej. Wytyczne badań właściwości ochronnych betonu względem zbrojenia w mostach. IBDiM, Warszawa 1992 Zalecenia dotyczące oceny jakości betonu „in-situ” w istniejących konstrukcjach obiektów mostowych , GDDP, Warszawa 1998 r. Zalecenia do wykonywania </w:t>
      </w:r>
      <w:r>
        <w:t>oraz odbioru napraw i ochrony powierzchniowej betonu w istniejących konstrukcjach mostowych , GDDP, Warszawa 1998 r. Aprobata techniczna</w:t>
      </w:r>
    </w:p>
    <w:p w:rsidR="00B77F00" w:rsidRDefault="00B77F00">
      <w:pPr>
        <w:pStyle w:val="Standard"/>
      </w:pPr>
    </w:p>
    <w:p w:rsidR="00B77F00" w:rsidRDefault="00B77F00">
      <w:pPr>
        <w:pStyle w:val="Standard"/>
      </w:pPr>
    </w:p>
    <w:p w:rsidR="00B77F00" w:rsidRDefault="00B77F00">
      <w:pPr>
        <w:pStyle w:val="Standard"/>
      </w:pPr>
    </w:p>
    <w:p w:rsidR="00B77F00" w:rsidRDefault="00B77F00">
      <w:pPr>
        <w:pStyle w:val="Standard"/>
      </w:pPr>
    </w:p>
    <w:p w:rsidR="00B77F00" w:rsidRDefault="00B77F00">
      <w:pPr>
        <w:pStyle w:val="Standard"/>
      </w:pPr>
    </w:p>
    <w:p w:rsidR="00B77F00" w:rsidRDefault="00B77F00">
      <w:pPr>
        <w:pStyle w:val="Standard"/>
      </w:pPr>
    </w:p>
    <w:p w:rsidR="00B77F00" w:rsidRDefault="00B77F00">
      <w:pPr>
        <w:pStyle w:val="Standard"/>
      </w:pPr>
    </w:p>
    <w:p w:rsidR="00B77F00" w:rsidRDefault="00B77F00">
      <w:pPr>
        <w:pStyle w:val="Standard"/>
      </w:pPr>
    </w:p>
    <w:p w:rsidR="00B77F00" w:rsidRDefault="00B77F00">
      <w:pPr>
        <w:pStyle w:val="Standard"/>
      </w:pPr>
    </w:p>
    <w:p w:rsidR="00B77F00" w:rsidRDefault="00B77F00">
      <w:pPr>
        <w:pStyle w:val="Standard"/>
      </w:pPr>
    </w:p>
    <w:p w:rsidR="00B77F00" w:rsidRDefault="00B77F00">
      <w:pPr>
        <w:pStyle w:val="Standard"/>
      </w:pPr>
    </w:p>
    <w:p w:rsidR="00B77F00" w:rsidRDefault="00B77F00">
      <w:pPr>
        <w:pStyle w:val="Standard"/>
      </w:pPr>
    </w:p>
    <w:p w:rsidR="00B77F00" w:rsidRDefault="00B77F00">
      <w:pPr>
        <w:pStyle w:val="Standard"/>
      </w:pPr>
    </w:p>
    <w:p w:rsidR="00B77F00" w:rsidRDefault="00B77F00">
      <w:pPr>
        <w:pStyle w:val="Standard"/>
      </w:pPr>
    </w:p>
    <w:p w:rsidR="00B77F00" w:rsidRDefault="00B77F00">
      <w:pPr>
        <w:pStyle w:val="Standard"/>
      </w:pPr>
    </w:p>
    <w:p w:rsidR="00B77F00" w:rsidRDefault="00B77F00">
      <w:pPr>
        <w:pStyle w:val="Standard"/>
      </w:pPr>
    </w:p>
    <w:p w:rsidR="00B77F00" w:rsidRDefault="00B77F00">
      <w:pPr>
        <w:pStyle w:val="Standard"/>
      </w:pPr>
    </w:p>
    <w:p w:rsidR="00B77F00" w:rsidRDefault="00B77F00">
      <w:pPr>
        <w:pStyle w:val="Standard"/>
      </w:pPr>
    </w:p>
    <w:p w:rsidR="00B77F00" w:rsidRDefault="00B77F00">
      <w:pPr>
        <w:pStyle w:val="Standard"/>
      </w:pPr>
    </w:p>
    <w:p w:rsidR="00B77F00" w:rsidRDefault="00B77F00">
      <w:pPr>
        <w:pStyle w:val="Standard"/>
      </w:pPr>
    </w:p>
    <w:p w:rsidR="00B77F00" w:rsidRDefault="00B77F00">
      <w:pPr>
        <w:pStyle w:val="Standard"/>
      </w:pPr>
    </w:p>
    <w:p w:rsidR="00B77F00" w:rsidRDefault="00B77F00">
      <w:pPr>
        <w:pStyle w:val="Standard"/>
      </w:pPr>
    </w:p>
    <w:p w:rsidR="00B77F00" w:rsidRDefault="00B77F00">
      <w:pPr>
        <w:pStyle w:val="Standard"/>
      </w:pPr>
    </w:p>
    <w:p w:rsidR="00B77F00" w:rsidRDefault="00B77F00">
      <w:pPr>
        <w:pStyle w:val="Standard"/>
      </w:pPr>
    </w:p>
    <w:p w:rsidR="00B77F00" w:rsidRDefault="00B77F00">
      <w:pPr>
        <w:pStyle w:val="Standard"/>
      </w:pPr>
    </w:p>
    <w:p w:rsidR="00B77F00" w:rsidRDefault="00B77F00">
      <w:pPr>
        <w:pStyle w:val="Standard"/>
      </w:pPr>
    </w:p>
    <w:p w:rsidR="00B77F00" w:rsidRDefault="00B77F00">
      <w:pPr>
        <w:pStyle w:val="Standard"/>
      </w:pPr>
    </w:p>
    <w:p w:rsidR="00B77F00" w:rsidRDefault="00B77F00">
      <w:pPr>
        <w:pStyle w:val="Standard"/>
      </w:pPr>
    </w:p>
    <w:p w:rsidR="00B77F00" w:rsidRDefault="00B77F00">
      <w:pPr>
        <w:pStyle w:val="Standard"/>
      </w:pPr>
    </w:p>
    <w:p w:rsidR="00B77F00" w:rsidRDefault="00B77F00">
      <w:pPr>
        <w:pStyle w:val="Standard"/>
      </w:pPr>
    </w:p>
    <w:p w:rsidR="00B77F00" w:rsidRDefault="00B77F00">
      <w:pPr>
        <w:pStyle w:val="Standard"/>
      </w:pPr>
    </w:p>
    <w:p w:rsidR="00B77F00" w:rsidRDefault="00B77F00">
      <w:pPr>
        <w:pStyle w:val="Standard"/>
      </w:pPr>
    </w:p>
    <w:p w:rsidR="00B77F00" w:rsidRDefault="00B77F00">
      <w:pPr>
        <w:pStyle w:val="Standard"/>
        <w:sectPr w:rsidR="00B77F00">
          <w:headerReference w:type="default" r:id="rId49"/>
          <w:footerReference w:type="default" r:id="rId50"/>
          <w:pgSz w:w="11906" w:h="16838"/>
          <w:pgMar w:top="632" w:right="1134" w:bottom="1785" w:left="1134" w:header="708" w:footer="1134" w:gutter="0"/>
          <w:cols w:space="708"/>
        </w:sectPr>
      </w:pPr>
    </w:p>
    <w:p w:rsidR="00B77F00" w:rsidRDefault="00865FA3">
      <w:pPr>
        <w:pStyle w:val="Nagwek2"/>
        <w:spacing w:after="60" w:line="322" w:lineRule="exact"/>
      </w:pPr>
      <w:bookmarkStart w:id="29" w:name="__RefHeading___Toc48643_1054264629"/>
      <w:r>
        <w:lastRenderedPageBreak/>
        <w:t>M.30.01.05</w:t>
      </w:r>
      <w:r>
        <w:t xml:space="preserve"> Torkretowanie metodą suchą</w:t>
      </w:r>
      <w:bookmarkEnd w:id="29"/>
    </w:p>
    <w:p w:rsidR="00B77F00" w:rsidRDefault="00B77F00">
      <w:pPr>
        <w:pStyle w:val="Standard"/>
        <w:ind w:left="115" w:right="8388"/>
      </w:pPr>
    </w:p>
    <w:p w:rsidR="00B77F00" w:rsidRDefault="00865FA3">
      <w:pPr>
        <w:pStyle w:val="Standard"/>
        <w:ind w:left="115" w:right="8388"/>
      </w:pPr>
      <w:r>
        <w:rPr>
          <w:rFonts w:eastAsia="Arial" w:cs="Arial"/>
          <w:b/>
          <w:bCs/>
          <w:szCs w:val="20"/>
        </w:rPr>
        <w:t xml:space="preserve">1.     </w:t>
      </w:r>
      <w:r>
        <w:rPr>
          <w:rFonts w:eastAsia="Arial" w:cs="Arial"/>
          <w:b/>
          <w:bCs/>
          <w:spacing w:val="2"/>
          <w:szCs w:val="20"/>
        </w:rPr>
        <w:t>W</w:t>
      </w:r>
      <w:r>
        <w:rPr>
          <w:rFonts w:eastAsia="Arial" w:cs="Arial"/>
          <w:b/>
          <w:bCs/>
          <w:szCs w:val="20"/>
        </w:rPr>
        <w:t>s</w:t>
      </w:r>
      <w:r>
        <w:rPr>
          <w:rFonts w:eastAsia="Arial" w:cs="Arial"/>
          <w:b/>
          <w:bCs/>
          <w:spacing w:val="1"/>
          <w:szCs w:val="20"/>
        </w:rPr>
        <w:t>t</w:t>
      </w:r>
      <w:r>
        <w:rPr>
          <w:rFonts w:eastAsia="Arial" w:cs="Arial"/>
          <w:b/>
          <w:bCs/>
          <w:szCs w:val="20"/>
        </w:rPr>
        <w:t>ęp</w:t>
      </w:r>
    </w:p>
    <w:p w:rsidR="00B77F00" w:rsidRDefault="00865FA3">
      <w:pPr>
        <w:pStyle w:val="Standard"/>
      </w:pPr>
      <w:r>
        <w:t xml:space="preserve">1.1.      Przedmiot SpecyfikacjiPrzedmiotem   niniejszej   Specyfikacji   są   wymagania  dotyczące wykonania   i   odbioru   torkretowania powierzchni betonowych </w:t>
      </w:r>
      <w:r>
        <w:rPr>
          <w:rStyle w:val="WW-DefaultParagraphFont"/>
          <w:rFonts w:eastAsia="Times New Roman" w:cs="Arial"/>
          <w:color w:val="000000"/>
          <w:spacing w:val="-3"/>
          <w:lang w:val="pl-PL" w:bidi="ar-SA"/>
        </w:rPr>
        <w:t xml:space="preserve">„Remont mostu na rzece Wiązownica w msc. Wrzos w </w:t>
      </w:r>
      <w:r>
        <w:rPr>
          <w:rStyle w:val="WW-DefaultParagraphFont"/>
          <w:rFonts w:eastAsia="Times New Roman" w:cs="Arial"/>
          <w:color w:val="000000"/>
          <w:spacing w:val="-3"/>
          <w:lang w:val="pl-PL" w:bidi="ar-SA"/>
        </w:rPr>
        <w:t>ciągu drogi powiatowej nr 3501W Wrzeszczów – Wrzos - Domaniów w km 4+206</w:t>
      </w:r>
      <w:r>
        <w:rPr>
          <w:rStyle w:val="WW-DefaultParagraphFont"/>
          <w:rFonts w:eastAsia="Verdana" w:cs="Arial"/>
          <w:color w:val="000000"/>
          <w:spacing w:val="-3"/>
          <w:lang w:val="pl-PL" w:bidi="ar-SA"/>
        </w:rPr>
        <w:t>”</w:t>
      </w:r>
      <w:r>
        <w:rPr>
          <w:rStyle w:val="CharacterStyle1"/>
          <w:rFonts w:eastAsia="Verdana" w:cs="Arial"/>
          <w:color w:val="000000"/>
          <w:spacing w:val="-3"/>
          <w:lang w:val="pl-PL" w:bidi="ar-SA"/>
        </w:rPr>
        <w:t>.</w:t>
      </w:r>
    </w:p>
    <w:p w:rsidR="00B77F00" w:rsidRDefault="00865FA3">
      <w:pPr>
        <w:pStyle w:val="Standard"/>
        <w:jc w:val="both"/>
        <w:rPr>
          <w:rFonts w:cs="Arial"/>
          <w:szCs w:val="20"/>
        </w:rPr>
      </w:pPr>
      <w:r>
        <w:rPr>
          <w:rFonts w:cs="Arial"/>
          <w:szCs w:val="20"/>
        </w:rPr>
        <w:t>1.2. Zakres stosowania Specyfikacji</w:t>
      </w:r>
    </w:p>
    <w:p w:rsidR="00B77F00" w:rsidRDefault="00B77F00">
      <w:pPr>
        <w:pStyle w:val="Standard"/>
      </w:pPr>
    </w:p>
    <w:p w:rsidR="00B77F00" w:rsidRDefault="00865FA3">
      <w:pPr>
        <w:pStyle w:val="Standard"/>
        <w:rPr>
          <w:b/>
          <w:bCs/>
        </w:rPr>
      </w:pPr>
      <w:r>
        <w:rPr>
          <w:b/>
          <w:bCs/>
        </w:rPr>
        <w:t>1.2.      Zakres stosowania Specyfikacji</w:t>
      </w:r>
    </w:p>
    <w:p w:rsidR="00B77F00" w:rsidRDefault="00865FA3">
      <w:pPr>
        <w:pStyle w:val="Standard"/>
      </w:pPr>
      <w:r>
        <w:t xml:space="preserve">Specyfikacja jest  stosowana jako  dokument przetargowy i  kontraktowy przy  </w:t>
      </w:r>
      <w:r>
        <w:t>zlecaniu i  realizacji robót wymienionych w pkt. 1.1.</w:t>
      </w:r>
    </w:p>
    <w:p w:rsidR="00B77F00" w:rsidRDefault="00B77F00">
      <w:pPr>
        <w:pStyle w:val="Standard"/>
      </w:pPr>
    </w:p>
    <w:p w:rsidR="00B77F00" w:rsidRDefault="00865FA3">
      <w:pPr>
        <w:pStyle w:val="Standard"/>
        <w:rPr>
          <w:b/>
          <w:bCs/>
        </w:rPr>
      </w:pPr>
      <w:r>
        <w:rPr>
          <w:b/>
          <w:bCs/>
        </w:rPr>
        <w:t>1.3.      Zakres robót objętych Specyfikacją</w:t>
      </w:r>
    </w:p>
    <w:p w:rsidR="00B77F00" w:rsidRDefault="00865FA3">
      <w:pPr>
        <w:pStyle w:val="Standard"/>
      </w:pPr>
      <w:r>
        <w:t>Ustalenia zawarte w niniejszej Specyfikacji dotyczą wykonania warstwy torkretu na trzonach przyczółków w miejscach określonych na Rysunkach i obejmują:</w:t>
      </w:r>
    </w:p>
    <w:p w:rsidR="00B77F00" w:rsidRDefault="00865FA3">
      <w:pPr>
        <w:pStyle w:val="Standard"/>
      </w:pPr>
      <w:r>
        <w:t>- pr</w:t>
      </w:r>
      <w:r>
        <w:t>zygotowanie powierzchni do torkretowania,</w:t>
      </w:r>
    </w:p>
    <w:p w:rsidR="00B77F00" w:rsidRDefault="00865FA3">
      <w:pPr>
        <w:pStyle w:val="Standard"/>
      </w:pPr>
      <w:r>
        <w:t>- dobór materiałów mieszanki betonowej w celu przygotowania betonu natryskowego (torkretu),</w:t>
      </w:r>
    </w:p>
    <w:p w:rsidR="00B77F00" w:rsidRDefault="00865FA3">
      <w:pPr>
        <w:pStyle w:val="Standard"/>
      </w:pPr>
      <w:r>
        <w:t>- wykonanie mieszanki,</w:t>
      </w:r>
    </w:p>
    <w:p w:rsidR="00B77F00" w:rsidRDefault="00865FA3">
      <w:pPr>
        <w:pStyle w:val="Standard"/>
      </w:pPr>
      <w:r>
        <w:t>- wykonanie torkretu,</w:t>
      </w:r>
    </w:p>
    <w:p w:rsidR="00B77F00" w:rsidRDefault="00865FA3">
      <w:pPr>
        <w:pStyle w:val="Standard"/>
      </w:pPr>
      <w:r>
        <w:t>- pielęgnację torkretu.</w:t>
      </w:r>
    </w:p>
    <w:p w:rsidR="00B77F00" w:rsidRDefault="00B77F00">
      <w:pPr>
        <w:pStyle w:val="Standard"/>
      </w:pPr>
    </w:p>
    <w:p w:rsidR="00B77F00" w:rsidRDefault="00865FA3">
      <w:pPr>
        <w:pStyle w:val="Standard"/>
        <w:rPr>
          <w:b/>
          <w:bCs/>
        </w:rPr>
      </w:pPr>
      <w:r>
        <w:rPr>
          <w:b/>
          <w:bCs/>
        </w:rPr>
        <w:t>1.4.      Określenia podstawowe</w:t>
      </w:r>
    </w:p>
    <w:p w:rsidR="00B77F00" w:rsidRDefault="00865FA3">
      <w:pPr>
        <w:pStyle w:val="Standard"/>
      </w:pPr>
      <w:r>
        <w:t xml:space="preserve">Określenia podane w </w:t>
      </w:r>
      <w:r>
        <w:t>niniejszej Specyfikacji są zgodne z obowiązującymi odpowiednimi normami oraz z określeniami podanymi w DM.00.00.00.</w:t>
      </w:r>
    </w:p>
    <w:p w:rsidR="00B77F00" w:rsidRDefault="00B77F00">
      <w:pPr>
        <w:pStyle w:val="Standard"/>
      </w:pPr>
    </w:p>
    <w:p w:rsidR="00B77F00" w:rsidRDefault="00865FA3">
      <w:pPr>
        <w:pStyle w:val="Standard"/>
      </w:pPr>
      <w:r>
        <w:rPr>
          <w:b/>
          <w:bCs/>
        </w:rPr>
        <w:t>1.4.1.</w:t>
      </w:r>
      <w:r>
        <w:rPr>
          <w:b/>
          <w:bCs/>
        </w:rPr>
        <w:tab/>
        <w:t>Torkretowanie  metodą  suchą</w:t>
      </w:r>
      <w:r>
        <w:t xml:space="preserve">  -  wykonanie  torkretu  przy  pomocy  urządzenia,  w  którym  woda zarobowa jest podawana do dyszy wyl</w:t>
      </w:r>
      <w:r>
        <w:t>otowej torkretnicy.</w:t>
      </w:r>
    </w:p>
    <w:p w:rsidR="00B77F00" w:rsidRDefault="00B77F00">
      <w:pPr>
        <w:pStyle w:val="Standard"/>
      </w:pPr>
    </w:p>
    <w:p w:rsidR="00B77F00" w:rsidRDefault="00865FA3">
      <w:pPr>
        <w:pStyle w:val="Standard"/>
      </w:pPr>
      <w:r>
        <w:rPr>
          <w:b/>
          <w:bCs/>
        </w:rPr>
        <w:t>1.4.2.</w:t>
      </w:r>
      <w:r>
        <w:rPr>
          <w:b/>
          <w:bCs/>
        </w:rPr>
        <w:tab/>
        <w:t xml:space="preserve">Torkretowanie  metodą  mokrą </w:t>
      </w:r>
      <w:r>
        <w:t xml:space="preserve"> -  wykonanie  torkretu  przy  pomocy  torkretnicy  transportującej  i narzucającej mieszankę betonową wcześniej przygotowaną.</w:t>
      </w:r>
    </w:p>
    <w:p w:rsidR="00B77F00" w:rsidRDefault="00B77F00">
      <w:pPr>
        <w:pStyle w:val="Standard"/>
      </w:pPr>
    </w:p>
    <w:p w:rsidR="00B77F00" w:rsidRDefault="00865FA3">
      <w:pPr>
        <w:pStyle w:val="Standard"/>
        <w:rPr>
          <w:b/>
          <w:bCs/>
        </w:rPr>
      </w:pPr>
      <w:r>
        <w:rPr>
          <w:b/>
          <w:bCs/>
        </w:rPr>
        <w:t>1.5.      Ogólne wymagania dotyczące robót</w:t>
      </w:r>
    </w:p>
    <w:p w:rsidR="00B77F00" w:rsidRDefault="00865FA3">
      <w:pPr>
        <w:pStyle w:val="Standard"/>
      </w:pPr>
      <w:r>
        <w:t>Ogólne wymagania dotyczące r</w:t>
      </w:r>
      <w:r>
        <w:t>obót podano w  Specyfikacji DM.00.00.00 „Wymagania ogólne”. Wykonawca robót jest odpowiedzialny za jakość ich wykonania oraz za zgodność z Rysunkami, Specyfikacją, normami i poleceniami Inżyniera.</w:t>
      </w:r>
    </w:p>
    <w:p w:rsidR="00B77F00" w:rsidRDefault="00B77F00">
      <w:pPr>
        <w:pStyle w:val="Standard"/>
        <w:spacing w:before="8" w:line="220" w:lineRule="exact"/>
        <w:rPr>
          <w:sz w:val="22"/>
          <w:szCs w:val="22"/>
        </w:rPr>
      </w:pPr>
    </w:p>
    <w:p w:rsidR="00B77F00" w:rsidRDefault="00865FA3">
      <w:pPr>
        <w:pStyle w:val="Standard"/>
        <w:rPr>
          <w:b/>
          <w:bCs/>
        </w:rPr>
      </w:pPr>
      <w:r>
        <w:rPr>
          <w:b/>
          <w:bCs/>
        </w:rPr>
        <w:t>2.         Materiały</w:t>
      </w:r>
    </w:p>
    <w:p w:rsidR="00B77F00" w:rsidRDefault="00865FA3">
      <w:pPr>
        <w:pStyle w:val="Standard"/>
      </w:pPr>
      <w:r>
        <w:t>Materiałami stosowanymi przy wykonywa</w:t>
      </w:r>
      <w:r>
        <w:t>niu torkretowania wg zasad niniejszych ST są:</w:t>
      </w:r>
    </w:p>
    <w:p w:rsidR="00B77F00" w:rsidRDefault="00865FA3">
      <w:pPr>
        <w:pStyle w:val="Standard"/>
      </w:pPr>
      <w:r>
        <w:t>-cement portlandzki marki 45 czysty,</w:t>
      </w:r>
    </w:p>
    <w:p w:rsidR="00B77F00" w:rsidRDefault="00865FA3">
      <w:pPr>
        <w:pStyle w:val="Standard"/>
      </w:pPr>
      <w:r>
        <w:t>-kruszywo o uziarnieniu do 8 mm, tj. grysy granitowe lub bazaltowe i żwir,</w:t>
      </w:r>
    </w:p>
    <w:p w:rsidR="00B77F00" w:rsidRDefault="00865FA3">
      <w:pPr>
        <w:pStyle w:val="Standard"/>
      </w:pPr>
      <w:r>
        <w:t>-piasek,</w:t>
      </w:r>
    </w:p>
    <w:p w:rsidR="00B77F00" w:rsidRDefault="00865FA3">
      <w:pPr>
        <w:pStyle w:val="Standard"/>
      </w:pPr>
      <w:r>
        <w:t>-woda,</w:t>
      </w:r>
    </w:p>
    <w:p w:rsidR="00B77F00" w:rsidRDefault="00865FA3">
      <w:pPr>
        <w:pStyle w:val="Standard"/>
      </w:pPr>
      <w:r>
        <w:t>-stal zbrojeniowa,</w:t>
      </w:r>
    </w:p>
    <w:p w:rsidR="00B77F00" w:rsidRDefault="00865FA3">
      <w:pPr>
        <w:pStyle w:val="Standard"/>
      </w:pPr>
      <w:r>
        <w:t>-środek zabezpieczający antykorozyjnie</w:t>
      </w:r>
    </w:p>
    <w:p w:rsidR="00B77F00" w:rsidRDefault="00865FA3">
      <w:pPr>
        <w:pStyle w:val="Standard"/>
      </w:pPr>
      <w:r>
        <w:t xml:space="preserve">- środek zwiększający </w:t>
      </w:r>
      <w:r>
        <w:t>przyczepność</w:t>
      </w:r>
    </w:p>
    <w:p w:rsidR="00B77F00" w:rsidRDefault="00B77F00">
      <w:pPr>
        <w:pStyle w:val="Standard"/>
      </w:pPr>
    </w:p>
    <w:p w:rsidR="00B77F00" w:rsidRDefault="00865FA3">
      <w:pPr>
        <w:pStyle w:val="Standard"/>
        <w:rPr>
          <w:b/>
          <w:bCs/>
        </w:rPr>
      </w:pPr>
      <w:r>
        <w:rPr>
          <w:b/>
          <w:bCs/>
        </w:rPr>
        <w:t>3.         Sprzęt</w:t>
      </w:r>
    </w:p>
    <w:p w:rsidR="00B77F00" w:rsidRDefault="00865FA3">
      <w:pPr>
        <w:pStyle w:val="Standard"/>
      </w:pPr>
      <w:r>
        <w:t>Roboty mogą być wykonane metodą suchą. Wykonawca powinien dysponować następującym, sprawnym technicznie sprzętem:</w:t>
      </w:r>
    </w:p>
    <w:p w:rsidR="00B77F00" w:rsidRDefault="00865FA3">
      <w:pPr>
        <w:pStyle w:val="Standard"/>
      </w:pPr>
      <w:r>
        <w:t>-torkretnica,</w:t>
      </w:r>
    </w:p>
    <w:p w:rsidR="00B77F00" w:rsidRDefault="00865FA3">
      <w:pPr>
        <w:pStyle w:val="Standard"/>
      </w:pPr>
      <w:r>
        <w:t>-sprężarka,</w:t>
      </w:r>
    </w:p>
    <w:p w:rsidR="00B77F00" w:rsidRDefault="00865FA3">
      <w:pPr>
        <w:pStyle w:val="Standard"/>
      </w:pPr>
      <w:r>
        <w:t>-beczkowóz i zbiornik na wodę,</w:t>
      </w:r>
    </w:p>
    <w:p w:rsidR="00B77F00" w:rsidRDefault="00865FA3">
      <w:pPr>
        <w:pStyle w:val="Standard"/>
      </w:pPr>
      <w:r>
        <w:t>-pompa hydroforowa.</w:t>
      </w:r>
    </w:p>
    <w:p w:rsidR="00B77F00" w:rsidRDefault="00B77F00">
      <w:pPr>
        <w:pStyle w:val="Standard"/>
      </w:pPr>
    </w:p>
    <w:p w:rsidR="00B77F00" w:rsidRDefault="00B77F00">
      <w:pPr>
        <w:pStyle w:val="Standard"/>
      </w:pPr>
    </w:p>
    <w:p w:rsidR="00B77F00" w:rsidRDefault="00865FA3">
      <w:pPr>
        <w:pStyle w:val="Standard"/>
        <w:rPr>
          <w:b/>
          <w:bCs/>
        </w:rPr>
      </w:pPr>
      <w:r>
        <w:rPr>
          <w:b/>
          <w:bCs/>
        </w:rPr>
        <w:t>4.         Transport</w:t>
      </w:r>
    </w:p>
    <w:p w:rsidR="00B77F00" w:rsidRDefault="00865FA3">
      <w:pPr>
        <w:pStyle w:val="Standard"/>
      </w:pPr>
      <w:r>
        <w:lastRenderedPageBreak/>
        <w:t xml:space="preserve">Materiały </w:t>
      </w:r>
      <w:r>
        <w:t>mogą być przewożone dowolnymi środkami transportu, zaakceptowanymi przez Inżyniera.</w:t>
      </w:r>
    </w:p>
    <w:p w:rsidR="00B77F00" w:rsidRDefault="00865FA3">
      <w:pPr>
        <w:pStyle w:val="Standard"/>
        <w:rPr>
          <w:b/>
          <w:bCs/>
        </w:rPr>
      </w:pPr>
      <w:r>
        <w:rPr>
          <w:b/>
          <w:bCs/>
        </w:rPr>
        <w:t>5.         Wykonanie robót</w:t>
      </w:r>
    </w:p>
    <w:p w:rsidR="00B77F00" w:rsidRDefault="00B77F00">
      <w:pPr>
        <w:pStyle w:val="Standard"/>
        <w:rPr>
          <w:b/>
          <w:bCs/>
        </w:rPr>
      </w:pPr>
    </w:p>
    <w:p w:rsidR="00B77F00" w:rsidRDefault="00865FA3">
      <w:pPr>
        <w:pStyle w:val="Standard"/>
        <w:rPr>
          <w:b/>
          <w:bCs/>
        </w:rPr>
      </w:pPr>
      <w:r>
        <w:rPr>
          <w:b/>
          <w:bCs/>
        </w:rPr>
        <w:t>5.1.      Wymagania ogólne</w:t>
      </w:r>
    </w:p>
    <w:p w:rsidR="00B77F00" w:rsidRDefault="00865FA3">
      <w:pPr>
        <w:pStyle w:val="Standard"/>
      </w:pPr>
      <w:r>
        <w:t>Wykonawca przedstawi Inżynierowi do akceptacji Program Zapewnienia Jakości zawierający projekt organizacji i harmonog</w:t>
      </w:r>
      <w:r>
        <w:t>ram robót uwzględniający wszystkie warunki w jakich roboty będą wykonywane. Do sporządzenia mieszanki betonowej Wykonawca musi opracować recepturę laboratoryjną.</w:t>
      </w:r>
    </w:p>
    <w:p w:rsidR="00B77F00" w:rsidRDefault="00B77F00">
      <w:pPr>
        <w:pStyle w:val="Standard"/>
      </w:pPr>
    </w:p>
    <w:p w:rsidR="00B77F00" w:rsidRDefault="00865FA3">
      <w:pPr>
        <w:pStyle w:val="Standard"/>
        <w:rPr>
          <w:b/>
          <w:bCs/>
        </w:rPr>
      </w:pPr>
      <w:r>
        <w:rPr>
          <w:b/>
          <w:bCs/>
        </w:rPr>
        <w:t>5.2.      Zakres wykonywanych robót</w:t>
      </w:r>
    </w:p>
    <w:p w:rsidR="00B77F00" w:rsidRDefault="00B77F00">
      <w:pPr>
        <w:pStyle w:val="Standard"/>
        <w:rPr>
          <w:b/>
          <w:bCs/>
        </w:rPr>
      </w:pPr>
    </w:p>
    <w:p w:rsidR="00B77F00" w:rsidRDefault="00865FA3">
      <w:pPr>
        <w:pStyle w:val="Standard"/>
        <w:rPr>
          <w:b/>
          <w:bCs/>
        </w:rPr>
      </w:pPr>
      <w:r>
        <w:rPr>
          <w:b/>
          <w:bCs/>
        </w:rPr>
        <w:t>5.2.1.   Przygotowanie powierzchni do betonowania</w:t>
      </w:r>
    </w:p>
    <w:p w:rsidR="00B77F00" w:rsidRDefault="00865FA3">
      <w:pPr>
        <w:pStyle w:val="Standard"/>
      </w:pPr>
      <w:r>
        <w:t>Powier</w:t>
      </w:r>
      <w:r>
        <w:t>zchnię betonu należy oczyścić przez skucie przypowierzchniowej warstwy betonu młotkami, w celu usunięcia betonu skorodowanego i luźnych frakcji betonu przypowierzchniowego. Głębokość skucia należy ocenić na podstawie makroskopowej oceny stanu betonu i ewen</w:t>
      </w:r>
      <w:r>
        <w:t>tualnych badań nieniszczących młotkiem Schmidta. Należy również przeprowadzić ocenę zakresu karbonizacji betonu (przy pomocy fenoloftaleiny) i skuć całą skarbonizowaną warstwę. Powierzchnia betonu przygotowana do ułożenia torkretu nie może zawierać lokalny</w:t>
      </w:r>
      <w:r>
        <w:t>ch wgłębień ani wystających fragmentów; w wypadku występowania lokalnych uszkodzeń należy skuwać całą powierzchnię (również miejsca zdrowe), tak aby odkucie było wykonane na większej powierzchni o jednakowej głębokości.</w:t>
      </w:r>
    </w:p>
    <w:p w:rsidR="00B77F00" w:rsidRDefault="00865FA3">
      <w:pPr>
        <w:pStyle w:val="Standard"/>
      </w:pPr>
      <w:r>
        <w:t>W  wypadku,  gdy  skucie  powierzchn</w:t>
      </w:r>
      <w:r>
        <w:t>iowej  warstwy  betonu  spowodowało  odsłonięcie  zbrojenia,  należy skuwać tak głęboko, aby umożliwić oczyszczenie zbrojenia do Sa 2,5 czystości, np. przez piaskowanie, na całym jego obwodzie. Następnie należy zbrojenie zabezpieczyć antykorozyjnie. Pokryć</w:t>
      </w:r>
      <w:r>
        <w:t xml:space="preserve"> beton oraz zbrojenie środkiem zwiększającym przyczepność.</w:t>
      </w:r>
    </w:p>
    <w:p w:rsidR="00B77F00" w:rsidRDefault="00865FA3">
      <w:pPr>
        <w:pStyle w:val="Standard"/>
      </w:pPr>
      <w:r>
        <w:t xml:space="preserve">Podłoże przeznaczone do torkretowania powinno być nasycone woda. Takie nasycenie powinno być prowadzone przez minimum 2-3 dni przed torkretowaniem. Bezpośrednio przed torkretowaniem podłoże należy </w:t>
      </w:r>
      <w:r>
        <w:t>oczyścić wodą pod wysokim ciśnieniem, a nadmiar wody usunąć tak by powierzchnia była matowo – wilgotna.</w:t>
      </w:r>
    </w:p>
    <w:p w:rsidR="00B77F00" w:rsidRDefault="00B77F00">
      <w:pPr>
        <w:pStyle w:val="Standard"/>
      </w:pPr>
    </w:p>
    <w:p w:rsidR="00B77F00" w:rsidRDefault="00865FA3">
      <w:pPr>
        <w:pStyle w:val="Standard"/>
        <w:rPr>
          <w:b/>
          <w:bCs/>
        </w:rPr>
      </w:pPr>
      <w:r>
        <w:rPr>
          <w:b/>
          <w:bCs/>
        </w:rPr>
        <w:t>5.2.2.   Torkretowanie</w:t>
      </w:r>
    </w:p>
    <w:p w:rsidR="00B77F00" w:rsidRDefault="00865FA3">
      <w:pPr>
        <w:pStyle w:val="Standard"/>
      </w:pPr>
      <w:r>
        <w:t>W czasie nakładania betonu natryskowego należy przestrzegać następujących zasad:</w:t>
      </w:r>
    </w:p>
    <w:p w:rsidR="00B77F00" w:rsidRDefault="00865FA3">
      <w:pPr>
        <w:pStyle w:val="Standard"/>
      </w:pPr>
      <w:r>
        <w:t>- minimalna grubość warstwy narzucanej: 2cm,</w:t>
      </w:r>
    </w:p>
    <w:p w:rsidR="00B77F00" w:rsidRDefault="00865FA3">
      <w:pPr>
        <w:pStyle w:val="Standard"/>
      </w:pPr>
      <w:r>
        <w:t xml:space="preserve">- </w:t>
      </w:r>
      <w:r>
        <w:t>maksymalna grubość warstwy narzucanej: 5cm,</w:t>
      </w:r>
    </w:p>
    <w:p w:rsidR="00B77F00" w:rsidRDefault="00865FA3">
      <w:pPr>
        <w:pStyle w:val="Standard"/>
      </w:pPr>
      <w:r>
        <w:t>- przerwy w betonowaniu poszczególnych warstw: 1 do 2 dni,</w:t>
      </w:r>
    </w:p>
    <w:p w:rsidR="00B77F00" w:rsidRDefault="00865FA3">
      <w:pPr>
        <w:pStyle w:val="Standard"/>
      </w:pPr>
      <w:r>
        <w:t>- przy torkretowaniu powierzchni zbrojonych grubość pierwszej warstwy powinna być tak dobrana, aby całkowicie wypełniła przestrzeń pod prętami i pomiędzy</w:t>
      </w:r>
      <w:r>
        <w:t xml:space="preserve"> prętami,</w:t>
      </w:r>
    </w:p>
    <w:p w:rsidR="00B77F00" w:rsidRDefault="00865FA3">
      <w:pPr>
        <w:pStyle w:val="Standard"/>
      </w:pPr>
      <w:r>
        <w:t>- warstwa torkretu powinna być jednorodna, bez rakowin i pustek powietrznych,</w:t>
      </w:r>
    </w:p>
    <w:p w:rsidR="00B77F00" w:rsidRDefault="00865FA3">
      <w:pPr>
        <w:pStyle w:val="Standard"/>
      </w:pPr>
      <w:r>
        <w:t>- torkretowanie powinno odbywać się w następujących warunkach atmosferycznych: temperatura powietrza co najmniej +5ºC, lecz nie więcej niż +25ºC. Temperatura podłoża po</w:t>
      </w:r>
      <w:r>
        <w:t>wyżej +3ºC, bez intensywnego nasłonecznienia, wysuszającego wiatru i wysokiej temperatury, a także przy zapewnieniu w ciągu kilku pierwszych dni po betonowaniu temperatury powietrza powyżej 0ºC,</w:t>
      </w:r>
    </w:p>
    <w:p w:rsidR="00B77F00" w:rsidRDefault="00865FA3">
      <w:pPr>
        <w:pStyle w:val="Standard"/>
      </w:pPr>
      <w:r>
        <w:t>- wbudowanie mieszanki powinno nastąpić bezpośrednio po wymie</w:t>
      </w:r>
      <w:r>
        <w:t>szaniu, a najpóźniej po:</w:t>
      </w:r>
    </w:p>
    <w:p w:rsidR="00B77F00" w:rsidRDefault="00865FA3">
      <w:pPr>
        <w:pStyle w:val="Standard"/>
      </w:pPr>
      <w:r>
        <w:t>2 godzinach, gdy wilgotność składników jest mniejsza od 2%,</w:t>
      </w:r>
    </w:p>
    <w:p w:rsidR="00B77F00" w:rsidRDefault="00865FA3">
      <w:pPr>
        <w:pStyle w:val="Standard"/>
      </w:pPr>
      <w:r>
        <w:t>1 godzinie, gdy wilgotność wynosi 2-4%,</w:t>
      </w:r>
    </w:p>
    <w:p w:rsidR="00B77F00" w:rsidRDefault="00865FA3">
      <w:pPr>
        <w:pStyle w:val="Standard"/>
      </w:pPr>
      <w:r>
        <w:t>1/2 godzinie, przy wilgotności składników powyżej 4%.</w:t>
      </w:r>
    </w:p>
    <w:p w:rsidR="00B77F00" w:rsidRDefault="00865FA3">
      <w:pPr>
        <w:pStyle w:val="Standard"/>
      </w:pPr>
      <w:r>
        <w:t>5.2.3.   Pielęgnacja torkretu</w:t>
      </w:r>
    </w:p>
    <w:p w:rsidR="00B77F00" w:rsidRDefault="00865FA3">
      <w:pPr>
        <w:pStyle w:val="Standard"/>
      </w:pPr>
      <w:r>
        <w:t>Natychmiast po zatorkretowaniu należy rozpocząć</w:t>
      </w:r>
      <w:r>
        <w:t xml:space="preserve"> zabiegi pielęgnacyjne trwające przez 7 dni, polegające przede wszystkim na zabezpieczeniu świeżego betonu przed odparowaniem wody.</w:t>
      </w:r>
    </w:p>
    <w:p w:rsidR="00B77F00" w:rsidRDefault="00B77F00">
      <w:pPr>
        <w:pStyle w:val="Standard"/>
      </w:pPr>
    </w:p>
    <w:p w:rsidR="00B77F00" w:rsidRDefault="00865FA3">
      <w:pPr>
        <w:pStyle w:val="Standard"/>
        <w:rPr>
          <w:b/>
          <w:bCs/>
        </w:rPr>
      </w:pPr>
      <w:r>
        <w:rPr>
          <w:b/>
          <w:bCs/>
        </w:rPr>
        <w:t>6.         Kontrola jakości robót</w:t>
      </w:r>
    </w:p>
    <w:p w:rsidR="00B77F00" w:rsidRDefault="00865FA3">
      <w:pPr>
        <w:pStyle w:val="Standard"/>
      </w:pPr>
      <w:r>
        <w:t>Sprawdzeniu  podlega  stan  powierzchni  betonu  przygotowanej  do  torkretowania.  Odbió</w:t>
      </w:r>
      <w:r>
        <w:t>r  powinien  być</w:t>
      </w:r>
    </w:p>
    <w:p w:rsidR="00B77F00" w:rsidRDefault="00865FA3">
      <w:pPr>
        <w:pStyle w:val="Standard"/>
      </w:pPr>
      <w:r>
        <w:t>potwierdzony wpisem do Dziennika Budowy. Kontrola jakości torkretu obejmuje:</w:t>
      </w:r>
    </w:p>
    <w:p w:rsidR="00B77F00" w:rsidRDefault="00865FA3">
      <w:pPr>
        <w:pStyle w:val="Standard"/>
      </w:pPr>
      <w:r>
        <w:t>-badanie przygotowania podłoża,</w:t>
      </w:r>
    </w:p>
    <w:p w:rsidR="00B77F00" w:rsidRDefault="00865FA3">
      <w:pPr>
        <w:pStyle w:val="Standard"/>
      </w:pPr>
      <w:r>
        <w:t>-badanie wytrzymałości warstw torkretu na odrywanie,</w:t>
      </w:r>
    </w:p>
    <w:p w:rsidR="00B77F00" w:rsidRDefault="00865FA3">
      <w:pPr>
        <w:pStyle w:val="Standard"/>
      </w:pPr>
      <w:r>
        <w:t>-badanie wytrzymałości na ściskanie,</w:t>
      </w:r>
    </w:p>
    <w:p w:rsidR="00B77F00" w:rsidRDefault="00865FA3">
      <w:pPr>
        <w:pStyle w:val="Standard"/>
      </w:pPr>
      <w:r>
        <w:t>-badanie nasiąkliwości,</w:t>
      </w:r>
    </w:p>
    <w:p w:rsidR="00B77F00" w:rsidRDefault="00865FA3">
      <w:pPr>
        <w:pStyle w:val="Standard"/>
      </w:pPr>
      <w:r>
        <w:t>-badanie wodoprz</w:t>
      </w:r>
      <w:r>
        <w:t>epuszczalności,</w:t>
      </w:r>
    </w:p>
    <w:p w:rsidR="00B77F00" w:rsidRDefault="00865FA3">
      <w:pPr>
        <w:pStyle w:val="Standard"/>
      </w:pPr>
      <w:r>
        <w:t>-badanie mrozoodporności,</w:t>
      </w:r>
    </w:p>
    <w:p w:rsidR="00B77F00" w:rsidRDefault="00865FA3">
      <w:pPr>
        <w:pStyle w:val="Standard"/>
      </w:pPr>
      <w:r>
        <w:t>-sprawdzenie podstawowych wymiarów geometrycznych.</w:t>
      </w:r>
    </w:p>
    <w:p w:rsidR="00B77F00" w:rsidRDefault="00B77F00">
      <w:pPr>
        <w:pStyle w:val="Standard"/>
      </w:pPr>
    </w:p>
    <w:p w:rsidR="00B77F00" w:rsidRDefault="00865FA3">
      <w:pPr>
        <w:pStyle w:val="Standard"/>
        <w:rPr>
          <w:b/>
          <w:bCs/>
        </w:rPr>
      </w:pPr>
      <w:r>
        <w:rPr>
          <w:b/>
          <w:bCs/>
        </w:rPr>
        <w:t>6.1.      Badanie przygotowania podłoża</w:t>
      </w:r>
    </w:p>
    <w:p w:rsidR="00B77F00" w:rsidRDefault="00865FA3">
      <w:pPr>
        <w:pStyle w:val="Standard"/>
      </w:pPr>
      <w:r>
        <w:t xml:space="preserve">Badanie przygotowania podłoża obejmuje sprawdzenie oczyszczenia stali zbrojeniowej wg PN 70/H-97052 oraz sprawdzenie </w:t>
      </w:r>
      <w:r>
        <w:t>wytrzymałości na odrywanie zgodnie z PN-92/B-01814. Należy wykonać jedno oznaczenie na każde 50 m2 powierzchni oczyszczonego podłoża, przy czym minimalna liczba oznaczeń wynosi 5 dla jednego przyczółka.</w:t>
      </w:r>
    </w:p>
    <w:p w:rsidR="00B77F00" w:rsidRDefault="00B77F00">
      <w:pPr>
        <w:pStyle w:val="Standard"/>
      </w:pPr>
    </w:p>
    <w:p w:rsidR="00B77F00" w:rsidRDefault="00865FA3">
      <w:pPr>
        <w:pStyle w:val="Standard"/>
        <w:rPr>
          <w:b/>
          <w:bCs/>
        </w:rPr>
      </w:pPr>
      <w:r>
        <w:rPr>
          <w:b/>
          <w:bCs/>
        </w:rPr>
        <w:t>6.2.      Badanie wytrzymałości warstw torkretu na o</w:t>
      </w:r>
      <w:r>
        <w:rPr>
          <w:b/>
          <w:bCs/>
        </w:rPr>
        <w:t>drywanie</w:t>
      </w:r>
    </w:p>
    <w:p w:rsidR="00B77F00" w:rsidRDefault="00865FA3">
      <w:pPr>
        <w:pStyle w:val="Standard"/>
      </w:pPr>
      <w:r>
        <w:t>Badanie wytrzymałości warstw torkretu na odrywanie należy wykonać wg PN-92/B-01814. Należy wykonać jedno oznaczenie na 25 m2 wykonanej warstwy, lecz nie mniej niż 5 dla każdej zmiany warunków torkretowania. Wartość średnia z wszystkich oznaczeń ni</w:t>
      </w:r>
      <w:r>
        <w:t>e powinna być niższa niż 1,5 MPa, przy czym minimalna wartość pojedynczego oznaczenia wynosi 1 MPa. Jeżeli wartość pojedynczego oznaczenia jest niższa niż 1 MPa, to należy wykonać dodatkowe oznaczenie obok, w odległości około 1 m. W przypadku gdy dodatkowe</w:t>
      </w:r>
      <w:r>
        <w:t xml:space="preserve"> oznaczenie spełni warunek minimalnej wytrzymałości na odrywanie i równocześnie wartość średnia z wszystkich oznaczeń nie będzie niższa niż 1,5 MPa, to należy uznać, że warunek wytrzymałości na odrywanie został spełniony. Badanie należy wykonać po nałożeni</w:t>
      </w:r>
      <w:r>
        <w:t>u wszystkich warstw torkretu.</w:t>
      </w:r>
    </w:p>
    <w:p w:rsidR="00B77F00" w:rsidRDefault="00B77F00">
      <w:pPr>
        <w:pStyle w:val="Standard"/>
      </w:pPr>
    </w:p>
    <w:p w:rsidR="00B77F00" w:rsidRDefault="00865FA3">
      <w:pPr>
        <w:pStyle w:val="Standard"/>
        <w:rPr>
          <w:b/>
          <w:bCs/>
        </w:rPr>
      </w:pPr>
      <w:r>
        <w:rPr>
          <w:b/>
          <w:bCs/>
        </w:rPr>
        <w:t>6.3.      Badanie wytrzymałości na ściskanie</w:t>
      </w:r>
    </w:p>
    <w:p w:rsidR="00B77F00" w:rsidRDefault="00865FA3">
      <w:pPr>
        <w:pStyle w:val="Standard"/>
      </w:pPr>
      <w:r>
        <w:t xml:space="preserve">Badanie wytrzymałości na ściskanie należy wykonać na minimum 3 próbkach kostkach o boku równym 150 mm, wykonanych w formach oraz na minimum trzech beleczkach 4x4x16 cm wyciętych z </w:t>
      </w:r>
      <w:r>
        <w:t>płyt próbnych (specjalnie przygotowanych w czasie torkretowania). Badanie należy przeprowadzić wg PN-88/B-06250 oraz PN-86/B-04500. Wytrzymałość torkretu powinna odpowiadać klasie betonu B30.</w:t>
      </w:r>
    </w:p>
    <w:p w:rsidR="00B77F00" w:rsidRDefault="00B77F00">
      <w:pPr>
        <w:pStyle w:val="Standard"/>
      </w:pPr>
    </w:p>
    <w:p w:rsidR="00B77F00" w:rsidRDefault="00865FA3">
      <w:pPr>
        <w:pStyle w:val="Standard"/>
        <w:rPr>
          <w:b/>
          <w:bCs/>
        </w:rPr>
      </w:pPr>
      <w:r>
        <w:rPr>
          <w:b/>
          <w:bCs/>
        </w:rPr>
        <w:t>6.4.      Badanie nasiąkliwości</w:t>
      </w:r>
    </w:p>
    <w:p w:rsidR="00B77F00" w:rsidRDefault="00865FA3">
      <w:pPr>
        <w:pStyle w:val="Standard"/>
      </w:pPr>
      <w:r>
        <w:t>Nasiąkliwość torkretu należy ok</w:t>
      </w:r>
      <w:r>
        <w:t>reślić na 3 próbkach, beleczkach o wymiarach 4</w:t>
      </w:r>
      <w:r>
        <w:t>4</w:t>
      </w:r>
      <w:r>
        <w:t>16 cm (wyciętych z płyt próbnych) wg PN-86/B-04500. Wartość średnia nie powinna przekraczać 4 %.</w:t>
      </w:r>
    </w:p>
    <w:p w:rsidR="00B77F00" w:rsidRDefault="00B77F00">
      <w:pPr>
        <w:pStyle w:val="Standard"/>
      </w:pPr>
    </w:p>
    <w:p w:rsidR="00B77F00" w:rsidRDefault="00865FA3">
      <w:pPr>
        <w:pStyle w:val="Standard"/>
        <w:rPr>
          <w:b/>
          <w:bCs/>
        </w:rPr>
      </w:pPr>
      <w:r>
        <w:rPr>
          <w:b/>
          <w:bCs/>
        </w:rPr>
        <w:t>6.5.      Badanie wodoprzepuszczalności</w:t>
      </w:r>
    </w:p>
    <w:p w:rsidR="00B77F00" w:rsidRDefault="00865FA3">
      <w:pPr>
        <w:pStyle w:val="Standard"/>
      </w:pPr>
      <w:r>
        <w:t>Wodoszczelność  należy  sprawdzić  na  3  próbkach  o  wymiarach  150</w:t>
      </w:r>
      <w:r>
        <w:t>x150x100  mm  (wyciętych  z  płyt próbnych) wg PN-88/B-06250 dla stopnia wodoszczelności W8.</w:t>
      </w:r>
    </w:p>
    <w:p w:rsidR="00B77F00" w:rsidRDefault="00B77F00">
      <w:pPr>
        <w:pStyle w:val="Standard"/>
      </w:pPr>
    </w:p>
    <w:p w:rsidR="00B77F00" w:rsidRDefault="00865FA3">
      <w:pPr>
        <w:pStyle w:val="Standard"/>
        <w:rPr>
          <w:b/>
          <w:bCs/>
        </w:rPr>
      </w:pPr>
      <w:r>
        <w:rPr>
          <w:b/>
          <w:bCs/>
        </w:rPr>
        <w:t>6.6.      Badanie mrozoodporności</w:t>
      </w:r>
    </w:p>
    <w:p w:rsidR="00B77F00" w:rsidRDefault="00865FA3">
      <w:pPr>
        <w:pStyle w:val="Standard"/>
      </w:pPr>
      <w:r>
        <w:t>Mrozoodporność należy sprawdzić na 12 kostkach o boku 100 mm (wyciętych z płyt próbnych) wg PN-88/B-</w:t>
      </w:r>
    </w:p>
    <w:p w:rsidR="00B77F00" w:rsidRDefault="00865FA3">
      <w:pPr>
        <w:pStyle w:val="Standard"/>
      </w:pPr>
      <w:r>
        <w:t>06250 dla stopnia mrozoodpo</w:t>
      </w:r>
      <w:r>
        <w:t>rności F150.</w:t>
      </w:r>
    </w:p>
    <w:p w:rsidR="00B77F00" w:rsidRDefault="00B77F00">
      <w:pPr>
        <w:pStyle w:val="Standard"/>
      </w:pPr>
    </w:p>
    <w:p w:rsidR="00B77F00" w:rsidRDefault="00865FA3">
      <w:pPr>
        <w:pStyle w:val="Standard"/>
        <w:rPr>
          <w:b/>
          <w:bCs/>
        </w:rPr>
      </w:pPr>
      <w:r>
        <w:rPr>
          <w:b/>
          <w:bCs/>
        </w:rPr>
        <w:t>6.7.      Sprawdzenie podstawowych wymiarów geometrycznych</w:t>
      </w:r>
    </w:p>
    <w:p w:rsidR="00B77F00" w:rsidRDefault="00865FA3">
      <w:pPr>
        <w:pStyle w:val="Standard"/>
      </w:pPr>
      <w:r>
        <w:t>Sprawdzenie podstawowych wymiarów geometrycznych należy wykonać zgodnie z PN 77/S 10040</w:t>
      </w:r>
    </w:p>
    <w:p w:rsidR="00B77F00" w:rsidRDefault="00B77F00">
      <w:pPr>
        <w:pStyle w:val="Standard"/>
      </w:pPr>
    </w:p>
    <w:p w:rsidR="00B77F00" w:rsidRDefault="00865FA3">
      <w:pPr>
        <w:pStyle w:val="Standard"/>
        <w:rPr>
          <w:b/>
          <w:bCs/>
        </w:rPr>
      </w:pPr>
      <w:r>
        <w:rPr>
          <w:b/>
          <w:bCs/>
        </w:rPr>
        <w:t>7.         Obmiar robót</w:t>
      </w:r>
    </w:p>
    <w:p w:rsidR="00B77F00" w:rsidRDefault="00865FA3">
      <w:pPr>
        <w:pStyle w:val="Standard"/>
      </w:pPr>
      <w:r>
        <w:t>Jednostką obmiaru jest 1 m2 (metr kwadratowy) wykonanego torkretu.</w:t>
      </w:r>
    </w:p>
    <w:p w:rsidR="00B77F00" w:rsidRDefault="00B77F00">
      <w:pPr>
        <w:pStyle w:val="Standard"/>
      </w:pPr>
    </w:p>
    <w:p w:rsidR="00B77F00" w:rsidRDefault="00865FA3">
      <w:pPr>
        <w:pStyle w:val="Standard"/>
        <w:rPr>
          <w:b/>
          <w:bCs/>
        </w:rPr>
      </w:pPr>
      <w:r>
        <w:rPr>
          <w:b/>
          <w:bCs/>
        </w:rPr>
        <w:t>8.</w:t>
      </w:r>
      <w:r>
        <w:rPr>
          <w:b/>
          <w:bCs/>
        </w:rPr>
        <w:t xml:space="preserve">         Odbiór robót</w:t>
      </w:r>
    </w:p>
    <w:p w:rsidR="00B77F00" w:rsidRDefault="00B77F00">
      <w:pPr>
        <w:pStyle w:val="Standard"/>
        <w:rPr>
          <w:b/>
          <w:bCs/>
        </w:rPr>
      </w:pPr>
    </w:p>
    <w:p w:rsidR="00B77F00" w:rsidRDefault="00865FA3">
      <w:pPr>
        <w:pStyle w:val="Standard"/>
        <w:rPr>
          <w:b/>
          <w:bCs/>
        </w:rPr>
      </w:pPr>
      <w:r>
        <w:rPr>
          <w:b/>
          <w:bCs/>
        </w:rPr>
        <w:t>8.1.      Odbiór robót zanikających i ulegających zakryciu</w:t>
      </w:r>
    </w:p>
    <w:p w:rsidR="00B77F00" w:rsidRDefault="00865FA3">
      <w:pPr>
        <w:pStyle w:val="Standard"/>
      </w:pPr>
      <w:r>
        <w:t>Wykonawca jest obowiązany przedstawić Inżynierowi do zaakceptowania system kontroli wewnętrznej, który powinien być zgodny z wymaganiami technicznymi wykonania i odbioru beto</w:t>
      </w:r>
      <w:r>
        <w:t>nu natryskowego (torkretu) na obiektach mostowych, przedmiotowymi normami oraz niniejszą ST. Odbiorowi podlegają:</w:t>
      </w:r>
    </w:p>
    <w:p w:rsidR="00B77F00" w:rsidRDefault="00865FA3">
      <w:pPr>
        <w:pStyle w:val="Standard"/>
      </w:pPr>
      <w:r>
        <w:t>- podłoże betonowe,</w:t>
      </w:r>
    </w:p>
    <w:p w:rsidR="00B77F00" w:rsidRDefault="00865FA3">
      <w:pPr>
        <w:pStyle w:val="Standard"/>
      </w:pPr>
      <w:r>
        <w:t>- zbrojenie,</w:t>
      </w:r>
    </w:p>
    <w:p w:rsidR="00B77F00" w:rsidRDefault="00865FA3">
      <w:pPr>
        <w:pStyle w:val="Standard"/>
      </w:pPr>
      <w:r>
        <w:t>- ewentualne szalunki,</w:t>
      </w:r>
    </w:p>
    <w:p w:rsidR="00B77F00" w:rsidRDefault="00865FA3">
      <w:pPr>
        <w:pStyle w:val="Standard"/>
      </w:pPr>
      <w:r>
        <w:t>- każda wykonana warstwa torkretu.</w:t>
      </w:r>
    </w:p>
    <w:p w:rsidR="00B77F00" w:rsidRDefault="00B77F00">
      <w:pPr>
        <w:pStyle w:val="Standard"/>
      </w:pPr>
    </w:p>
    <w:p w:rsidR="00B77F00" w:rsidRDefault="00865FA3">
      <w:pPr>
        <w:pStyle w:val="Standard"/>
        <w:rPr>
          <w:b/>
          <w:bCs/>
        </w:rPr>
      </w:pPr>
      <w:r>
        <w:rPr>
          <w:b/>
          <w:bCs/>
        </w:rPr>
        <w:t>8.2.      Odbiór końcowy</w:t>
      </w:r>
    </w:p>
    <w:p w:rsidR="00B77F00" w:rsidRDefault="00865FA3">
      <w:pPr>
        <w:pStyle w:val="Standard"/>
      </w:pPr>
      <w:r>
        <w:t xml:space="preserve">Do odbioru końcowego </w:t>
      </w:r>
      <w:r>
        <w:t>należy przedstawić recepturę laboratoryjną mieszanki betonowej oraz wyniki wszystkich badań określonych w punkcie 6 niniejszej ST. Odbiór powinien być przeprowadzony przez Inżyniera i potwierdzony wpisem do Dziennika Budowy.</w:t>
      </w:r>
    </w:p>
    <w:p w:rsidR="00B77F00" w:rsidRDefault="00B77F00">
      <w:pPr>
        <w:pStyle w:val="Standard"/>
      </w:pPr>
    </w:p>
    <w:p w:rsidR="00B77F00" w:rsidRDefault="00865FA3">
      <w:pPr>
        <w:pStyle w:val="Standard"/>
        <w:rPr>
          <w:b/>
          <w:bCs/>
        </w:rPr>
      </w:pPr>
      <w:r>
        <w:rPr>
          <w:b/>
          <w:bCs/>
        </w:rPr>
        <w:t>9.         Podstawa płatności</w:t>
      </w:r>
    </w:p>
    <w:p w:rsidR="00B77F00" w:rsidRDefault="00865FA3">
      <w:pPr>
        <w:pStyle w:val="Standard"/>
      </w:pPr>
      <w:r>
        <w:lastRenderedPageBreak/>
        <w:t>Cena jednostkowa obejmuje ilość wykonanego torkretu zgodną z Rysunkami.</w:t>
      </w:r>
    </w:p>
    <w:p w:rsidR="00B77F00" w:rsidRDefault="00865FA3">
      <w:pPr>
        <w:pStyle w:val="Standard"/>
      </w:pPr>
      <w:r>
        <w:t>Cena jednostkowa wykonania lokalnej naprawy powierzchniowej betonu uwzględnia:</w:t>
      </w:r>
    </w:p>
    <w:p w:rsidR="00B77F00" w:rsidRDefault="00865FA3">
      <w:pPr>
        <w:pStyle w:val="Standard"/>
      </w:pPr>
      <w:r>
        <w:t></w:t>
      </w:r>
      <w:r>
        <w:tab/>
        <w:t>zapewnienie niezbędnych czynników produkcji;</w:t>
      </w:r>
    </w:p>
    <w:p w:rsidR="00B77F00" w:rsidRDefault="00865FA3">
      <w:pPr>
        <w:pStyle w:val="Standard"/>
      </w:pPr>
      <w:r>
        <w:t></w:t>
      </w:r>
      <w:r>
        <w:tab/>
        <w:t>montaż rusztowania;</w:t>
      </w:r>
    </w:p>
    <w:p w:rsidR="00B77F00" w:rsidRDefault="00865FA3">
      <w:pPr>
        <w:pStyle w:val="Standard"/>
      </w:pPr>
      <w:r>
        <w:t></w:t>
      </w:r>
      <w:r>
        <w:tab/>
        <w:t>czyszczenie powierzchni betonu sta</w:t>
      </w:r>
      <w:r>
        <w:t>nowiącego podłoże;</w:t>
      </w:r>
    </w:p>
    <w:p w:rsidR="00B77F00" w:rsidRDefault="00865FA3">
      <w:pPr>
        <w:pStyle w:val="Standard"/>
      </w:pPr>
      <w:r>
        <w:t></w:t>
      </w:r>
      <w:r>
        <w:tab/>
        <w:t>odkucie otuliny betonowej wokół skorodowanych prętów;</w:t>
      </w:r>
    </w:p>
    <w:p w:rsidR="00B77F00" w:rsidRDefault="00865FA3">
      <w:pPr>
        <w:pStyle w:val="Standard"/>
      </w:pPr>
      <w:r>
        <w:t></w:t>
      </w:r>
      <w:r>
        <w:tab/>
        <w:t>oczyszczenie odsłoniętych prętów zbrojeniowych z rdzy;</w:t>
      </w:r>
    </w:p>
    <w:p w:rsidR="00B77F00" w:rsidRDefault="00865FA3">
      <w:pPr>
        <w:pStyle w:val="Standard"/>
      </w:pPr>
      <w:r>
        <w:t></w:t>
      </w:r>
      <w:r>
        <w:tab/>
        <w:t>usunięcie luźnych części betonu;</w:t>
      </w:r>
    </w:p>
    <w:p w:rsidR="00B77F00" w:rsidRDefault="00865FA3">
      <w:pPr>
        <w:pStyle w:val="Standard"/>
      </w:pPr>
      <w:r>
        <w:t></w:t>
      </w:r>
      <w:r>
        <w:tab/>
        <w:t>usunięcie skorodowanych prętów zbrojeniowych;</w:t>
      </w:r>
    </w:p>
    <w:p w:rsidR="00B77F00" w:rsidRDefault="00865FA3">
      <w:pPr>
        <w:pStyle w:val="Standard"/>
      </w:pPr>
      <w:r>
        <w:t></w:t>
      </w:r>
      <w:r>
        <w:tab/>
        <w:t>uzupełnienie zbrojenia; ocena jakości p</w:t>
      </w:r>
      <w:r>
        <w:t>rzygotowania powierzchni betonu do naprawy;</w:t>
      </w:r>
    </w:p>
    <w:p w:rsidR="00B77F00" w:rsidRDefault="00865FA3">
      <w:pPr>
        <w:pStyle w:val="Standard"/>
      </w:pPr>
      <w:r>
        <w:t></w:t>
      </w:r>
      <w:r>
        <w:tab/>
        <w:t>naniesienie warstwy sczepnej;</w:t>
      </w:r>
    </w:p>
    <w:p w:rsidR="00B77F00" w:rsidRDefault="00865FA3">
      <w:pPr>
        <w:pStyle w:val="Standard"/>
      </w:pPr>
      <w:r>
        <w:t></w:t>
      </w:r>
      <w:r>
        <w:tab/>
        <w:t>pokrycie oczyszczonej powierzchni zbrojenia odpowiednimi preparatami antykorozyjnymi;</w:t>
      </w:r>
    </w:p>
    <w:p w:rsidR="00B77F00" w:rsidRDefault="00865FA3">
      <w:pPr>
        <w:pStyle w:val="Standard"/>
      </w:pPr>
      <w:r>
        <w:t></w:t>
      </w:r>
      <w:r>
        <w:tab/>
        <w:t>wykonanie i montaż siatki zbrojeniowej;</w:t>
      </w:r>
    </w:p>
    <w:p w:rsidR="00B77F00" w:rsidRDefault="00865FA3">
      <w:pPr>
        <w:pStyle w:val="Standard"/>
      </w:pPr>
      <w:r>
        <w:t></w:t>
      </w:r>
      <w:r>
        <w:tab/>
        <w:t>torkterowanie;</w:t>
      </w:r>
    </w:p>
    <w:p w:rsidR="00B77F00" w:rsidRDefault="00865FA3">
      <w:pPr>
        <w:pStyle w:val="Standard"/>
      </w:pPr>
      <w:r>
        <w:t></w:t>
      </w:r>
      <w:r>
        <w:tab/>
        <w:t>pielęgnacja nałożonej zaprawy;</w:t>
      </w:r>
    </w:p>
    <w:p w:rsidR="00B77F00" w:rsidRDefault="00865FA3">
      <w:pPr>
        <w:pStyle w:val="Standard"/>
      </w:pPr>
      <w:r>
        <w:t></w:t>
      </w:r>
      <w:r>
        <w:tab/>
        <w:t>demontaż rusztowania,</w:t>
      </w:r>
    </w:p>
    <w:p w:rsidR="00B77F00" w:rsidRDefault="00865FA3">
      <w:pPr>
        <w:pStyle w:val="Standard"/>
      </w:pPr>
      <w:r>
        <w:t>W wycenie należy uwzględnić wszystkie niezbędne czynniki oraz materiały do wykonania robót.</w:t>
      </w:r>
    </w:p>
    <w:p w:rsidR="00B77F00" w:rsidRDefault="00B77F00">
      <w:pPr>
        <w:pStyle w:val="Standard"/>
      </w:pPr>
    </w:p>
    <w:p w:rsidR="00B77F00" w:rsidRDefault="00865FA3">
      <w:pPr>
        <w:pStyle w:val="Standard"/>
        <w:rPr>
          <w:b/>
          <w:bCs/>
        </w:rPr>
      </w:pPr>
      <w:r>
        <w:rPr>
          <w:b/>
          <w:bCs/>
        </w:rPr>
        <w:t>10.</w:t>
      </w:r>
      <w:r>
        <w:rPr>
          <w:b/>
          <w:bCs/>
        </w:rPr>
        <w:tab/>
        <w:t>Przepisy związane</w:t>
      </w:r>
    </w:p>
    <w:p w:rsidR="00B77F00" w:rsidRDefault="00B77F00">
      <w:pPr>
        <w:pStyle w:val="Standard"/>
        <w:rPr>
          <w:b/>
          <w:bCs/>
        </w:rPr>
      </w:pPr>
    </w:p>
    <w:p w:rsidR="00B77F00" w:rsidRDefault="00865FA3">
      <w:pPr>
        <w:pStyle w:val="Standard"/>
        <w:rPr>
          <w:b/>
          <w:bCs/>
        </w:rPr>
      </w:pPr>
      <w:r>
        <w:rPr>
          <w:b/>
          <w:bCs/>
        </w:rPr>
        <w:t>10.1.</w:t>
      </w:r>
      <w:r>
        <w:rPr>
          <w:b/>
          <w:bCs/>
        </w:rPr>
        <w:tab/>
        <w:t>Normy</w:t>
      </w:r>
    </w:p>
    <w:p w:rsidR="00B77F00" w:rsidRDefault="00B77F00">
      <w:pPr>
        <w:pStyle w:val="Standard"/>
        <w:rPr>
          <w:b/>
          <w:bCs/>
        </w:rPr>
      </w:pPr>
    </w:p>
    <w:p w:rsidR="00B77F00" w:rsidRDefault="00865FA3">
      <w:pPr>
        <w:pStyle w:val="Standard"/>
      </w:pPr>
      <w:r>
        <w:t>PN-EN 196-1:1996</w:t>
      </w:r>
      <w:r>
        <w:tab/>
        <w:t>Metody badania cementu. Oznaczenie wytrzymałości. PN-EN 196-2:1996</w:t>
      </w:r>
      <w:r>
        <w:tab/>
        <w:t>Metody badania ceme</w:t>
      </w:r>
      <w:r>
        <w:t>ntu. Analiza chemiczna cementu.</w:t>
      </w:r>
    </w:p>
    <w:p w:rsidR="00B77F00" w:rsidRDefault="00865FA3">
      <w:pPr>
        <w:pStyle w:val="Standard"/>
      </w:pPr>
      <w:r>
        <w:t>PN-EN 196-3:1996</w:t>
      </w:r>
      <w:r>
        <w:tab/>
        <w:t>Metody badania cementu. Oznaczanie czasów wiązania i stałości objętości. PN-EN 196-6:1989</w:t>
      </w:r>
      <w:r>
        <w:tab/>
        <w:t>Metody badania cementu. Oznaczanie stopnia zmielenia.</w:t>
      </w:r>
    </w:p>
    <w:p w:rsidR="00B77F00" w:rsidRDefault="00865FA3">
      <w:pPr>
        <w:pStyle w:val="Standard"/>
      </w:pPr>
      <w:r>
        <w:t>PN-EN 196-7:1989</w:t>
      </w:r>
      <w:r>
        <w:tab/>
        <w:t>Metody badania cementu. Sposoby pobierania i p</w:t>
      </w:r>
      <w:r>
        <w:t>rzygotowania próbek cementu</w:t>
      </w:r>
    </w:p>
    <w:p w:rsidR="00B77F00" w:rsidRDefault="00865FA3">
      <w:pPr>
        <w:pStyle w:val="Standard"/>
      </w:pPr>
      <w:r>
        <w:t>PN-EN 196-21:1989</w:t>
      </w:r>
      <w:r>
        <w:tab/>
        <w:t>Metody  badania  cementu.  Oznaczanie  zawartości  chlorków,  dwutlenku  węgla  i alkaliów w cemencie.</w:t>
      </w:r>
    </w:p>
    <w:p w:rsidR="00B77F00" w:rsidRDefault="00865FA3">
      <w:pPr>
        <w:pStyle w:val="Standard"/>
      </w:pPr>
      <w:r>
        <w:t>PN-B-19701:97</w:t>
      </w:r>
      <w:r>
        <w:tab/>
        <w:t>Cement. Cementy powszechnego użytku. Skład, wymagania i ocena zgodności. PN-86/B-04320</w:t>
      </w:r>
      <w:r>
        <w:tab/>
      </w:r>
      <w:r>
        <w:t>Cement. Odbiorcza statystyczna kontrola jakości.</w:t>
      </w:r>
    </w:p>
    <w:p w:rsidR="00B77F00" w:rsidRDefault="00865FA3">
      <w:pPr>
        <w:pStyle w:val="Standard"/>
      </w:pPr>
      <w:r>
        <w:t>PN-87/B-01100</w:t>
      </w:r>
      <w:r>
        <w:tab/>
        <w:t>Kruszywa mineralne. Kruszywa skalne. Podział, nazwy i określenia. PN-B-06712/A1:97</w:t>
      </w:r>
      <w:r>
        <w:tab/>
        <w:t>Kruszywa mineralne do betonu.</w:t>
      </w:r>
    </w:p>
    <w:p w:rsidR="00B77F00" w:rsidRDefault="00865FA3">
      <w:pPr>
        <w:pStyle w:val="Standard"/>
      </w:pPr>
      <w:r>
        <w:t>PN-76/B-06714/00</w:t>
      </w:r>
      <w:r>
        <w:tab/>
        <w:t>Kruszywa mineralne. Badania. Postanowienia ogólne. PN-76/B-0671</w:t>
      </w:r>
      <w:r>
        <w:t>4/10</w:t>
      </w:r>
      <w:r>
        <w:tab/>
        <w:t>Kruszywa mineralne. Badania. Oznaczenie jamistości.</w:t>
      </w:r>
    </w:p>
    <w:p w:rsidR="00B77F00" w:rsidRDefault="00865FA3">
      <w:pPr>
        <w:pStyle w:val="Standard"/>
      </w:pPr>
      <w:r>
        <w:t>PN-76/B-06714/12</w:t>
      </w:r>
      <w:r>
        <w:tab/>
        <w:t>Kruszywa mineralne. Badania. Oznaczenie zawartości zanieczyszczeń obcych. PN-78/B-06714/13</w:t>
      </w:r>
      <w:r>
        <w:tab/>
        <w:t>Kruszywa mineralne. Badania. Oznaczenie zawartości pyłów mineralnych.</w:t>
      </w:r>
    </w:p>
    <w:p w:rsidR="00B77F00" w:rsidRDefault="00865FA3">
      <w:pPr>
        <w:pStyle w:val="Standard"/>
      </w:pPr>
      <w:r>
        <w:t>PN-91/B-06714/15</w:t>
      </w:r>
      <w:r>
        <w:tab/>
        <w:t>Krus</w:t>
      </w:r>
      <w:r>
        <w:t>zywa mineralne. Badania. Oznaczenie składu ziarnowego.</w:t>
      </w:r>
    </w:p>
    <w:p w:rsidR="00B77F00" w:rsidRDefault="00865FA3">
      <w:pPr>
        <w:pStyle w:val="Standard"/>
      </w:pPr>
      <w:r>
        <w:t>PN-78/B-06714/16</w:t>
      </w:r>
      <w:r>
        <w:tab/>
        <w:t>Kruszywa mineralne. Badania. Oznaczenie kształtu ziaren. PN-77/B-06714/18</w:t>
      </w:r>
      <w:r>
        <w:tab/>
        <w:t>Kruszywa mineralne. Badania. Oznaczenie nasiąkliwości.</w:t>
      </w:r>
    </w:p>
    <w:p w:rsidR="00B77F00" w:rsidRDefault="00865FA3">
      <w:pPr>
        <w:pStyle w:val="Standard"/>
      </w:pPr>
      <w:r>
        <w:t>PN-91/B-06714/34</w:t>
      </w:r>
      <w:r>
        <w:tab/>
        <w:t>Kruszywa mineralne. Badania. Oznaczeni</w:t>
      </w:r>
      <w:r>
        <w:t>e reaktywności alkalicznej.</w:t>
      </w:r>
    </w:p>
    <w:p w:rsidR="00B77F00" w:rsidRDefault="00865FA3">
      <w:pPr>
        <w:pStyle w:val="Standard"/>
      </w:pPr>
      <w:r>
        <w:t>BN-84/6774-02</w:t>
      </w:r>
      <w:r>
        <w:tab/>
        <w:t>Kruszywo mineralne. Kruszywo kamienne łamane do nawierzchni drogowych. PN-88/B-32250</w:t>
      </w:r>
      <w:r>
        <w:tab/>
        <w:t>Materiały budowlane. Woda do betonu i zapraw.</w:t>
      </w:r>
    </w:p>
    <w:p w:rsidR="00B77F00" w:rsidRDefault="00865FA3">
      <w:pPr>
        <w:pStyle w:val="Standard"/>
      </w:pPr>
      <w:r>
        <w:t>PN-88/B-06250</w:t>
      </w:r>
      <w:r>
        <w:tab/>
        <w:t>Beton zwykły.</w:t>
      </w:r>
    </w:p>
    <w:p w:rsidR="00B77F00" w:rsidRDefault="00865FA3">
      <w:pPr>
        <w:pStyle w:val="Standard"/>
      </w:pPr>
      <w:r>
        <w:t>PN-74/B-06262</w:t>
      </w:r>
      <w:r>
        <w:tab/>
        <w:t>Metoda sklerometryczna badania wytrzymało</w:t>
      </w:r>
      <w:r>
        <w:t>ści betonu na ściskanie za pomocą</w:t>
      </w:r>
    </w:p>
    <w:p w:rsidR="00B77F00" w:rsidRDefault="00865FA3">
      <w:pPr>
        <w:pStyle w:val="Standard"/>
      </w:pPr>
      <w:r>
        <w:t>młotka Schmidta typu N.</w:t>
      </w:r>
    </w:p>
    <w:p w:rsidR="00B77F00" w:rsidRDefault="00865FA3">
      <w:pPr>
        <w:pStyle w:val="Standard"/>
      </w:pPr>
      <w:r>
        <w:t>PN-70/H-97052</w:t>
      </w:r>
      <w:r>
        <w:tab/>
        <w:t>Ochrona przed korozją. Ocena przygotowania powierzchni stali, staliwa i żeliwa do malowania.</w:t>
      </w:r>
    </w:p>
    <w:p w:rsidR="00B77F00" w:rsidRDefault="00865FA3">
      <w:pPr>
        <w:pStyle w:val="Standard"/>
      </w:pPr>
      <w:r>
        <w:t>10.2.</w:t>
      </w:r>
      <w:r>
        <w:tab/>
        <w:t>Inne dokumenty</w:t>
      </w:r>
    </w:p>
    <w:p w:rsidR="00B77F00" w:rsidRDefault="00865FA3">
      <w:pPr>
        <w:pStyle w:val="Standard"/>
        <w:rPr>
          <w:color w:val="000000"/>
        </w:rPr>
      </w:pPr>
      <w:r>
        <w:rPr>
          <w:color w:val="000000"/>
        </w:rPr>
        <w:t>Normatywy badania nasiąkliwości, wodoszczelności i mrozoodporności PN-</w:t>
      </w:r>
      <w:r>
        <w:rPr>
          <w:color w:val="000000"/>
        </w:rPr>
        <w:t>88/B-06250, PN 75/S-96015. Zeszyt 32 „Studia i Materiały” Instytutu Badawczego Dróg i Mostów Warszawa 1990 r. Wymagania techniczne wykonania i odbioru betonu natryskowego (torkretu) na obiektach mostowych. GDDP, Warszawa 1989 r.</w:t>
      </w:r>
    </w:p>
    <w:p w:rsidR="00B77F00" w:rsidRDefault="00865FA3">
      <w:pPr>
        <w:pStyle w:val="Nagwek1"/>
        <w:pageBreakBefore/>
        <w:jc w:val="both"/>
      </w:pPr>
      <w:bookmarkStart w:id="30" w:name="__RefHeading___Toc58998_1504666804"/>
      <w:r>
        <w:lastRenderedPageBreak/>
        <w:t>M.31.00.00 Roboty rozbiórko</w:t>
      </w:r>
      <w:r>
        <w:t>we</w:t>
      </w:r>
      <w:bookmarkEnd w:id="30"/>
    </w:p>
    <w:p w:rsidR="00B77F00" w:rsidRDefault="00865FA3">
      <w:pPr>
        <w:pStyle w:val="Nagwek2"/>
        <w:jc w:val="both"/>
      </w:pPr>
      <w:bookmarkStart w:id="31" w:name="__RefHeading___Toc132857_5139514181"/>
      <w:r>
        <w:t>M.31.01.00 Rozbiórka, wywóz i utylizacja elementów</w:t>
      </w:r>
      <w:bookmarkEnd w:id="31"/>
    </w:p>
    <w:p w:rsidR="00B77F00" w:rsidRDefault="00865FA3">
      <w:pPr>
        <w:pStyle w:val="Nagwek3"/>
        <w:jc w:val="both"/>
        <w:rPr>
          <w:shd w:val="clear" w:color="auto" w:fill="FFFFFF"/>
        </w:rPr>
      </w:pPr>
      <w:bookmarkStart w:id="32" w:name="__RefHeading___Toc106367_992416677"/>
      <w:r>
        <w:rPr>
          <w:shd w:val="clear" w:color="auto" w:fill="FFFFFF"/>
        </w:rPr>
        <w:t>M.31.01.06 Rozbiórka, wywóz i utylizacja balustrad</w:t>
      </w:r>
      <w:bookmarkEnd w:id="32"/>
    </w:p>
    <w:p w:rsidR="00B77F00" w:rsidRDefault="00865FA3">
      <w:pPr>
        <w:pStyle w:val="Standard"/>
        <w:jc w:val="both"/>
        <w:rPr>
          <w:b/>
          <w:bCs/>
        </w:rPr>
      </w:pPr>
      <w:r>
        <w:rPr>
          <w:b/>
          <w:bCs/>
        </w:rPr>
        <w:t xml:space="preserve">1. </w:t>
      </w:r>
      <w:r>
        <w:rPr>
          <w:b/>
          <w:bCs/>
        </w:rPr>
        <w:tab/>
        <w:t>WSTĘP</w:t>
      </w:r>
    </w:p>
    <w:p w:rsidR="00B77F00" w:rsidRDefault="00865FA3">
      <w:pPr>
        <w:pStyle w:val="Standard"/>
        <w:jc w:val="both"/>
      </w:pPr>
      <w:r>
        <w:t xml:space="preserve">1.1. </w:t>
      </w:r>
      <w:r>
        <w:tab/>
        <w:t>Przedmiot Specyfikacji</w:t>
      </w:r>
    </w:p>
    <w:p w:rsidR="00B77F00" w:rsidRDefault="00865FA3">
      <w:pPr>
        <w:pStyle w:val="Standard"/>
        <w:jc w:val="both"/>
      </w:pPr>
      <w:r>
        <w:t>Przedmiotem niniejszej Specyfikacji są wymagania dotyczące wykonania i odbioru robót związanych z rozbiórką istn</w:t>
      </w:r>
      <w:r>
        <w:t xml:space="preserve">iejących balustrad na obiektach mostowych dla </w:t>
      </w:r>
      <w:r>
        <w:rPr>
          <w:rFonts w:eastAsia="Verdana" w:cs="Arial"/>
          <w:color w:val="000000"/>
          <w:spacing w:val="-3"/>
          <w:szCs w:val="20"/>
          <w:lang w:val="pl-PL" w:bidi="ar-SA"/>
        </w:rPr>
        <w:t xml:space="preserve">zamierzenia budowlanego: </w:t>
      </w:r>
      <w:r>
        <w:rPr>
          <w:rStyle w:val="WW-DefaultParagraphFont"/>
          <w:rFonts w:eastAsia="Times New Roman" w:cs="Arial"/>
          <w:color w:val="000000"/>
          <w:spacing w:val="-3"/>
          <w:lang w:val="pl-PL" w:bidi="ar-SA"/>
        </w:rPr>
        <w:t>„Remont mostu na rzece Wiązownica w msc. Wrzos w ciągu drogi powiatowej nr 3501W Wrzeszczów – W</w:t>
      </w:r>
      <w:r>
        <w:rPr>
          <w:rStyle w:val="WW-DefaultParagraphFont"/>
          <w:rFonts w:eastAsia="Times New Roman" w:cs="Arial"/>
          <w:color w:val="000000"/>
          <w:spacing w:val="-3"/>
          <w:lang w:val="pl-PL" w:bidi="ar-SA"/>
        </w:rPr>
        <w:t>rzos - Domaniów w km 4+206”.</w:t>
      </w:r>
    </w:p>
    <w:p w:rsidR="00B77F00" w:rsidRDefault="00865FA3">
      <w:pPr>
        <w:pStyle w:val="Standard"/>
        <w:jc w:val="both"/>
      </w:pPr>
      <w:r>
        <w:t xml:space="preserve">1.2. </w:t>
      </w:r>
      <w:r>
        <w:tab/>
        <w:t>Zakres stosowania Specyfikacji</w:t>
      </w:r>
    </w:p>
    <w:p w:rsidR="00B77F00" w:rsidRDefault="00865FA3">
      <w:pPr>
        <w:pStyle w:val="Standard"/>
        <w:jc w:val="both"/>
      </w:pPr>
      <w:r>
        <w:t>Specyfikacja Techniczna jest stosowana jako dokument kontraktowy i przetargowy przy zlecaniu i rea</w:t>
      </w:r>
      <w:r>
        <w:t>lizacji robót wymienionych w punkcie 1.1.</w:t>
      </w:r>
    </w:p>
    <w:p w:rsidR="00B77F00" w:rsidRDefault="00865FA3">
      <w:pPr>
        <w:pStyle w:val="Standard"/>
        <w:jc w:val="both"/>
      </w:pPr>
      <w:r>
        <w:t xml:space="preserve">1.3. </w:t>
      </w:r>
      <w:r>
        <w:tab/>
        <w:t>Zakres robót objętych Specyfikacją</w:t>
      </w:r>
    </w:p>
    <w:p w:rsidR="00B77F00" w:rsidRDefault="00865FA3">
      <w:pPr>
        <w:pStyle w:val="Standard"/>
        <w:jc w:val="both"/>
      </w:pPr>
      <w:r>
        <w:t>Roboty, których dotyczy Specyfikacja, obejmują wszystkie czynności umożliwiające i mające na celu rozbiórkę istniejących balustrad na obiektach mostowych.</w:t>
      </w:r>
    </w:p>
    <w:p w:rsidR="00B77F00" w:rsidRDefault="00865FA3">
      <w:pPr>
        <w:pStyle w:val="Standard"/>
        <w:jc w:val="both"/>
      </w:pPr>
      <w:r>
        <w:t>Rozbierane balust</w:t>
      </w:r>
      <w:r>
        <w:t>rady podlegają odwozowi w miejsce wskazane przez Wykonawcę.</w:t>
      </w:r>
    </w:p>
    <w:p w:rsidR="00B77F00" w:rsidRDefault="00865FA3">
      <w:pPr>
        <w:pStyle w:val="Standard"/>
        <w:jc w:val="both"/>
      </w:pPr>
      <w:r>
        <w:t xml:space="preserve">1.4. </w:t>
      </w:r>
      <w:r>
        <w:tab/>
        <w:t>Określenia podstawowe</w:t>
      </w:r>
    </w:p>
    <w:p w:rsidR="00B77F00" w:rsidRDefault="00865FA3">
      <w:pPr>
        <w:pStyle w:val="Standard"/>
        <w:jc w:val="both"/>
      </w:pPr>
      <w:r>
        <w:t>Określenia podane w niniejszej Specyfikacji są zgodne z obowiązującymi odpowiednimi normami oraz z określeniami podanymi w Specyfikacji DM.00.00.00 „Wymagania ogólne”.</w:t>
      </w:r>
    </w:p>
    <w:p w:rsidR="00B77F00" w:rsidRDefault="00865FA3">
      <w:pPr>
        <w:pStyle w:val="Standard"/>
        <w:jc w:val="both"/>
      </w:pPr>
      <w:r>
        <w:t xml:space="preserve">1.5. </w:t>
      </w:r>
      <w:r>
        <w:tab/>
        <w:t>Ogólne wymagania dotyczące robót</w:t>
      </w:r>
    </w:p>
    <w:p w:rsidR="00B77F00" w:rsidRDefault="00865FA3">
      <w:pPr>
        <w:pStyle w:val="Standard"/>
        <w:jc w:val="both"/>
      </w:pPr>
      <w:r>
        <w:t xml:space="preserve">Wykonawca robót jest odpowiedzialny za jakość ich wykonania oraz za zgodność z Dokumentacją Projektową, Specyfikacją i poleceniami Inżyniera. Ogólne wymagania dotyczące robót podano w Specyfikacji. DM.00.00.00. </w:t>
      </w:r>
      <w:r>
        <w:t>„Wymagania ogólne”.</w:t>
      </w:r>
    </w:p>
    <w:p w:rsidR="00B77F00" w:rsidRDefault="00B77F00">
      <w:pPr>
        <w:pStyle w:val="Standard"/>
        <w:jc w:val="both"/>
      </w:pPr>
    </w:p>
    <w:p w:rsidR="00B77F00" w:rsidRDefault="00865FA3">
      <w:pPr>
        <w:pStyle w:val="Standard"/>
        <w:jc w:val="both"/>
        <w:rPr>
          <w:b/>
          <w:bCs/>
        </w:rPr>
      </w:pPr>
      <w:r>
        <w:rPr>
          <w:b/>
          <w:bCs/>
        </w:rPr>
        <w:t xml:space="preserve">2. </w:t>
      </w:r>
      <w:r>
        <w:rPr>
          <w:b/>
          <w:bCs/>
        </w:rPr>
        <w:tab/>
        <w:t>MATERIAŁY</w:t>
      </w:r>
    </w:p>
    <w:p w:rsidR="00B77F00" w:rsidRDefault="00865FA3">
      <w:pPr>
        <w:pStyle w:val="Standard"/>
        <w:jc w:val="both"/>
      </w:pPr>
      <w:r>
        <w:t>2.1.</w:t>
      </w:r>
      <w:r>
        <w:tab/>
        <w:t>Ogólne wymagania dotyczące materiałów</w:t>
      </w:r>
    </w:p>
    <w:p w:rsidR="00B77F00" w:rsidRDefault="00865FA3">
      <w:pPr>
        <w:pStyle w:val="Standard"/>
        <w:jc w:val="both"/>
      </w:pPr>
      <w:r>
        <w:t>Ogólne wymagania dotyczące materiałów podano w ST DM.00.00.00 „Wymagania ogólne”.</w:t>
      </w:r>
    </w:p>
    <w:p w:rsidR="00B77F00" w:rsidRDefault="00865FA3">
      <w:pPr>
        <w:pStyle w:val="Standard"/>
        <w:jc w:val="both"/>
      </w:pPr>
      <w:r>
        <w:t>2.2.</w:t>
      </w:r>
      <w:r>
        <w:tab/>
        <w:t>Szczegółowe wymagania dotyczące materiałów</w:t>
      </w:r>
    </w:p>
    <w:p w:rsidR="00B77F00" w:rsidRDefault="00865FA3">
      <w:pPr>
        <w:pStyle w:val="Standard"/>
        <w:jc w:val="both"/>
      </w:pPr>
      <w:r>
        <w:t>Materiały wbudowane nie występują.</w:t>
      </w:r>
    </w:p>
    <w:p w:rsidR="00B77F00" w:rsidRDefault="00B77F00">
      <w:pPr>
        <w:pStyle w:val="Standard"/>
        <w:jc w:val="both"/>
      </w:pPr>
    </w:p>
    <w:p w:rsidR="00B77F00" w:rsidRDefault="00865FA3">
      <w:pPr>
        <w:pStyle w:val="Standard"/>
        <w:jc w:val="both"/>
        <w:rPr>
          <w:b/>
          <w:bCs/>
        </w:rPr>
      </w:pPr>
      <w:r>
        <w:rPr>
          <w:b/>
          <w:bCs/>
        </w:rPr>
        <w:t xml:space="preserve">3. </w:t>
      </w:r>
      <w:r>
        <w:rPr>
          <w:b/>
          <w:bCs/>
        </w:rPr>
        <w:tab/>
        <w:t>SPRZĘT</w:t>
      </w:r>
    </w:p>
    <w:p w:rsidR="00B77F00" w:rsidRDefault="00865FA3">
      <w:pPr>
        <w:pStyle w:val="Standard"/>
        <w:jc w:val="both"/>
      </w:pPr>
      <w:r>
        <w:t>3</w:t>
      </w:r>
      <w:r>
        <w:t xml:space="preserve">.1. </w:t>
      </w:r>
      <w:r>
        <w:tab/>
        <w:t>Ogólne wymagania dotyczące sprzętu</w:t>
      </w:r>
    </w:p>
    <w:p w:rsidR="00B77F00" w:rsidRDefault="00865FA3">
      <w:pPr>
        <w:pStyle w:val="Standard"/>
        <w:jc w:val="both"/>
      </w:pPr>
      <w:r>
        <w:t>Ogólne wymagania dotyczące sprzętu podano w ST DM.00.00.00 „Wymagania ogólne”.</w:t>
      </w:r>
    </w:p>
    <w:p w:rsidR="00B77F00" w:rsidRDefault="00865FA3">
      <w:pPr>
        <w:pStyle w:val="Standard"/>
        <w:jc w:val="both"/>
      </w:pPr>
      <w:r>
        <w:t xml:space="preserve">3.2. </w:t>
      </w:r>
      <w:r>
        <w:tab/>
        <w:t>Szczegółowe wymagania dotyczące sprzętu</w:t>
      </w:r>
    </w:p>
    <w:p w:rsidR="00B77F00" w:rsidRDefault="00865FA3">
      <w:pPr>
        <w:pStyle w:val="Standard"/>
        <w:jc w:val="both"/>
      </w:pPr>
      <w:r>
        <w:t>Roboty można wykonać przy użyciu dowolnego typu sprzętu zaakceptowanego przez Inżyniera.</w:t>
      </w:r>
    </w:p>
    <w:p w:rsidR="00B77F00" w:rsidRDefault="00B77F00">
      <w:pPr>
        <w:pStyle w:val="Standard"/>
        <w:jc w:val="both"/>
      </w:pPr>
    </w:p>
    <w:p w:rsidR="00B77F00" w:rsidRDefault="00865FA3">
      <w:pPr>
        <w:pStyle w:val="Standard"/>
        <w:jc w:val="both"/>
        <w:rPr>
          <w:b/>
          <w:bCs/>
        </w:rPr>
      </w:pPr>
      <w:r>
        <w:rPr>
          <w:b/>
          <w:bCs/>
        </w:rPr>
        <w:t>4</w:t>
      </w:r>
      <w:r>
        <w:rPr>
          <w:b/>
          <w:bCs/>
        </w:rPr>
        <w:t xml:space="preserve">. </w:t>
      </w:r>
      <w:r>
        <w:rPr>
          <w:b/>
          <w:bCs/>
        </w:rPr>
        <w:tab/>
        <w:t>TRANSPORT</w:t>
      </w:r>
    </w:p>
    <w:p w:rsidR="00B77F00" w:rsidRDefault="00865FA3">
      <w:pPr>
        <w:pStyle w:val="Standard"/>
        <w:jc w:val="both"/>
      </w:pPr>
      <w:r>
        <w:t xml:space="preserve">4.1. </w:t>
      </w:r>
      <w:r>
        <w:tab/>
        <w:t>Ogólne wymagania dotyczące transportu</w:t>
      </w:r>
    </w:p>
    <w:p w:rsidR="00B77F00" w:rsidRDefault="00865FA3">
      <w:pPr>
        <w:pStyle w:val="Standard"/>
        <w:jc w:val="both"/>
      </w:pPr>
      <w:r>
        <w:t>Ogólne wymagania dotyczące transportu podano w ST DM.00.00.00 „Wymagania ogólne”.</w:t>
      </w:r>
    </w:p>
    <w:p w:rsidR="00B77F00" w:rsidRDefault="00865FA3">
      <w:pPr>
        <w:pStyle w:val="Standard"/>
        <w:jc w:val="both"/>
      </w:pPr>
      <w:r>
        <w:t xml:space="preserve">4.2. </w:t>
      </w:r>
      <w:r>
        <w:tab/>
        <w:t>Szczegółowe wymagania dotyczące transportu</w:t>
      </w:r>
    </w:p>
    <w:p w:rsidR="00B77F00" w:rsidRDefault="00865FA3">
      <w:pPr>
        <w:pStyle w:val="Standard"/>
        <w:jc w:val="both"/>
      </w:pPr>
      <w:r>
        <w:t xml:space="preserve">Odwóz zdemontowanych balustrad dowolnymi środkami transportowymi na </w:t>
      </w:r>
      <w:r>
        <w:t>plac składowy Wykonawcy.</w:t>
      </w:r>
    </w:p>
    <w:p w:rsidR="00B77F00" w:rsidRDefault="00B77F00">
      <w:pPr>
        <w:pStyle w:val="Standard"/>
        <w:jc w:val="both"/>
      </w:pPr>
    </w:p>
    <w:p w:rsidR="00B77F00" w:rsidRDefault="00865FA3">
      <w:pPr>
        <w:pStyle w:val="Standard"/>
        <w:jc w:val="both"/>
        <w:rPr>
          <w:b/>
          <w:bCs/>
        </w:rPr>
      </w:pPr>
      <w:r>
        <w:rPr>
          <w:b/>
          <w:bCs/>
        </w:rPr>
        <w:t xml:space="preserve">5. </w:t>
      </w:r>
      <w:r>
        <w:rPr>
          <w:b/>
          <w:bCs/>
        </w:rPr>
        <w:tab/>
        <w:t>WYKONANIE ROBÓT</w:t>
      </w:r>
    </w:p>
    <w:p w:rsidR="00B77F00" w:rsidRDefault="00865FA3">
      <w:pPr>
        <w:pStyle w:val="Standard"/>
        <w:jc w:val="both"/>
      </w:pPr>
      <w:r>
        <w:t xml:space="preserve">5.1. </w:t>
      </w:r>
      <w:r>
        <w:tab/>
        <w:t>Ogólne wymagania dotyczące wykonania robót</w:t>
      </w:r>
    </w:p>
    <w:p w:rsidR="00B77F00" w:rsidRDefault="00865FA3">
      <w:pPr>
        <w:pStyle w:val="Standard"/>
        <w:jc w:val="both"/>
      </w:pPr>
      <w:r>
        <w:t>Ogólne wymagania dotyczące wykonania robót podano w ST DM.00.00.00 „Wymagania ogólne”.</w:t>
      </w:r>
    </w:p>
    <w:p w:rsidR="00B77F00" w:rsidRDefault="00865FA3">
      <w:pPr>
        <w:pStyle w:val="Standard"/>
        <w:jc w:val="both"/>
      </w:pPr>
      <w:r>
        <w:t xml:space="preserve">5.2. </w:t>
      </w:r>
      <w:r>
        <w:tab/>
        <w:t>Szczegółowe wymagania dotyczące wykonania robót</w:t>
      </w:r>
    </w:p>
    <w:p w:rsidR="00B77F00" w:rsidRDefault="00865FA3">
      <w:pPr>
        <w:pStyle w:val="Standard"/>
        <w:jc w:val="both"/>
      </w:pPr>
      <w:r>
        <w:t>Roboty ujęte w nini</w:t>
      </w:r>
      <w:r>
        <w:t>ejszej Specyfikacji obejmują:</w:t>
      </w:r>
    </w:p>
    <w:p w:rsidR="00B77F00" w:rsidRDefault="00865FA3">
      <w:pPr>
        <w:pStyle w:val="Standard"/>
        <w:jc w:val="both"/>
      </w:pPr>
      <w:r>
        <w:t>-odłączenie istniejącej balustrady od betonu,</w:t>
      </w:r>
    </w:p>
    <w:p w:rsidR="00B77F00" w:rsidRDefault="00865FA3">
      <w:pPr>
        <w:pStyle w:val="Standard"/>
        <w:jc w:val="both"/>
      </w:pPr>
      <w:r>
        <w:t>-pocięcie demontowanych balustrad na elementy o długości dostosowanej do możliwości transportu,</w:t>
      </w:r>
    </w:p>
    <w:p w:rsidR="00B77F00" w:rsidRDefault="00865FA3">
      <w:pPr>
        <w:pStyle w:val="Standard"/>
        <w:jc w:val="both"/>
      </w:pPr>
      <w:r>
        <w:t>-odwóz zdemontowanej poręczy w miejsce wskazane przez Wykonawcę.</w:t>
      </w:r>
    </w:p>
    <w:p w:rsidR="00B77F00" w:rsidRDefault="00865FA3">
      <w:pPr>
        <w:pStyle w:val="Standard"/>
        <w:jc w:val="both"/>
      </w:pPr>
      <w:r>
        <w:t xml:space="preserve">W przypadku, gdy </w:t>
      </w:r>
      <w:r>
        <w:t>rozebrane balustrady umocowane są w elementach betonowych podlegających rozbiórce, w celu odłączenia słupków poręczy od betonu należy uprzednio rozkuć istniejący beton wokół zamocowań słupków.</w:t>
      </w:r>
    </w:p>
    <w:p w:rsidR="00B77F00" w:rsidRDefault="00865FA3">
      <w:pPr>
        <w:pStyle w:val="Standard"/>
        <w:jc w:val="both"/>
      </w:pPr>
      <w:r>
        <w:t>W przypadku, gdy rozbierane poręcze umocowane są w elementach b</w:t>
      </w:r>
      <w:r>
        <w:t xml:space="preserve">etonowych nie podlegających rozbiórce, </w:t>
      </w:r>
      <w:r>
        <w:lastRenderedPageBreak/>
        <w:t>słupki należy odciąć na głębokości 2 cm poniżej powierzchni betonu. Konieczne jest więc przy tym wykucie lokalnej wnęki w betonie, którą po rozbiórce poręczy należy wypełnić preparatem do napraw betonu.</w:t>
      </w:r>
    </w:p>
    <w:p w:rsidR="00B77F00" w:rsidRDefault="00B77F00">
      <w:pPr>
        <w:pStyle w:val="Standard"/>
        <w:jc w:val="both"/>
      </w:pPr>
    </w:p>
    <w:p w:rsidR="00B77F00" w:rsidRDefault="00865FA3">
      <w:pPr>
        <w:pStyle w:val="Standard"/>
        <w:jc w:val="both"/>
        <w:rPr>
          <w:b/>
          <w:bCs/>
        </w:rPr>
      </w:pPr>
      <w:r>
        <w:rPr>
          <w:b/>
          <w:bCs/>
        </w:rPr>
        <w:t xml:space="preserve">6. </w:t>
      </w:r>
      <w:r>
        <w:rPr>
          <w:b/>
          <w:bCs/>
        </w:rPr>
        <w:tab/>
        <w:t xml:space="preserve">KONTROLA </w:t>
      </w:r>
      <w:r>
        <w:rPr>
          <w:b/>
          <w:bCs/>
        </w:rPr>
        <w:t>JAKOŚCI ROBÓT</w:t>
      </w:r>
    </w:p>
    <w:p w:rsidR="00B77F00" w:rsidRDefault="00865FA3">
      <w:pPr>
        <w:pStyle w:val="Standard"/>
        <w:jc w:val="both"/>
      </w:pPr>
      <w:r>
        <w:t xml:space="preserve">6.1. </w:t>
      </w:r>
      <w:r>
        <w:tab/>
        <w:t>Ogólne zasady kontroli jakości robót</w:t>
      </w:r>
    </w:p>
    <w:p w:rsidR="00B77F00" w:rsidRDefault="00865FA3">
      <w:pPr>
        <w:pStyle w:val="Standard"/>
        <w:jc w:val="both"/>
      </w:pPr>
      <w:r>
        <w:t>Ogólne zasady kontroli jakości robót podano w ST DM.00.00.00 „Wymagania ogólne”.</w:t>
      </w:r>
    </w:p>
    <w:p w:rsidR="00B77F00" w:rsidRDefault="00865FA3">
      <w:pPr>
        <w:pStyle w:val="Standard"/>
        <w:jc w:val="both"/>
      </w:pPr>
      <w:r>
        <w:t xml:space="preserve">6.2. </w:t>
      </w:r>
      <w:r>
        <w:tab/>
        <w:t>Szczegółowe zasady kontroli jakości robót</w:t>
      </w:r>
    </w:p>
    <w:p w:rsidR="00B77F00" w:rsidRDefault="00865FA3">
      <w:pPr>
        <w:pStyle w:val="Standard"/>
        <w:jc w:val="both"/>
      </w:pPr>
      <w:r>
        <w:t>Kontrola obejmuje:</w:t>
      </w:r>
    </w:p>
    <w:p w:rsidR="00B77F00" w:rsidRDefault="00865FA3">
      <w:pPr>
        <w:pStyle w:val="Standard"/>
        <w:jc w:val="both"/>
      </w:pPr>
      <w:r>
        <w:t>sprawdzenie zakresu robót,</w:t>
      </w:r>
    </w:p>
    <w:p w:rsidR="00B77F00" w:rsidRDefault="00865FA3">
      <w:pPr>
        <w:pStyle w:val="Standard"/>
        <w:jc w:val="both"/>
      </w:pPr>
      <w:r>
        <w:t>sprawdzenie prawidłowośc</w:t>
      </w:r>
      <w:r>
        <w:t>i odłączenia poręczy od betonu,</w:t>
      </w:r>
    </w:p>
    <w:p w:rsidR="00B77F00" w:rsidRDefault="00865FA3">
      <w:pPr>
        <w:pStyle w:val="Standard"/>
        <w:jc w:val="both"/>
      </w:pPr>
      <w:r>
        <w:t>prawidłowość wypełnienia ewentualnych lokalnych wnęk zgodnie z pkt. 5 niniejszej Specyfikacji.</w:t>
      </w:r>
    </w:p>
    <w:p w:rsidR="00B77F00" w:rsidRDefault="00B77F00">
      <w:pPr>
        <w:pStyle w:val="Standard"/>
        <w:jc w:val="both"/>
      </w:pPr>
    </w:p>
    <w:p w:rsidR="00B77F00" w:rsidRDefault="00865FA3">
      <w:pPr>
        <w:pStyle w:val="Standard"/>
        <w:jc w:val="both"/>
        <w:rPr>
          <w:b/>
          <w:bCs/>
        </w:rPr>
      </w:pPr>
      <w:r>
        <w:rPr>
          <w:b/>
          <w:bCs/>
        </w:rPr>
        <w:t xml:space="preserve">7. </w:t>
      </w:r>
      <w:r>
        <w:rPr>
          <w:b/>
          <w:bCs/>
        </w:rPr>
        <w:tab/>
        <w:t>OBMIAR ROBÓT</w:t>
      </w:r>
    </w:p>
    <w:p w:rsidR="00B77F00" w:rsidRDefault="00865FA3">
      <w:pPr>
        <w:pStyle w:val="Standard"/>
        <w:jc w:val="both"/>
      </w:pPr>
      <w:r>
        <w:t xml:space="preserve">7.1. </w:t>
      </w:r>
      <w:r>
        <w:tab/>
        <w:t>Ogólne zasady obmiaru robót</w:t>
      </w:r>
    </w:p>
    <w:p w:rsidR="00B77F00" w:rsidRDefault="00865FA3">
      <w:pPr>
        <w:pStyle w:val="Standard"/>
        <w:jc w:val="both"/>
      </w:pPr>
      <w:r>
        <w:t>Ogólne zasady obmiaru robót podano w ST DM.00.00.00 „Wymagania ogólne”.</w:t>
      </w:r>
    </w:p>
    <w:p w:rsidR="00B77F00" w:rsidRDefault="00865FA3">
      <w:pPr>
        <w:pStyle w:val="Standard"/>
        <w:jc w:val="both"/>
      </w:pPr>
      <w:r>
        <w:t xml:space="preserve">7.2. </w:t>
      </w:r>
      <w:r>
        <w:tab/>
        <w:t>Jednostka obmiarowa</w:t>
      </w:r>
    </w:p>
    <w:p w:rsidR="00B77F00" w:rsidRDefault="00865FA3">
      <w:pPr>
        <w:pStyle w:val="Standard"/>
        <w:jc w:val="both"/>
      </w:pPr>
      <w:r>
        <w:t>Jednostką obmiaru jest 1 m (metr) rozebranej balustrady.</w:t>
      </w:r>
    </w:p>
    <w:p w:rsidR="00B77F00" w:rsidRDefault="00B77F00">
      <w:pPr>
        <w:pStyle w:val="Standard"/>
        <w:jc w:val="both"/>
        <w:rPr>
          <w:b/>
          <w:bCs/>
        </w:rPr>
      </w:pPr>
    </w:p>
    <w:p w:rsidR="00B77F00" w:rsidRDefault="00865FA3">
      <w:pPr>
        <w:pStyle w:val="Standard"/>
        <w:jc w:val="both"/>
        <w:rPr>
          <w:b/>
          <w:bCs/>
        </w:rPr>
      </w:pPr>
      <w:r>
        <w:rPr>
          <w:b/>
          <w:bCs/>
        </w:rPr>
        <w:t xml:space="preserve">8. </w:t>
      </w:r>
      <w:r>
        <w:rPr>
          <w:b/>
          <w:bCs/>
        </w:rPr>
        <w:tab/>
        <w:t>ODBIÓR ROBÓT</w:t>
      </w:r>
    </w:p>
    <w:p w:rsidR="00B77F00" w:rsidRDefault="00865FA3">
      <w:pPr>
        <w:pStyle w:val="Standard"/>
        <w:jc w:val="both"/>
      </w:pPr>
      <w:r>
        <w:t xml:space="preserve">8.1. </w:t>
      </w:r>
      <w:r>
        <w:tab/>
        <w:t>Ogólne zasady odbioru robót</w:t>
      </w:r>
    </w:p>
    <w:p w:rsidR="00B77F00" w:rsidRDefault="00865FA3">
      <w:pPr>
        <w:pStyle w:val="Standard"/>
        <w:jc w:val="both"/>
      </w:pPr>
      <w:r>
        <w:t>Ogólne zasady odbioru robót podano w ST DM.00.00.00 „Wymagania ogólne”.</w:t>
      </w:r>
    </w:p>
    <w:p w:rsidR="00B77F00" w:rsidRDefault="00865FA3">
      <w:pPr>
        <w:pStyle w:val="Standard"/>
        <w:jc w:val="both"/>
      </w:pPr>
      <w:r>
        <w:t xml:space="preserve">8.2. </w:t>
      </w:r>
      <w:r>
        <w:tab/>
        <w:t>Szczegółowe zasady odbioru robót</w:t>
      </w:r>
    </w:p>
    <w:p w:rsidR="00B77F00" w:rsidRDefault="00865FA3">
      <w:pPr>
        <w:pStyle w:val="Standard"/>
        <w:jc w:val="both"/>
      </w:pPr>
      <w:r>
        <w:t xml:space="preserve">Przewiduje się </w:t>
      </w:r>
      <w:r>
        <w:t>dokonanie odbioru końcowego polegającego na stwierdzeniu wykonania całości zakresu robót oraz zachowania warunków podanych w pkt.6. niniejszej Specyfikacji.</w:t>
      </w:r>
    </w:p>
    <w:p w:rsidR="00B77F00" w:rsidRDefault="00B77F00">
      <w:pPr>
        <w:pStyle w:val="Standard"/>
        <w:jc w:val="both"/>
      </w:pPr>
    </w:p>
    <w:p w:rsidR="00B77F00" w:rsidRDefault="00865FA3">
      <w:pPr>
        <w:pStyle w:val="Standard"/>
        <w:jc w:val="both"/>
        <w:rPr>
          <w:b/>
          <w:bCs/>
        </w:rPr>
      </w:pPr>
      <w:r>
        <w:rPr>
          <w:b/>
          <w:bCs/>
        </w:rPr>
        <w:t>9.</w:t>
      </w:r>
      <w:r>
        <w:rPr>
          <w:b/>
          <w:bCs/>
        </w:rPr>
        <w:tab/>
        <w:t>PODSTAWA PŁATNOŚCI</w:t>
      </w:r>
    </w:p>
    <w:p w:rsidR="00B77F00" w:rsidRDefault="00865FA3">
      <w:pPr>
        <w:pStyle w:val="Standard"/>
        <w:jc w:val="both"/>
      </w:pPr>
      <w:r>
        <w:t xml:space="preserve">9.1. </w:t>
      </w:r>
      <w:r>
        <w:tab/>
        <w:t>Ogólne ustalenia dotyczące podstawy płatności</w:t>
      </w:r>
    </w:p>
    <w:p w:rsidR="00B77F00" w:rsidRDefault="00865FA3">
      <w:pPr>
        <w:pStyle w:val="Standard"/>
        <w:jc w:val="both"/>
      </w:pPr>
      <w:r>
        <w:t>Ogólne ustalenia dotycz</w:t>
      </w:r>
      <w:r>
        <w:t>ące podstawy płatności podano w ST DM.00.00.00 „Wymagania ogólne”.</w:t>
      </w:r>
    </w:p>
    <w:p w:rsidR="00B77F00" w:rsidRDefault="00865FA3">
      <w:pPr>
        <w:pStyle w:val="Standard"/>
        <w:jc w:val="both"/>
      </w:pPr>
      <w:r>
        <w:t xml:space="preserve">9.2. </w:t>
      </w:r>
      <w:r>
        <w:tab/>
        <w:t>Cena jednostki obmiarowej</w:t>
      </w:r>
    </w:p>
    <w:p w:rsidR="00B77F00" w:rsidRDefault="00865FA3">
      <w:pPr>
        <w:pStyle w:val="Standard"/>
        <w:jc w:val="both"/>
      </w:pPr>
      <w:r>
        <w:t>Cena jednostkowa uwzględnia:</w:t>
      </w:r>
    </w:p>
    <w:p w:rsidR="00B77F00" w:rsidRDefault="00865FA3">
      <w:pPr>
        <w:pStyle w:val="Standard"/>
        <w:jc w:val="both"/>
      </w:pPr>
      <w:r>
        <w:t xml:space="preserve">-koszt urządzeń pomocniczych zapewniających bezpieczeństwo pracy przy prowadzeniu robót rozbiórkowych oraz bezpieczeństwo </w:t>
      </w:r>
      <w:r>
        <w:t>użytkowników tras komunikacyjnych w obrębie prowadzenia prac rozbiórkowych,</w:t>
      </w:r>
    </w:p>
    <w:p w:rsidR="00B77F00" w:rsidRDefault="00865FA3">
      <w:pPr>
        <w:pStyle w:val="Standard"/>
        <w:jc w:val="both"/>
      </w:pPr>
      <w:r>
        <w:t>-rozbiórka elementów,</w:t>
      </w:r>
    </w:p>
    <w:p w:rsidR="00B77F00" w:rsidRDefault="00865FA3">
      <w:pPr>
        <w:pStyle w:val="Standard"/>
        <w:jc w:val="both"/>
      </w:pPr>
      <w:r>
        <w:t>-pocięcie demontowanej balustrady na elementy transportowe,</w:t>
      </w:r>
    </w:p>
    <w:p w:rsidR="00B77F00" w:rsidRDefault="00865FA3">
      <w:pPr>
        <w:pStyle w:val="Standard"/>
        <w:jc w:val="both"/>
      </w:pPr>
      <w:r>
        <w:t>-odwóz rozebranych elementów na składowisko Wykonawcy,</w:t>
      </w:r>
    </w:p>
    <w:p w:rsidR="00B77F00" w:rsidRDefault="00865FA3">
      <w:pPr>
        <w:pStyle w:val="Standard"/>
        <w:jc w:val="both"/>
      </w:pPr>
      <w:r>
        <w:t>-koszt utylizacji,</w:t>
      </w:r>
    </w:p>
    <w:p w:rsidR="00B77F00" w:rsidRDefault="00865FA3">
      <w:pPr>
        <w:pStyle w:val="Standard"/>
        <w:jc w:val="both"/>
      </w:pPr>
      <w:r>
        <w:t>-oczyszczenie miejsca pr</w:t>
      </w:r>
      <w:r>
        <w:t>acy.</w:t>
      </w:r>
    </w:p>
    <w:p w:rsidR="00B77F00" w:rsidRDefault="00B77F00">
      <w:pPr>
        <w:pStyle w:val="Standard"/>
        <w:jc w:val="both"/>
      </w:pPr>
    </w:p>
    <w:p w:rsidR="00B77F00" w:rsidRDefault="00865FA3">
      <w:pPr>
        <w:pStyle w:val="Standard"/>
        <w:jc w:val="both"/>
        <w:rPr>
          <w:b/>
          <w:bCs/>
        </w:rPr>
      </w:pPr>
      <w:r>
        <w:rPr>
          <w:b/>
          <w:bCs/>
        </w:rPr>
        <w:t>W wycenie pozycji należy ująć wszystkie niezbędne materiały oraz czynniki do wykonania robót.</w:t>
      </w:r>
    </w:p>
    <w:p w:rsidR="00B77F00" w:rsidRDefault="00B77F00">
      <w:pPr>
        <w:pStyle w:val="Standard"/>
        <w:jc w:val="both"/>
        <w:rPr>
          <w:b/>
          <w:bCs/>
        </w:rPr>
      </w:pPr>
    </w:p>
    <w:p w:rsidR="00B77F00" w:rsidRDefault="00865FA3">
      <w:pPr>
        <w:pStyle w:val="Standard"/>
        <w:jc w:val="both"/>
        <w:rPr>
          <w:b/>
          <w:bCs/>
        </w:rPr>
      </w:pPr>
      <w:r>
        <w:rPr>
          <w:b/>
          <w:bCs/>
        </w:rPr>
        <w:t xml:space="preserve">10. </w:t>
      </w:r>
      <w:r>
        <w:rPr>
          <w:b/>
          <w:bCs/>
        </w:rPr>
        <w:tab/>
        <w:t>PRZEPISY ZWIĄZANE</w:t>
      </w:r>
    </w:p>
    <w:p w:rsidR="00B77F00" w:rsidRDefault="00865FA3">
      <w:pPr>
        <w:pStyle w:val="Standard"/>
        <w:jc w:val="both"/>
      </w:pPr>
      <w:r>
        <w:t>Nie występują.</w:t>
      </w:r>
      <w:bookmarkEnd w:id="23"/>
    </w:p>
    <w:sectPr w:rsidR="00B77F00">
      <w:headerReference w:type="default" r:id="rId51"/>
      <w:footerReference w:type="default" r:id="rId52"/>
      <w:pgSz w:w="11906" w:h="16838"/>
      <w:pgMar w:top="632" w:right="1134" w:bottom="1785" w:left="1134" w:header="708" w:footer="1134"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65FA3" w:rsidRDefault="00865FA3">
      <w:r>
        <w:separator/>
      </w:r>
    </w:p>
  </w:endnote>
  <w:endnote w:type="continuationSeparator" w:id="0">
    <w:p w:rsidR="00865FA3" w:rsidRDefault="00865F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Arial Unicode MS'">
    <w:altName w:val="Calibri"/>
    <w:charset w:val="00"/>
    <w:family w:val="auto"/>
    <w:pitch w:val="default"/>
  </w:font>
  <w:font w:name="Courier New">
    <w:panose1 w:val="02070309020205020404"/>
    <w:charset w:val="EE"/>
    <w:family w:val="modern"/>
    <w:pitch w:val="fixed"/>
    <w:sig w:usb0="E0002EFF" w:usb1="C0007843" w:usb2="00000009" w:usb3="00000000" w:csb0="000001FF" w:csb1="00000000"/>
  </w:font>
  <w:font w:name="OpenSymbol">
    <w:altName w:val="Segoe UI Symbol"/>
    <w:charset w:val="02"/>
    <w:family w:val="auto"/>
    <w:pitch w:val="default"/>
  </w:font>
  <w:font w:name="Arial">
    <w:panose1 w:val="020B0604020202020204"/>
    <w:charset w:val="EE"/>
    <w:family w:val="swiss"/>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Andale Sans UI">
    <w:charset w:val="00"/>
    <w:family w:val="auto"/>
    <w:pitch w:val="variable"/>
  </w:font>
  <w:font w:name="Tahoma">
    <w:panose1 w:val="020B0604030504040204"/>
    <w:charset w:val="EE"/>
    <w:family w:val="swiss"/>
    <w:pitch w:val="variable"/>
    <w:sig w:usb0="E1002EFF" w:usb1="C000605B" w:usb2="00000029" w:usb3="00000000" w:csb0="000101FF" w:csb1="00000000"/>
  </w:font>
  <w:font w:name="Bookman Old Style">
    <w:panose1 w:val="02050604050505020204"/>
    <w:charset w:val="EE"/>
    <w:family w:val="roman"/>
    <w:pitch w:val="variable"/>
    <w:sig w:usb0="00000287" w:usb1="00000000" w:usb2="00000000" w:usb3="00000000" w:csb0="0000009F" w:csb1="00000000"/>
  </w:font>
  <w:font w:name="CG Times">
    <w:charset w:val="00"/>
    <w:family w:val="roman"/>
    <w:pitch w:val="variable"/>
  </w:font>
  <w:font w:name="Times New Roman CE">
    <w:panose1 w:val="02020603050405020304"/>
    <w:charset w:val="00"/>
    <w:family w:val="roman"/>
    <w:pitch w:val="variable"/>
  </w:font>
  <w:font w:name="Calibri">
    <w:panose1 w:val="020F0502020204030204"/>
    <w:charset w:val="EE"/>
    <w:family w:val="swiss"/>
    <w:pitch w:val="variable"/>
    <w:sig w:usb0="E0002AFF" w:usb1="C000247B" w:usb2="00000009" w:usb3="00000000" w:csb0="000001FF" w:csb1="00000000"/>
  </w:font>
  <w:font w:name="Calibi">
    <w:charset w:val="00"/>
    <w:family w:val="auto"/>
    <w:pitch w:val="default"/>
  </w:font>
  <w:font w:name="Verdana">
    <w:panose1 w:val="020B0604030504040204"/>
    <w:charset w:val="EE"/>
    <w:family w:val="swiss"/>
    <w:pitch w:val="variable"/>
    <w:sig w:usb0="A10006FF" w:usb1="4000205B" w:usb2="00000010" w:usb3="00000000" w:csb0="0000019F" w:csb1="00000000"/>
  </w:font>
  <w:font w:name="Calibri Light">
    <w:panose1 w:val="020F03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338C5" w:rsidRDefault="00865FA3">
    <w:pPr>
      <w:pStyle w:val="Stopka"/>
      <w:pBdr>
        <w:top w:val="single" w:sz="2" w:space="1" w:color="000000"/>
        <w:left w:val="single" w:sz="2" w:space="1" w:color="000000"/>
        <w:bottom w:val="single" w:sz="2" w:space="1" w:color="000000"/>
        <w:right w:val="single" w:sz="2" w:space="1" w:color="000000"/>
      </w:pBdr>
    </w:pPr>
    <w:r>
      <w:t>M.31.00.00 Roboty rozbiórkowe</w:t>
    </w:r>
  </w:p>
  <w:p w:rsidR="001338C5" w:rsidRDefault="00865FA3">
    <w:pPr>
      <w:pStyle w:val="Stopka"/>
      <w:tabs>
        <w:tab w:val="clear" w:pos="4818"/>
      </w:tabs>
    </w:pPr>
    <w:r>
      <w:t>M.31.01.00 Rozbiórka, wywóz i utylizacja elementów</w:t>
    </w:r>
  </w:p>
  <w:p w:rsidR="001338C5" w:rsidRDefault="00865FA3">
    <w:pPr>
      <w:pStyle w:val="Stopka"/>
      <w:pBdr>
        <w:top w:val="single" w:sz="2" w:space="1" w:color="000000"/>
        <w:left w:val="single" w:sz="2" w:space="1" w:color="000000"/>
        <w:bottom w:val="single" w:sz="2" w:space="1" w:color="000000"/>
        <w:right w:val="single" w:sz="2" w:space="1" w:color="000000"/>
      </w:pBdr>
      <w:tabs>
        <w:tab w:val="clear" w:pos="4818"/>
      </w:tabs>
    </w:pPr>
    <w:r>
      <w:t>M.31.01.06 Rozbiórka, wywóz i utylizacja balustrad</w:t>
    </w:r>
    <w:r>
      <w:tab/>
    </w:r>
    <w:r>
      <w:fldChar w:fldCharType="begin"/>
    </w:r>
    <w:r>
      <w:instrText xml:space="preserve"> PAGE </w:instrText>
    </w:r>
    <w:r>
      <w:fldChar w:fldCharType="separate"/>
    </w:r>
    <w:r w:rsidR="001B5F46">
      <w:rPr>
        <w:noProof/>
      </w:rPr>
      <w:t>1</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338C5" w:rsidRDefault="00865FA3">
    <w:pPr>
      <w:pStyle w:val="Stopka"/>
      <w:pBdr>
        <w:top w:val="single" w:sz="2" w:space="1" w:color="000000"/>
        <w:left w:val="single" w:sz="2" w:space="1" w:color="000000"/>
        <w:bottom w:val="single" w:sz="2" w:space="1" w:color="000000"/>
        <w:right w:val="single" w:sz="2" w:space="1" w:color="000000"/>
      </w:pBdr>
    </w:pPr>
    <w:r>
      <w:t>M.31.00.00 Roboty rozbiórkowe</w:t>
    </w:r>
  </w:p>
  <w:p w:rsidR="001338C5" w:rsidRDefault="00865FA3">
    <w:pPr>
      <w:pStyle w:val="Stopka"/>
      <w:tabs>
        <w:tab w:val="clear" w:pos="4818"/>
      </w:tabs>
    </w:pPr>
    <w:r>
      <w:t>M.31.01.00 Rozbiórka, wywóz i utylizacja elementów</w:t>
    </w:r>
  </w:p>
  <w:p w:rsidR="001338C5" w:rsidRDefault="00865FA3">
    <w:pPr>
      <w:pStyle w:val="Stopka"/>
      <w:pBdr>
        <w:top w:val="single" w:sz="2" w:space="1" w:color="000000"/>
        <w:left w:val="single" w:sz="2" w:space="1" w:color="000000"/>
        <w:bottom w:val="single" w:sz="2" w:space="1" w:color="000000"/>
        <w:right w:val="single" w:sz="2" w:space="1" w:color="000000"/>
      </w:pBdr>
      <w:tabs>
        <w:tab w:val="clear" w:pos="4818"/>
      </w:tabs>
    </w:pPr>
    <w:r>
      <w:t>M.31.01.06 Rozbiórka, wywóz i utylizacja balustrad</w:t>
    </w:r>
    <w:r>
      <w:tab/>
    </w:r>
    <w:r>
      <w:fldChar w:fldCharType="begin"/>
    </w:r>
    <w:r>
      <w:instrText xml:space="preserve"> PAGE </w:instrText>
    </w:r>
    <w:r>
      <w:fldChar w:fldCharType="separate"/>
    </w:r>
    <w:r w:rsidR="001B5F46">
      <w:rPr>
        <w:noProof/>
      </w:rPr>
      <w:t>2</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338C5" w:rsidRDefault="00865FA3">
    <w:pPr>
      <w:pStyle w:val="Stopka"/>
      <w:pBdr>
        <w:top w:val="single" w:sz="2" w:space="1" w:color="000000"/>
        <w:left w:val="single" w:sz="2" w:space="1" w:color="000000"/>
        <w:bottom w:val="single" w:sz="2" w:space="1" w:color="000000"/>
        <w:right w:val="single" w:sz="2" w:space="1" w:color="000000"/>
      </w:pBdr>
    </w:pPr>
    <w:r>
      <w:t>M.31.00.00 Roboty rozbiórkowe</w:t>
    </w:r>
  </w:p>
  <w:p w:rsidR="001338C5" w:rsidRDefault="00865FA3">
    <w:pPr>
      <w:pStyle w:val="Stopka"/>
      <w:tabs>
        <w:tab w:val="clear" w:pos="4818"/>
      </w:tabs>
    </w:pPr>
    <w:r>
      <w:t>M.31.01.00 Rozbiórka, wywóz i utylizacja elementów</w:t>
    </w:r>
  </w:p>
  <w:p w:rsidR="001338C5" w:rsidRDefault="00865FA3">
    <w:pPr>
      <w:pStyle w:val="Stopka"/>
      <w:pBdr>
        <w:top w:val="single" w:sz="2" w:space="1" w:color="000000"/>
        <w:left w:val="single" w:sz="2" w:space="1" w:color="000000"/>
        <w:bottom w:val="single" w:sz="2" w:space="1" w:color="000000"/>
        <w:right w:val="single" w:sz="2" w:space="1" w:color="000000"/>
      </w:pBdr>
      <w:tabs>
        <w:tab w:val="clear" w:pos="4818"/>
      </w:tabs>
    </w:pPr>
    <w:r>
      <w:t>M.31.01.06 Rozbiórka, wywóz i utylizacja balustrad</w:t>
    </w:r>
    <w:r>
      <w:tab/>
    </w:r>
    <w:r>
      <w:fldChar w:fldCharType="begin"/>
    </w:r>
    <w:r>
      <w:instrText xml:space="preserve"> PAGE </w:instrText>
    </w:r>
    <w:r>
      <w:fldChar w:fldCharType="separate"/>
    </w:r>
    <w:r w:rsidR="001B5F46">
      <w:rPr>
        <w:noProof/>
      </w:rPr>
      <w:t>71</w:t>
    </w:r>
    <w: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338C5" w:rsidRDefault="00865FA3">
    <w:pPr>
      <w:pStyle w:val="Stopka"/>
      <w:pBdr>
        <w:top w:val="single" w:sz="2" w:space="1" w:color="000000"/>
        <w:left w:val="single" w:sz="2" w:space="1" w:color="000000"/>
        <w:bottom w:val="single" w:sz="2" w:space="1" w:color="000000"/>
        <w:right w:val="single" w:sz="2" w:space="1" w:color="000000"/>
      </w:pBdr>
    </w:pPr>
    <w:r>
      <w:t>M.31.00.00 Roboty rozbiórkowe</w:t>
    </w:r>
  </w:p>
  <w:p w:rsidR="001338C5" w:rsidRDefault="00865FA3">
    <w:pPr>
      <w:pStyle w:val="Stopka"/>
      <w:tabs>
        <w:tab w:val="clear" w:pos="4818"/>
      </w:tabs>
    </w:pPr>
    <w:r>
      <w:t>M.31.01.00 Rozbiórka, wywóz i utylizacja elementów</w:t>
    </w:r>
  </w:p>
  <w:p w:rsidR="001338C5" w:rsidRDefault="00865FA3">
    <w:pPr>
      <w:pStyle w:val="Stopka"/>
      <w:pBdr>
        <w:top w:val="single" w:sz="2" w:space="1" w:color="000000"/>
        <w:left w:val="single" w:sz="2" w:space="1" w:color="000000"/>
        <w:bottom w:val="single" w:sz="2" w:space="1" w:color="000000"/>
        <w:right w:val="single" w:sz="2" w:space="1" w:color="000000"/>
      </w:pBdr>
      <w:tabs>
        <w:tab w:val="clear" w:pos="4818"/>
      </w:tabs>
    </w:pPr>
    <w:r>
      <w:t>M.31.01.06 Rozbiórka, wywóz i utylizacja balustrad</w:t>
    </w:r>
    <w:r>
      <w:tab/>
    </w:r>
    <w:r>
      <w:fldChar w:fldCharType="begin"/>
    </w:r>
    <w:r>
      <w:instrText xml:space="preserve"> PAGE </w:instrText>
    </w:r>
    <w:r>
      <w:fldChar w:fldCharType="separate"/>
    </w:r>
    <w:r w:rsidR="001B5F46">
      <w:rPr>
        <w:noProof/>
      </w:rPr>
      <w:t>78</w:t>
    </w:r>
    <w: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338C5" w:rsidRDefault="00865FA3">
    <w:pPr>
      <w:pStyle w:val="Stopka"/>
      <w:pBdr>
        <w:top w:val="single" w:sz="2" w:space="1" w:color="000000"/>
        <w:left w:val="single" w:sz="2" w:space="1" w:color="000000"/>
        <w:bottom w:val="single" w:sz="2" w:space="1" w:color="000000"/>
        <w:right w:val="single" w:sz="2" w:space="1" w:color="000000"/>
      </w:pBdr>
    </w:pPr>
    <w:r>
      <w:t>M.31.00.00 Roboty rozbiórkowe</w:t>
    </w:r>
  </w:p>
  <w:p w:rsidR="001338C5" w:rsidRDefault="00865FA3">
    <w:pPr>
      <w:pStyle w:val="Stopka"/>
      <w:tabs>
        <w:tab w:val="clear" w:pos="4818"/>
      </w:tabs>
    </w:pPr>
    <w:r>
      <w:t>M.31.01.00 Rozbiórka, wywóz i utylizacja elementów</w:t>
    </w:r>
  </w:p>
  <w:p w:rsidR="001338C5" w:rsidRDefault="00865FA3">
    <w:pPr>
      <w:pStyle w:val="Stopka"/>
      <w:pBdr>
        <w:top w:val="single" w:sz="2" w:space="1" w:color="000000"/>
        <w:left w:val="single" w:sz="2" w:space="1" w:color="000000"/>
        <w:bottom w:val="single" w:sz="2" w:space="1" w:color="000000"/>
        <w:right w:val="single" w:sz="2" w:space="1" w:color="000000"/>
      </w:pBdr>
      <w:tabs>
        <w:tab w:val="clear" w:pos="4818"/>
      </w:tabs>
    </w:pPr>
    <w:r>
      <w:t>M.31.01.06 Rozbiórka, wywóz i utylizacja balustrad</w:t>
    </w:r>
    <w:r>
      <w:tab/>
    </w:r>
    <w:r>
      <w:fldChar w:fldCharType="begin"/>
    </w:r>
    <w:r>
      <w:instrText xml:space="preserve"> PAGE </w:instrText>
    </w:r>
    <w:r>
      <w:fldChar w:fldCharType="separate"/>
    </w:r>
    <w:r w:rsidR="001B5F46">
      <w:rPr>
        <w:noProof/>
      </w:rPr>
      <w:t>91</w:t>
    </w:r>
    <w: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338C5" w:rsidRDefault="00865FA3">
    <w:pPr>
      <w:pStyle w:val="Stopka"/>
      <w:pBdr>
        <w:top w:val="single" w:sz="2" w:space="1" w:color="000000"/>
        <w:left w:val="single" w:sz="2" w:space="1" w:color="000000"/>
        <w:bottom w:val="single" w:sz="2" w:space="1" w:color="000000"/>
        <w:right w:val="single" w:sz="2" w:space="1" w:color="000000"/>
      </w:pBdr>
    </w:pPr>
    <w:r>
      <w:t>M.31.00.00 Roboty rozbiórkowe</w:t>
    </w:r>
  </w:p>
  <w:p w:rsidR="001338C5" w:rsidRDefault="00865FA3">
    <w:pPr>
      <w:pStyle w:val="Stopka"/>
      <w:tabs>
        <w:tab w:val="clear" w:pos="4818"/>
      </w:tabs>
    </w:pPr>
    <w:r>
      <w:t>M.31.01.00 Rozbiórka, wywóz i utylizacja elementów</w:t>
    </w:r>
  </w:p>
  <w:p w:rsidR="001338C5" w:rsidRDefault="00865FA3">
    <w:pPr>
      <w:pStyle w:val="Stopka"/>
      <w:pBdr>
        <w:top w:val="single" w:sz="2" w:space="1" w:color="000000"/>
        <w:left w:val="single" w:sz="2" w:space="1" w:color="000000"/>
        <w:bottom w:val="single" w:sz="2" w:space="1" w:color="000000"/>
        <w:right w:val="single" w:sz="2" w:space="1" w:color="000000"/>
      </w:pBdr>
      <w:tabs>
        <w:tab w:val="clear" w:pos="4818"/>
      </w:tabs>
    </w:pPr>
    <w:r>
      <w:t>M.31.01.06 Rozbiórka, wywóz i utylizacja balustrad</w:t>
    </w:r>
    <w:r>
      <w:tab/>
    </w:r>
    <w:r>
      <w:fldChar w:fldCharType="begin"/>
    </w:r>
    <w:r>
      <w:instrText xml:space="preserve"> PAGE </w:instrText>
    </w:r>
    <w:r>
      <w:fldChar w:fldCharType="separate"/>
    </w:r>
    <w:r w:rsidR="001B5F46">
      <w:rPr>
        <w:noProof/>
      </w:rPr>
      <w:t>100</w:t>
    </w:r>
    <w: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338C5" w:rsidRDefault="00865FA3">
    <w:pPr>
      <w:pStyle w:val="Stopka"/>
      <w:pBdr>
        <w:top w:val="single" w:sz="2" w:space="1" w:color="000000"/>
        <w:left w:val="single" w:sz="2" w:space="1" w:color="000000"/>
        <w:bottom w:val="single" w:sz="2" w:space="1" w:color="000000"/>
        <w:right w:val="single" w:sz="2" w:space="1" w:color="000000"/>
      </w:pBdr>
    </w:pPr>
    <w:r>
      <w:t>M.31.00.00 Roboty rozbiórkowe</w:t>
    </w:r>
  </w:p>
  <w:p w:rsidR="001338C5" w:rsidRDefault="00865FA3">
    <w:pPr>
      <w:pStyle w:val="Stopka"/>
      <w:tabs>
        <w:tab w:val="clear" w:pos="4818"/>
      </w:tabs>
    </w:pPr>
    <w:r>
      <w:t>M.31.01.00 Rozbiórka, wywóz i utylizacja elementów</w:t>
    </w:r>
  </w:p>
  <w:p w:rsidR="001338C5" w:rsidRDefault="00865FA3">
    <w:pPr>
      <w:pStyle w:val="Stopka"/>
      <w:pBdr>
        <w:top w:val="single" w:sz="2" w:space="1" w:color="000000"/>
        <w:left w:val="single" w:sz="2" w:space="1" w:color="000000"/>
        <w:bottom w:val="single" w:sz="2" w:space="1" w:color="000000"/>
        <w:right w:val="single" w:sz="2" w:space="1" w:color="000000"/>
      </w:pBdr>
      <w:tabs>
        <w:tab w:val="clear" w:pos="4818"/>
      </w:tabs>
    </w:pPr>
    <w:r>
      <w:t>M.31.01.06 Rozbiórka, wywóz i utylizacja balustrad</w:t>
    </w:r>
    <w:r>
      <w:tab/>
    </w:r>
    <w:r>
      <w:fldChar w:fldCharType="begin"/>
    </w:r>
    <w:r>
      <w:instrText xml:space="preserve"> PAGE </w:instrText>
    </w:r>
    <w:r>
      <w:fldChar w:fldCharType="separate"/>
    </w:r>
    <w:r w:rsidR="001B5F46">
      <w:rPr>
        <w:noProof/>
      </w:rPr>
      <w:t>105</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65FA3" w:rsidRDefault="00865FA3">
      <w:r>
        <w:rPr>
          <w:color w:val="000000"/>
        </w:rPr>
        <w:separator/>
      </w:r>
    </w:p>
  </w:footnote>
  <w:footnote w:type="continuationSeparator" w:id="0">
    <w:p w:rsidR="00865FA3" w:rsidRDefault="00865FA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338C5" w:rsidRDefault="00865FA3">
    <w:pPr>
      <w:pStyle w:val="Nagwek"/>
      <w:tabs>
        <w:tab w:val="right" w:pos="10205"/>
      </w:tabs>
      <w:rPr>
        <w:u w:val="single"/>
      </w:rPr>
    </w:pPr>
    <w:r>
      <w:rPr>
        <w:u w:val="single"/>
      </w:rPr>
      <w:t>BIURO KONSTRUKCYJNE REJPROJEKT</w:t>
    </w:r>
    <w:r>
      <w:rPr>
        <w:u w:val="single"/>
      </w:rPr>
      <w:tab/>
      <w:t>SSTWiORB – BRANŻA MOSTOWA</w:t>
    </w:r>
  </w:p>
  <w:p w:rsidR="001338C5" w:rsidRDefault="00865FA3">
    <w:pPr>
      <w:pStyle w:val="Stopka"/>
      <w:jc w:val="center"/>
    </w:pPr>
    <w:r>
      <w:rPr>
        <w:szCs w:val="16"/>
      </w:rPr>
      <w:t xml:space="preserve">Zadanie pn.: </w:t>
    </w:r>
    <w:r>
      <w:rPr>
        <w:rStyle w:val="WW-DefaultParagraphFont"/>
        <w:rFonts w:eastAsia="Andale Sans UI"/>
        <w:spacing w:val="-3"/>
        <w:sz w:val="16"/>
        <w:szCs w:val="16"/>
      </w:rPr>
      <w:t>„Remont mostu na rzece Wiązownica w msc. Wrzos w ciągu drogi powiatowej nr 3501W Wrzeszczów – Wrzos - Domaniów w km 4+206”.</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338C5" w:rsidRDefault="00865FA3">
    <w:pPr>
      <w:pStyle w:val="Nagwek"/>
      <w:tabs>
        <w:tab w:val="right" w:pos="10205"/>
      </w:tabs>
      <w:rPr>
        <w:u w:val="single"/>
      </w:rPr>
    </w:pPr>
    <w:r>
      <w:rPr>
        <w:u w:val="single"/>
      </w:rPr>
      <w:t>BIURO KONSTRUKCYJNE REJPROJEKT</w:t>
    </w:r>
    <w:r>
      <w:rPr>
        <w:u w:val="single"/>
      </w:rPr>
      <w:tab/>
      <w:t>SSTWiORB – BRANŻA MOSTOWA</w:t>
    </w:r>
  </w:p>
  <w:p w:rsidR="001338C5" w:rsidRDefault="00865FA3">
    <w:pPr>
      <w:pStyle w:val="Stopka"/>
      <w:jc w:val="center"/>
    </w:pPr>
    <w:r>
      <w:rPr>
        <w:szCs w:val="16"/>
      </w:rPr>
      <w:t xml:space="preserve">Zadanie pn.: </w:t>
    </w:r>
    <w:r>
      <w:rPr>
        <w:rStyle w:val="WW-DefaultParagraphFont"/>
        <w:rFonts w:eastAsia="Andale Sans UI"/>
        <w:spacing w:val="-3"/>
        <w:sz w:val="16"/>
        <w:szCs w:val="16"/>
      </w:rPr>
      <w:t>„Remont mostu na rzece Wiązownica w msc. Wrzos w ciągu drogi powiatowej nr 3501W Wrzeszczów – Wrzos - Domaniów w km 4+206”.</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338C5" w:rsidRDefault="00865FA3">
    <w:pPr>
      <w:pStyle w:val="Nagwek"/>
      <w:tabs>
        <w:tab w:val="right" w:pos="10205"/>
      </w:tabs>
      <w:rPr>
        <w:u w:val="single"/>
      </w:rPr>
    </w:pPr>
    <w:r>
      <w:rPr>
        <w:u w:val="single"/>
      </w:rPr>
      <w:t>BIURO KONSTRUKCYJNE REJPROJEKT</w:t>
    </w:r>
    <w:r>
      <w:rPr>
        <w:u w:val="single"/>
      </w:rPr>
      <w:tab/>
      <w:t>SSTWiORB – BRANŻA MOSTOWA</w:t>
    </w:r>
  </w:p>
  <w:p w:rsidR="001338C5" w:rsidRDefault="00865FA3">
    <w:pPr>
      <w:pStyle w:val="Stopka"/>
      <w:jc w:val="center"/>
    </w:pPr>
    <w:r>
      <w:rPr>
        <w:szCs w:val="16"/>
      </w:rPr>
      <w:t xml:space="preserve">Zadanie pn.: </w:t>
    </w:r>
    <w:r>
      <w:rPr>
        <w:rStyle w:val="WW-DefaultParagraphFont"/>
        <w:rFonts w:eastAsia="Andale Sans UI"/>
        <w:spacing w:val="-3"/>
        <w:sz w:val="16"/>
        <w:szCs w:val="16"/>
      </w:rPr>
      <w:t>„Remont mostu na rzece Wiązownica w msc. Wrzos w ciągu drogi powiatowej nr 3501W Wrzeszczów – Wrzos - Domaniów w km 4+206”.</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338C5" w:rsidRDefault="00865FA3">
    <w:pPr>
      <w:pStyle w:val="Nagwek"/>
      <w:tabs>
        <w:tab w:val="right" w:pos="10205"/>
      </w:tabs>
      <w:rPr>
        <w:u w:val="single"/>
      </w:rPr>
    </w:pPr>
    <w:r>
      <w:rPr>
        <w:u w:val="single"/>
      </w:rPr>
      <w:t>BIURO KONSTRUKCYJNE REJPROJEKT</w:t>
    </w:r>
    <w:r>
      <w:rPr>
        <w:u w:val="single"/>
      </w:rPr>
      <w:tab/>
      <w:t>SSTWiORB – BRANŻA MOSTOWA</w:t>
    </w:r>
  </w:p>
  <w:p w:rsidR="001338C5" w:rsidRDefault="00865FA3">
    <w:pPr>
      <w:pStyle w:val="Stopka"/>
      <w:jc w:val="center"/>
    </w:pPr>
    <w:r>
      <w:rPr>
        <w:szCs w:val="16"/>
      </w:rPr>
      <w:t xml:space="preserve">Zadanie pn.: </w:t>
    </w:r>
    <w:r>
      <w:rPr>
        <w:rStyle w:val="WW-DefaultParagraphFont"/>
        <w:rFonts w:eastAsia="Andale Sans UI"/>
        <w:spacing w:val="-3"/>
        <w:sz w:val="16"/>
        <w:szCs w:val="16"/>
      </w:rPr>
      <w:t>„Remont mostu na rzece Wiązownica w msc. Wrzos w ciągu drogi powiatowej nr 3501W Wrzeszczów – Wrzos - Domaniów w km 4+206”.</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338C5" w:rsidRDefault="00865FA3">
    <w:pPr>
      <w:pStyle w:val="Nagwek"/>
      <w:tabs>
        <w:tab w:val="right" w:pos="10205"/>
      </w:tabs>
      <w:rPr>
        <w:u w:val="single"/>
      </w:rPr>
    </w:pPr>
    <w:r>
      <w:rPr>
        <w:u w:val="single"/>
      </w:rPr>
      <w:t>BIURO KONSTRUKCYJNE REJPROJEKT</w:t>
    </w:r>
    <w:r>
      <w:rPr>
        <w:u w:val="single"/>
      </w:rPr>
      <w:tab/>
      <w:t>SSTWiORB – BRANŻA MOSTOWA</w:t>
    </w:r>
  </w:p>
  <w:p w:rsidR="001338C5" w:rsidRDefault="00865FA3">
    <w:pPr>
      <w:pStyle w:val="Stopka"/>
      <w:jc w:val="center"/>
    </w:pPr>
    <w:r>
      <w:rPr>
        <w:szCs w:val="16"/>
      </w:rPr>
      <w:t xml:space="preserve">Zadanie pn.: </w:t>
    </w:r>
    <w:r>
      <w:rPr>
        <w:rStyle w:val="WW-DefaultParagraphFont"/>
        <w:rFonts w:eastAsia="Andale Sans UI"/>
        <w:spacing w:val="-3"/>
        <w:sz w:val="16"/>
        <w:szCs w:val="16"/>
      </w:rPr>
      <w:t>„Remont mostu na rzece Wiązownica w msc. Wrzos w ciągu drogi powiatowej nr 3501W Wrzeszczów – Wrzos - Domaniów w km 4+206”.</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338C5" w:rsidRDefault="00865FA3">
    <w:pPr>
      <w:pStyle w:val="Nagwek"/>
      <w:tabs>
        <w:tab w:val="right" w:pos="10205"/>
      </w:tabs>
      <w:rPr>
        <w:u w:val="single"/>
      </w:rPr>
    </w:pPr>
    <w:r>
      <w:rPr>
        <w:u w:val="single"/>
      </w:rPr>
      <w:t>BIURO KONSTRUKCYJNE REJPROJEKT</w:t>
    </w:r>
    <w:r>
      <w:rPr>
        <w:u w:val="single"/>
      </w:rPr>
      <w:tab/>
      <w:t>SSTWiORB – BRANŻA MOSTOWA</w:t>
    </w:r>
  </w:p>
  <w:p w:rsidR="001338C5" w:rsidRDefault="00865FA3">
    <w:pPr>
      <w:pStyle w:val="Stopka"/>
      <w:jc w:val="center"/>
    </w:pPr>
    <w:r>
      <w:rPr>
        <w:szCs w:val="16"/>
      </w:rPr>
      <w:t xml:space="preserve">Zadanie pn.: </w:t>
    </w:r>
    <w:r>
      <w:rPr>
        <w:rStyle w:val="WW-DefaultParagraphFont"/>
        <w:rFonts w:eastAsia="Andale Sans UI"/>
        <w:spacing w:val="-3"/>
        <w:sz w:val="16"/>
        <w:szCs w:val="16"/>
      </w:rPr>
      <w:t>„Remont mostu na rzece Wiązownica w msc. Wrzos w ciągu drogi powiatowej nr 3501W Wrzeszczów – Wrzos - Domaniów w km 4+206”.</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338C5" w:rsidRDefault="00865FA3">
    <w:pPr>
      <w:pStyle w:val="Nagwek"/>
      <w:tabs>
        <w:tab w:val="right" w:pos="10205"/>
      </w:tabs>
      <w:rPr>
        <w:u w:val="single"/>
      </w:rPr>
    </w:pPr>
    <w:r>
      <w:rPr>
        <w:u w:val="single"/>
      </w:rPr>
      <w:t>BIURO KONSTRUKCYJNE REJPROJEKT</w:t>
    </w:r>
    <w:r>
      <w:rPr>
        <w:u w:val="single"/>
      </w:rPr>
      <w:tab/>
      <w:t>SSTWiORB – BRANŻA MOSTOWA</w:t>
    </w:r>
  </w:p>
  <w:p w:rsidR="001338C5" w:rsidRDefault="00865FA3">
    <w:pPr>
      <w:pStyle w:val="Stopka"/>
      <w:jc w:val="center"/>
    </w:pPr>
    <w:r>
      <w:rPr>
        <w:szCs w:val="16"/>
      </w:rPr>
      <w:t xml:space="preserve">Zadanie pn.: </w:t>
    </w:r>
    <w:r>
      <w:rPr>
        <w:rStyle w:val="WW-DefaultParagraphFont"/>
        <w:rFonts w:eastAsia="Andale Sans UI"/>
        <w:spacing w:val="-3"/>
        <w:sz w:val="16"/>
        <w:szCs w:val="16"/>
      </w:rPr>
      <w:t>„Remont mostu na rzece Wiązownica w msc. Wrzos w ciągu drogi powiatowej nr 3501W Wrzeszczów – Wrzos - Domaniów w km 4+206”.</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49273D"/>
    <w:multiLevelType w:val="multilevel"/>
    <w:tmpl w:val="0B0AFA7E"/>
    <w:styleLink w:val="WW8Num29"/>
    <w:lvl w:ilvl="0">
      <w:numFmt w:val="bullet"/>
      <w:lvlText w:val=""/>
      <w:lvlJc w:val="left"/>
      <w:pPr>
        <w:ind w:left="720" w:hanging="360"/>
      </w:pPr>
      <w:rPr>
        <w:rFonts w:ascii="Symbol" w:hAnsi="Symbol" w:cs="OpenSymbol, 'Arial Unicode MS'"/>
        <w:lang w:val="pl-PL"/>
      </w:rPr>
    </w:lvl>
    <w:lvl w:ilvl="1">
      <w:numFmt w:val="bullet"/>
      <w:lvlText w:val="◦"/>
      <w:lvlJc w:val="left"/>
      <w:pPr>
        <w:ind w:left="1080" w:hanging="360"/>
      </w:pPr>
      <w:rPr>
        <w:rFonts w:ascii="OpenSymbol, 'Arial Unicode MS'" w:hAnsi="OpenSymbol, 'Arial Unicode MS'"/>
        <w:sz w:val="20"/>
        <w:szCs w:val="20"/>
        <w:lang w:val="pl-PL"/>
      </w:rPr>
    </w:lvl>
    <w:lvl w:ilvl="2">
      <w:numFmt w:val="bullet"/>
      <w:lvlText w:val="▪"/>
      <w:lvlJc w:val="left"/>
      <w:pPr>
        <w:ind w:left="1440" w:hanging="360"/>
      </w:pPr>
      <w:rPr>
        <w:rFonts w:ascii="OpenSymbol, 'Arial Unicode MS'" w:hAnsi="OpenSymbol, 'Arial Unicode MS'"/>
        <w:sz w:val="20"/>
        <w:szCs w:val="20"/>
        <w:lang w:val="pl-PL"/>
      </w:rPr>
    </w:lvl>
    <w:lvl w:ilvl="3">
      <w:numFmt w:val="bullet"/>
      <w:lvlText w:val=""/>
      <w:lvlJc w:val="left"/>
      <w:pPr>
        <w:ind w:left="1800" w:hanging="360"/>
      </w:pPr>
      <w:rPr>
        <w:rFonts w:ascii="Symbol" w:hAnsi="Symbol" w:cs="OpenSymbol, 'Arial Unicode MS'"/>
        <w:lang w:val="pl-PL"/>
      </w:rPr>
    </w:lvl>
    <w:lvl w:ilvl="4">
      <w:numFmt w:val="bullet"/>
      <w:lvlText w:val="◦"/>
      <w:lvlJc w:val="left"/>
      <w:pPr>
        <w:ind w:left="2160" w:hanging="360"/>
      </w:pPr>
      <w:rPr>
        <w:rFonts w:ascii="OpenSymbol, 'Arial Unicode MS'" w:hAnsi="OpenSymbol, 'Arial Unicode MS'"/>
        <w:sz w:val="20"/>
        <w:szCs w:val="20"/>
        <w:lang w:val="pl-PL"/>
      </w:rPr>
    </w:lvl>
    <w:lvl w:ilvl="5">
      <w:numFmt w:val="bullet"/>
      <w:lvlText w:val="▪"/>
      <w:lvlJc w:val="left"/>
      <w:pPr>
        <w:ind w:left="2520" w:hanging="360"/>
      </w:pPr>
      <w:rPr>
        <w:rFonts w:ascii="OpenSymbol, 'Arial Unicode MS'" w:hAnsi="OpenSymbol, 'Arial Unicode MS'"/>
        <w:sz w:val="20"/>
        <w:szCs w:val="20"/>
        <w:lang w:val="pl-PL"/>
      </w:rPr>
    </w:lvl>
    <w:lvl w:ilvl="6">
      <w:numFmt w:val="bullet"/>
      <w:lvlText w:val=""/>
      <w:lvlJc w:val="left"/>
      <w:pPr>
        <w:ind w:left="2880" w:hanging="360"/>
      </w:pPr>
      <w:rPr>
        <w:rFonts w:ascii="Symbol" w:hAnsi="Symbol" w:cs="OpenSymbol, 'Arial Unicode MS'"/>
        <w:lang w:val="pl-PL"/>
      </w:rPr>
    </w:lvl>
    <w:lvl w:ilvl="7">
      <w:numFmt w:val="bullet"/>
      <w:lvlText w:val="◦"/>
      <w:lvlJc w:val="left"/>
      <w:pPr>
        <w:ind w:left="3240" w:hanging="360"/>
      </w:pPr>
      <w:rPr>
        <w:rFonts w:ascii="OpenSymbol, 'Arial Unicode MS'" w:hAnsi="OpenSymbol, 'Arial Unicode MS'"/>
        <w:sz w:val="20"/>
        <w:szCs w:val="20"/>
        <w:lang w:val="pl-PL"/>
      </w:rPr>
    </w:lvl>
    <w:lvl w:ilvl="8">
      <w:numFmt w:val="bullet"/>
      <w:lvlText w:val="▪"/>
      <w:lvlJc w:val="left"/>
      <w:pPr>
        <w:ind w:left="3600" w:hanging="360"/>
      </w:pPr>
      <w:rPr>
        <w:rFonts w:ascii="OpenSymbol, 'Arial Unicode MS'" w:hAnsi="OpenSymbol, 'Arial Unicode MS'"/>
        <w:sz w:val="20"/>
        <w:szCs w:val="20"/>
        <w:lang w:val="pl-PL"/>
      </w:rPr>
    </w:lvl>
  </w:abstractNum>
  <w:abstractNum w:abstractNumId="1" w15:restartNumberingAfterBreak="0">
    <w:nsid w:val="03B5597F"/>
    <w:multiLevelType w:val="multilevel"/>
    <w:tmpl w:val="5678C98A"/>
    <w:styleLink w:val="WWNum3"/>
    <w:lvl w:ilvl="0">
      <w:start w:val="1"/>
      <w:numFmt w:val="lowerLetter"/>
      <w:lvlText w:val="%1)"/>
      <w:lvlJc w:val="left"/>
      <w:pPr>
        <w:ind w:left="720" w:hanging="360"/>
      </w:pPr>
      <w:rPr>
        <w:rFonts w:cs="Times New Roman"/>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2" w15:restartNumberingAfterBreak="0">
    <w:nsid w:val="03D52ECD"/>
    <w:multiLevelType w:val="multilevel"/>
    <w:tmpl w:val="37CE25C8"/>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 w15:restartNumberingAfterBreak="0">
    <w:nsid w:val="03E87FE6"/>
    <w:multiLevelType w:val="multilevel"/>
    <w:tmpl w:val="EC12F178"/>
    <w:styleLink w:val="WWNum17"/>
    <w:lvl w:ilvl="0">
      <w:numFmt w:val="bullet"/>
      <w:lvlText w:val="-"/>
      <w:lvlJc w:val="left"/>
      <w:pPr>
        <w:ind w:left="397" w:hanging="397"/>
      </w:pPr>
      <w:rPr>
        <w:rFonts w:eastAsia="Times New Roman"/>
      </w:rPr>
    </w:lvl>
    <w:lvl w:ilvl="1">
      <w:start w:val="1"/>
      <w:numFmt w:val="decimal"/>
      <w:lvlText w:val="%2."/>
      <w:lvlJc w:val="left"/>
      <w:pPr>
        <w:ind w:left="1440" w:hanging="360"/>
      </w:pPr>
      <w:rPr>
        <w:rFonts w:cs="Times New Roman"/>
      </w:rPr>
    </w:lvl>
    <w:lvl w:ilvl="2">
      <w:start w:val="1"/>
      <w:numFmt w:val="decimal"/>
      <w:lvlText w:val="%3."/>
      <w:lvlJc w:val="left"/>
      <w:pPr>
        <w:ind w:left="2160" w:hanging="360"/>
      </w:pPr>
      <w:rPr>
        <w:rFonts w:cs="Times New Roman"/>
      </w:rPr>
    </w:lvl>
    <w:lvl w:ilvl="3">
      <w:start w:val="1"/>
      <w:numFmt w:val="decimal"/>
      <w:lvlText w:val="%4."/>
      <w:lvlJc w:val="left"/>
      <w:pPr>
        <w:ind w:left="2880" w:hanging="360"/>
      </w:pPr>
      <w:rPr>
        <w:rFonts w:cs="Times New Roman"/>
      </w:rPr>
    </w:lvl>
    <w:lvl w:ilvl="4">
      <w:start w:val="1"/>
      <w:numFmt w:val="decimal"/>
      <w:lvlText w:val="%5."/>
      <w:lvlJc w:val="left"/>
      <w:pPr>
        <w:ind w:left="3600" w:hanging="360"/>
      </w:pPr>
      <w:rPr>
        <w:rFonts w:cs="Times New Roman"/>
      </w:rPr>
    </w:lvl>
    <w:lvl w:ilvl="5">
      <w:start w:val="1"/>
      <w:numFmt w:val="decimal"/>
      <w:lvlText w:val="%6."/>
      <w:lvlJc w:val="left"/>
      <w:pPr>
        <w:ind w:left="4320" w:hanging="360"/>
      </w:pPr>
      <w:rPr>
        <w:rFonts w:cs="Times New Roman"/>
      </w:rPr>
    </w:lvl>
    <w:lvl w:ilvl="6">
      <w:start w:val="1"/>
      <w:numFmt w:val="decimal"/>
      <w:lvlText w:val="%7."/>
      <w:lvlJc w:val="left"/>
      <w:pPr>
        <w:ind w:left="5040" w:hanging="360"/>
      </w:pPr>
      <w:rPr>
        <w:rFonts w:cs="Times New Roman"/>
      </w:rPr>
    </w:lvl>
    <w:lvl w:ilvl="7">
      <w:start w:val="1"/>
      <w:numFmt w:val="decimal"/>
      <w:lvlText w:val="%8."/>
      <w:lvlJc w:val="left"/>
      <w:pPr>
        <w:ind w:left="5760" w:hanging="360"/>
      </w:pPr>
      <w:rPr>
        <w:rFonts w:cs="Times New Roman"/>
      </w:rPr>
    </w:lvl>
    <w:lvl w:ilvl="8">
      <w:start w:val="1"/>
      <w:numFmt w:val="decimal"/>
      <w:lvlText w:val="%9."/>
      <w:lvlJc w:val="left"/>
      <w:pPr>
        <w:ind w:left="6480" w:hanging="360"/>
      </w:pPr>
      <w:rPr>
        <w:rFonts w:cs="Times New Roman"/>
      </w:rPr>
    </w:lvl>
  </w:abstractNum>
  <w:abstractNum w:abstractNumId="4" w15:restartNumberingAfterBreak="0">
    <w:nsid w:val="048E78AB"/>
    <w:multiLevelType w:val="multilevel"/>
    <w:tmpl w:val="00AC1FDA"/>
    <w:styleLink w:val="WW8Num20"/>
    <w:lvl w:ilvl="0">
      <w:numFmt w:val="bullet"/>
      <w:lvlText w:val=""/>
      <w:lvlJc w:val="left"/>
      <w:pPr>
        <w:ind w:left="720" w:hanging="360"/>
      </w:pPr>
      <w:rPr>
        <w:rFonts w:ascii="Symbol" w:hAnsi="Symbol" w:cs="Times New Roman"/>
        <w:sz w:val="20"/>
        <w:lang w:val="pl-PL"/>
      </w:rPr>
    </w:lvl>
    <w:lvl w:ilvl="1">
      <w:numFmt w:val="bullet"/>
      <w:lvlText w:val="◦"/>
      <w:lvlJc w:val="left"/>
      <w:pPr>
        <w:ind w:left="1080" w:hanging="360"/>
      </w:pPr>
      <w:rPr>
        <w:rFonts w:ascii="OpenSymbol, 'Arial Unicode MS'" w:hAnsi="OpenSymbol, 'Arial Unicode MS'" w:cs="Courier New"/>
      </w:rPr>
    </w:lvl>
    <w:lvl w:ilvl="2">
      <w:numFmt w:val="bullet"/>
      <w:lvlText w:val="▪"/>
      <w:lvlJc w:val="left"/>
      <w:pPr>
        <w:ind w:left="1440" w:hanging="360"/>
      </w:pPr>
      <w:rPr>
        <w:rFonts w:ascii="OpenSymbol, 'Arial Unicode MS'" w:hAnsi="OpenSymbol, 'Arial Unicode MS'" w:cs="Courier New"/>
      </w:rPr>
    </w:lvl>
    <w:lvl w:ilvl="3">
      <w:numFmt w:val="bullet"/>
      <w:lvlText w:val=""/>
      <w:lvlJc w:val="left"/>
      <w:pPr>
        <w:ind w:left="1800" w:hanging="360"/>
      </w:pPr>
      <w:rPr>
        <w:rFonts w:ascii="Symbol" w:hAnsi="Symbol" w:cs="Times New Roman"/>
        <w:sz w:val="20"/>
        <w:lang w:val="pl-PL"/>
      </w:rPr>
    </w:lvl>
    <w:lvl w:ilvl="4">
      <w:numFmt w:val="bullet"/>
      <w:lvlText w:val="◦"/>
      <w:lvlJc w:val="left"/>
      <w:pPr>
        <w:ind w:left="2160" w:hanging="360"/>
      </w:pPr>
      <w:rPr>
        <w:rFonts w:ascii="OpenSymbol, 'Arial Unicode MS'" w:hAnsi="OpenSymbol, 'Arial Unicode MS'" w:cs="Courier New"/>
      </w:rPr>
    </w:lvl>
    <w:lvl w:ilvl="5">
      <w:numFmt w:val="bullet"/>
      <w:lvlText w:val="▪"/>
      <w:lvlJc w:val="left"/>
      <w:pPr>
        <w:ind w:left="2520" w:hanging="360"/>
      </w:pPr>
      <w:rPr>
        <w:rFonts w:ascii="OpenSymbol, 'Arial Unicode MS'" w:hAnsi="OpenSymbol, 'Arial Unicode MS'" w:cs="Courier New"/>
      </w:rPr>
    </w:lvl>
    <w:lvl w:ilvl="6">
      <w:numFmt w:val="bullet"/>
      <w:lvlText w:val=""/>
      <w:lvlJc w:val="left"/>
      <w:pPr>
        <w:ind w:left="2880" w:hanging="360"/>
      </w:pPr>
      <w:rPr>
        <w:rFonts w:ascii="Symbol" w:hAnsi="Symbol" w:cs="Times New Roman"/>
        <w:sz w:val="20"/>
        <w:lang w:val="pl-PL"/>
      </w:rPr>
    </w:lvl>
    <w:lvl w:ilvl="7">
      <w:numFmt w:val="bullet"/>
      <w:lvlText w:val="◦"/>
      <w:lvlJc w:val="left"/>
      <w:pPr>
        <w:ind w:left="3240" w:hanging="360"/>
      </w:pPr>
      <w:rPr>
        <w:rFonts w:ascii="OpenSymbol, 'Arial Unicode MS'" w:hAnsi="OpenSymbol, 'Arial Unicode MS'" w:cs="Courier New"/>
      </w:rPr>
    </w:lvl>
    <w:lvl w:ilvl="8">
      <w:numFmt w:val="bullet"/>
      <w:lvlText w:val="▪"/>
      <w:lvlJc w:val="left"/>
      <w:pPr>
        <w:ind w:left="3600" w:hanging="360"/>
      </w:pPr>
      <w:rPr>
        <w:rFonts w:ascii="OpenSymbol, 'Arial Unicode MS'" w:hAnsi="OpenSymbol, 'Arial Unicode MS'" w:cs="Courier New"/>
      </w:rPr>
    </w:lvl>
  </w:abstractNum>
  <w:abstractNum w:abstractNumId="5" w15:restartNumberingAfterBreak="0">
    <w:nsid w:val="071B50AC"/>
    <w:multiLevelType w:val="multilevel"/>
    <w:tmpl w:val="395872FC"/>
    <w:styleLink w:val="SPEC-lista-kreski"/>
    <w:lvl w:ilvl="0">
      <w:numFmt w:val="bullet"/>
      <w:lvlText w:val="–"/>
      <w:lvlJc w:val="left"/>
      <w:pPr>
        <w:ind w:left="57" w:firstLine="226"/>
      </w:pPr>
      <w:rPr>
        <w:rFonts w:ascii="OpenSymbol" w:hAnsi="OpenSymbol"/>
      </w:rPr>
    </w:lvl>
    <w:lvl w:ilvl="1">
      <w:numFmt w:val="bullet"/>
      <w:lvlText w:val="–"/>
      <w:lvlJc w:val="left"/>
      <w:pPr>
        <w:ind w:left="57" w:firstLine="226"/>
      </w:pPr>
      <w:rPr>
        <w:rFonts w:ascii="OpenSymbol" w:hAnsi="OpenSymbol"/>
      </w:rPr>
    </w:lvl>
    <w:lvl w:ilvl="2">
      <w:numFmt w:val="bullet"/>
      <w:lvlText w:val="–"/>
      <w:lvlJc w:val="left"/>
      <w:pPr>
        <w:ind w:left="57" w:firstLine="226"/>
      </w:pPr>
      <w:rPr>
        <w:rFonts w:ascii="OpenSymbol" w:hAnsi="OpenSymbol"/>
      </w:rPr>
    </w:lvl>
    <w:lvl w:ilvl="3">
      <w:numFmt w:val="bullet"/>
      <w:lvlText w:val="–"/>
      <w:lvlJc w:val="left"/>
      <w:pPr>
        <w:ind w:left="57" w:firstLine="226"/>
      </w:pPr>
      <w:rPr>
        <w:rFonts w:ascii="OpenSymbol" w:hAnsi="OpenSymbol"/>
      </w:rPr>
    </w:lvl>
    <w:lvl w:ilvl="4">
      <w:numFmt w:val="bullet"/>
      <w:lvlText w:val="–"/>
      <w:lvlJc w:val="left"/>
      <w:pPr>
        <w:ind w:left="57" w:firstLine="226"/>
      </w:pPr>
      <w:rPr>
        <w:rFonts w:ascii="OpenSymbol" w:hAnsi="OpenSymbol"/>
      </w:rPr>
    </w:lvl>
    <w:lvl w:ilvl="5">
      <w:numFmt w:val="bullet"/>
      <w:lvlText w:val="–"/>
      <w:lvlJc w:val="left"/>
      <w:pPr>
        <w:ind w:left="57" w:firstLine="226"/>
      </w:pPr>
      <w:rPr>
        <w:rFonts w:ascii="OpenSymbol" w:hAnsi="OpenSymbol"/>
      </w:rPr>
    </w:lvl>
    <w:lvl w:ilvl="6">
      <w:numFmt w:val="bullet"/>
      <w:lvlText w:val="–"/>
      <w:lvlJc w:val="left"/>
      <w:pPr>
        <w:ind w:left="57" w:firstLine="226"/>
      </w:pPr>
      <w:rPr>
        <w:rFonts w:ascii="OpenSymbol" w:hAnsi="OpenSymbol"/>
      </w:rPr>
    </w:lvl>
    <w:lvl w:ilvl="7">
      <w:numFmt w:val="bullet"/>
      <w:lvlText w:val="–"/>
      <w:lvlJc w:val="left"/>
      <w:pPr>
        <w:ind w:left="57" w:firstLine="226"/>
      </w:pPr>
      <w:rPr>
        <w:rFonts w:ascii="OpenSymbol" w:hAnsi="OpenSymbol"/>
      </w:rPr>
    </w:lvl>
    <w:lvl w:ilvl="8">
      <w:numFmt w:val="bullet"/>
      <w:lvlText w:val="–"/>
      <w:lvlJc w:val="left"/>
      <w:pPr>
        <w:ind w:left="57" w:firstLine="226"/>
      </w:pPr>
      <w:rPr>
        <w:rFonts w:ascii="OpenSymbol" w:hAnsi="OpenSymbol"/>
      </w:rPr>
    </w:lvl>
  </w:abstractNum>
  <w:abstractNum w:abstractNumId="6" w15:restartNumberingAfterBreak="0">
    <w:nsid w:val="07E32E22"/>
    <w:multiLevelType w:val="multilevel"/>
    <w:tmpl w:val="FC9A2F8A"/>
    <w:styleLink w:val="WW8Num11"/>
    <w:lvl w:ilvl="0">
      <w:start w:val="1"/>
      <w:numFmt w:val="decimal"/>
      <w:lvlText w:val="%1."/>
      <w:lvlJc w:val="left"/>
      <w:pPr>
        <w:ind w:left="288" w:hanging="288"/>
      </w:pPr>
      <w:rPr>
        <w:rFonts w:ascii="Times New Roman" w:eastAsia="Times New Roman" w:hAnsi="Times New Roman" w:cs="Times New Roman"/>
        <w:lang w:val="pl-PL"/>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7" w15:restartNumberingAfterBreak="0">
    <w:nsid w:val="09275422"/>
    <w:multiLevelType w:val="multilevel"/>
    <w:tmpl w:val="D13C98A6"/>
    <w:styleLink w:val="WW8Num12"/>
    <w:lvl w:ilvl="0">
      <w:start w:val="1"/>
      <w:numFmt w:val="lowerLetter"/>
      <w:pStyle w:val="LISTA1-"/>
      <w:lvlText w:val="%1)"/>
      <w:lvlJc w:val="left"/>
      <w:pPr>
        <w:ind w:left="288" w:hanging="288"/>
      </w:pPr>
      <w:rPr>
        <w:rFonts w:ascii="Arial" w:hAnsi="Arial" w:cs="Arial"/>
        <w:sz w:val="20"/>
        <w:lang w:val="pl-PL"/>
      </w:rPr>
    </w:lvl>
    <w:lvl w:ilvl="1">
      <w:start w:val="1"/>
      <w:numFmt w:val="decimal"/>
      <w:lvlText w:val="%2."/>
      <w:lvlJc w:val="left"/>
      <w:pPr>
        <w:ind w:left="1080" w:hanging="360"/>
      </w:pPr>
    </w:lvl>
    <w:lvl w:ilvl="2">
      <w:start w:val="1"/>
      <w:numFmt w:val="decimal"/>
      <w:lvlText w:val="%3."/>
      <w:lvlJc w:val="left"/>
      <w:pPr>
        <w:ind w:left="1440" w:hanging="360"/>
      </w:pPr>
      <w:rPr>
        <w:rFonts w:ascii="OpenSymbol, 'Arial Unicode MS'" w:hAnsi="OpenSymbol, 'Arial Unicode MS'" w:cs="OpenSymbol, 'Arial Unicode MS'"/>
      </w:r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8" w15:restartNumberingAfterBreak="0">
    <w:nsid w:val="0A4E7A63"/>
    <w:multiLevelType w:val="multilevel"/>
    <w:tmpl w:val="18828C42"/>
    <w:styleLink w:val="WW8Num51"/>
    <w:lvl w:ilvl="0">
      <w:numFmt w:val="bullet"/>
      <w:lvlText w:val="-"/>
      <w:lvlJc w:val="left"/>
      <w:pPr>
        <w:ind w:left="720" w:hanging="360"/>
      </w:pPr>
      <w:rPr>
        <w:rFonts w:ascii="Times New Roman" w:hAnsi="Times New Roman" w:cs="OpenSymbol, 'Arial Unicode MS'"/>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9" w15:restartNumberingAfterBreak="0">
    <w:nsid w:val="0B987D83"/>
    <w:multiLevelType w:val="multilevel"/>
    <w:tmpl w:val="D7CAED3C"/>
    <w:styleLink w:val="WW8Num3"/>
    <w:lvl w:ilvl="0">
      <w:numFmt w:val="bullet"/>
      <w:lvlText w:val="-"/>
      <w:lvlJc w:val="left"/>
      <w:pPr>
        <w:ind w:left="720" w:hanging="360"/>
      </w:pPr>
      <w:rPr>
        <w:rFonts w:ascii="Times New Roman" w:eastAsia="Times New Roman" w:hAnsi="Times New Roman" w:cs="Times New Roman"/>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0" w15:restartNumberingAfterBreak="0">
    <w:nsid w:val="0C1817A8"/>
    <w:multiLevelType w:val="multilevel"/>
    <w:tmpl w:val="8CFACAEA"/>
    <w:styleLink w:val="WWNum8"/>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0C6E190B"/>
    <w:multiLevelType w:val="multilevel"/>
    <w:tmpl w:val="E6C22D18"/>
    <w:styleLink w:val="WWNum9"/>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0D1A3DF8"/>
    <w:multiLevelType w:val="multilevel"/>
    <w:tmpl w:val="4238E564"/>
    <w:styleLink w:val="WWNum18"/>
    <w:lvl w:ilvl="0">
      <w:numFmt w:val="bullet"/>
      <w:lvlText w:val="-"/>
      <w:lvlJc w:val="left"/>
      <w:pPr>
        <w:ind w:left="360" w:hanging="360"/>
      </w:pPr>
      <w:rPr>
        <w:rFonts w:eastAsia="Times New Roman"/>
      </w:rPr>
    </w:lvl>
    <w:lvl w:ilvl="1">
      <w:numFmt w:val="bullet"/>
      <w:lvlText w:val="o"/>
      <w:lvlJc w:val="left"/>
      <w:pPr>
        <w:ind w:left="1080" w:hanging="360"/>
      </w:pPr>
    </w:lvl>
    <w:lvl w:ilvl="2">
      <w:numFmt w:val="bullet"/>
      <w:lvlText w:val=""/>
      <w:lvlJc w:val="left"/>
      <w:pPr>
        <w:ind w:left="1800" w:hanging="360"/>
      </w:pPr>
    </w:lvl>
    <w:lvl w:ilvl="3">
      <w:numFmt w:val="bullet"/>
      <w:lvlText w:val=""/>
      <w:lvlJc w:val="left"/>
      <w:pPr>
        <w:ind w:left="2520" w:hanging="360"/>
      </w:pPr>
    </w:lvl>
    <w:lvl w:ilvl="4">
      <w:numFmt w:val="bullet"/>
      <w:lvlText w:val="o"/>
      <w:lvlJc w:val="left"/>
      <w:pPr>
        <w:ind w:left="3240" w:hanging="360"/>
      </w:pPr>
    </w:lvl>
    <w:lvl w:ilvl="5">
      <w:numFmt w:val="bullet"/>
      <w:lvlText w:val=""/>
      <w:lvlJc w:val="left"/>
      <w:pPr>
        <w:ind w:left="3960" w:hanging="360"/>
      </w:pPr>
    </w:lvl>
    <w:lvl w:ilvl="6">
      <w:numFmt w:val="bullet"/>
      <w:lvlText w:val=""/>
      <w:lvlJc w:val="left"/>
      <w:pPr>
        <w:ind w:left="4680" w:hanging="360"/>
      </w:pPr>
    </w:lvl>
    <w:lvl w:ilvl="7">
      <w:numFmt w:val="bullet"/>
      <w:lvlText w:val="o"/>
      <w:lvlJc w:val="left"/>
      <w:pPr>
        <w:ind w:left="5400" w:hanging="360"/>
      </w:pPr>
    </w:lvl>
    <w:lvl w:ilvl="8">
      <w:numFmt w:val="bullet"/>
      <w:lvlText w:val=""/>
      <w:lvlJc w:val="left"/>
      <w:pPr>
        <w:ind w:left="6120" w:hanging="360"/>
      </w:pPr>
    </w:lvl>
  </w:abstractNum>
  <w:abstractNum w:abstractNumId="13" w15:restartNumberingAfterBreak="0">
    <w:nsid w:val="0E741951"/>
    <w:multiLevelType w:val="multilevel"/>
    <w:tmpl w:val="ECBA1936"/>
    <w:styleLink w:val="WW8Num53"/>
    <w:lvl w:ilvl="0">
      <w:numFmt w:val="bullet"/>
      <w:lvlText w:val="-"/>
      <w:lvlJc w:val="left"/>
      <w:pPr>
        <w:ind w:left="720" w:hanging="360"/>
      </w:pPr>
      <w:rPr>
        <w:rFonts w:ascii="Times New Roman" w:hAnsi="Times New Roman" w:cs="OpenSymbol, 'Arial Unicode MS'"/>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4" w15:restartNumberingAfterBreak="0">
    <w:nsid w:val="0F001552"/>
    <w:multiLevelType w:val="multilevel"/>
    <w:tmpl w:val="462A09D2"/>
    <w:styleLink w:val="WW8Num2"/>
    <w:lvl w:ilvl="0">
      <w:numFmt w:val="bullet"/>
      <w:lvlText w:val="-"/>
      <w:lvlJc w:val="left"/>
      <w:pPr>
        <w:ind w:left="720" w:hanging="360"/>
      </w:pPr>
      <w:rPr>
        <w:rFonts w:ascii="Times New Roman" w:hAnsi="Times New Roman" w:cs="OpenSymbol, 'Arial Unicode MS'"/>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5" w15:restartNumberingAfterBreak="0">
    <w:nsid w:val="0F921064"/>
    <w:multiLevelType w:val="multilevel"/>
    <w:tmpl w:val="046609E0"/>
    <w:styleLink w:val="WW8Num10"/>
    <w:lvl w:ilvl="0">
      <w:numFmt w:val="bullet"/>
      <w:lvlText w:val="-"/>
      <w:lvlJc w:val="left"/>
      <w:pPr>
        <w:ind w:left="340" w:hanging="340"/>
      </w:pPr>
      <w:rPr>
        <w:rFonts w:ascii="OpenSymbol, 'Arial Unicode MS'" w:hAnsi="OpenSymbol, 'Arial Unicode MS'" w:cs="Arial"/>
        <w:sz w:val="20"/>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6" w15:restartNumberingAfterBreak="0">
    <w:nsid w:val="11286612"/>
    <w:multiLevelType w:val="multilevel"/>
    <w:tmpl w:val="090A0FB0"/>
    <w:styleLink w:val="WW8Num35"/>
    <w:lvl w:ilvl="0">
      <w:numFmt w:val="bullet"/>
      <w:lvlText w:val=""/>
      <w:lvlJc w:val="left"/>
      <w:pPr>
        <w:ind w:left="720" w:hanging="360"/>
      </w:pPr>
      <w:rPr>
        <w:rFonts w:ascii="Symbol" w:hAnsi="Symbol" w:cs="OpenSymbol, 'Arial Unicode MS'"/>
        <w:lang w:val="pl-PL"/>
      </w:rPr>
    </w:lvl>
    <w:lvl w:ilvl="1">
      <w:numFmt w:val="bullet"/>
      <w:lvlText w:val="◦"/>
      <w:lvlJc w:val="left"/>
      <w:pPr>
        <w:ind w:left="1080" w:hanging="360"/>
      </w:pPr>
      <w:rPr>
        <w:rFonts w:ascii="OpenSymbol, 'Arial Unicode MS'" w:hAnsi="OpenSymbol, 'Arial Unicode MS'" w:cs="OpenSymbol, 'Arial Unicode MS'"/>
      </w:rPr>
    </w:lvl>
    <w:lvl w:ilvl="2">
      <w:numFmt w:val="bullet"/>
      <w:lvlText w:val="▪"/>
      <w:lvlJc w:val="left"/>
      <w:pPr>
        <w:ind w:left="1440" w:hanging="360"/>
      </w:pPr>
      <w:rPr>
        <w:rFonts w:ascii="OpenSymbol, 'Arial Unicode MS'" w:hAnsi="OpenSymbol, 'Arial Unicode MS'" w:cs="OpenSymbol, 'Arial Unicode MS'"/>
      </w:rPr>
    </w:lvl>
    <w:lvl w:ilvl="3">
      <w:numFmt w:val="bullet"/>
      <w:lvlText w:val=""/>
      <w:lvlJc w:val="left"/>
      <w:pPr>
        <w:ind w:left="1800" w:hanging="360"/>
      </w:pPr>
      <w:rPr>
        <w:rFonts w:ascii="Symbol" w:hAnsi="Symbol" w:cs="OpenSymbol, 'Arial Unicode MS'"/>
        <w:lang w:val="pl-PL"/>
      </w:rPr>
    </w:lvl>
    <w:lvl w:ilvl="4">
      <w:numFmt w:val="bullet"/>
      <w:lvlText w:val="◦"/>
      <w:lvlJc w:val="left"/>
      <w:pPr>
        <w:ind w:left="2160" w:hanging="360"/>
      </w:pPr>
      <w:rPr>
        <w:rFonts w:ascii="OpenSymbol, 'Arial Unicode MS'" w:hAnsi="OpenSymbol, 'Arial Unicode MS'" w:cs="OpenSymbol, 'Arial Unicode MS'"/>
      </w:rPr>
    </w:lvl>
    <w:lvl w:ilvl="5">
      <w:numFmt w:val="bullet"/>
      <w:lvlText w:val="▪"/>
      <w:lvlJc w:val="left"/>
      <w:pPr>
        <w:ind w:left="2520" w:hanging="360"/>
      </w:pPr>
      <w:rPr>
        <w:rFonts w:ascii="OpenSymbol, 'Arial Unicode MS'" w:hAnsi="OpenSymbol, 'Arial Unicode MS'" w:cs="OpenSymbol, 'Arial Unicode MS'"/>
      </w:rPr>
    </w:lvl>
    <w:lvl w:ilvl="6">
      <w:numFmt w:val="bullet"/>
      <w:lvlText w:val=""/>
      <w:lvlJc w:val="left"/>
      <w:pPr>
        <w:ind w:left="2880" w:hanging="360"/>
      </w:pPr>
      <w:rPr>
        <w:rFonts w:ascii="Symbol" w:hAnsi="Symbol" w:cs="OpenSymbol, 'Arial Unicode MS'"/>
        <w:lang w:val="pl-PL"/>
      </w:rPr>
    </w:lvl>
    <w:lvl w:ilvl="7">
      <w:numFmt w:val="bullet"/>
      <w:lvlText w:val="◦"/>
      <w:lvlJc w:val="left"/>
      <w:pPr>
        <w:ind w:left="3240" w:hanging="360"/>
      </w:pPr>
      <w:rPr>
        <w:rFonts w:ascii="OpenSymbol, 'Arial Unicode MS'" w:hAnsi="OpenSymbol, 'Arial Unicode MS'" w:cs="OpenSymbol, 'Arial Unicode MS'"/>
      </w:rPr>
    </w:lvl>
    <w:lvl w:ilvl="8">
      <w:numFmt w:val="bullet"/>
      <w:lvlText w:val="▪"/>
      <w:lvlJc w:val="left"/>
      <w:pPr>
        <w:ind w:left="3600" w:hanging="360"/>
      </w:pPr>
      <w:rPr>
        <w:rFonts w:ascii="OpenSymbol, 'Arial Unicode MS'" w:hAnsi="OpenSymbol, 'Arial Unicode MS'" w:cs="OpenSymbol, 'Arial Unicode MS'"/>
      </w:rPr>
    </w:lvl>
  </w:abstractNum>
  <w:abstractNum w:abstractNumId="17" w15:restartNumberingAfterBreak="0">
    <w:nsid w:val="118C4FF2"/>
    <w:multiLevelType w:val="multilevel"/>
    <w:tmpl w:val="6B587D74"/>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8" w15:restartNumberingAfterBreak="0">
    <w:nsid w:val="14C32A90"/>
    <w:multiLevelType w:val="multilevel"/>
    <w:tmpl w:val="FD929014"/>
    <w:styleLink w:val="WWNum25"/>
    <w:lvl w:ilvl="0">
      <w:numFmt w:val="bullet"/>
      <w:lvlText w:val="–"/>
      <w:lvlJc w:val="left"/>
      <w:pPr>
        <w:ind w:left="720" w:hanging="360"/>
      </w:pPr>
      <w:rPr>
        <w:rFonts w:ascii="Times New Roman" w:hAnsi="Times New Roman" w:cs="Times New Roman"/>
        <w:sz w:val="22"/>
      </w:rPr>
    </w:lvl>
    <w:lvl w:ilvl="1">
      <w:numFmt w:val="bullet"/>
      <w:lvlText w:val="o"/>
      <w:lvlJc w:val="left"/>
      <w:pPr>
        <w:ind w:left="1440" w:hanging="360"/>
      </w:pPr>
      <w:rPr>
        <w:rFonts w:eastAsia="Times New Roman"/>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eastAsia="Times New Roman"/>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eastAsia="Times New Roman"/>
      </w:rPr>
    </w:lvl>
    <w:lvl w:ilvl="8">
      <w:numFmt w:val="bullet"/>
      <w:lvlText w:val=""/>
      <w:lvlJc w:val="left"/>
      <w:pPr>
        <w:ind w:left="6480" w:hanging="360"/>
      </w:pPr>
    </w:lvl>
  </w:abstractNum>
  <w:abstractNum w:abstractNumId="19" w15:restartNumberingAfterBreak="0">
    <w:nsid w:val="14C34094"/>
    <w:multiLevelType w:val="multilevel"/>
    <w:tmpl w:val="587C2704"/>
    <w:styleLink w:val="WW8Num19"/>
    <w:lvl w:ilvl="0">
      <w:numFmt w:val="bullet"/>
      <w:lvlText w:val=""/>
      <w:lvlJc w:val="left"/>
      <w:pPr>
        <w:ind w:left="720" w:hanging="360"/>
      </w:pPr>
      <w:rPr>
        <w:rFonts w:ascii="Symbol" w:hAnsi="Symbol" w:cs="Arial"/>
        <w:sz w:val="20"/>
        <w:lang w:val="pl-PL"/>
      </w:rPr>
    </w:lvl>
    <w:lvl w:ilvl="1">
      <w:numFmt w:val="bullet"/>
      <w:lvlText w:val="◦"/>
      <w:lvlJc w:val="left"/>
      <w:pPr>
        <w:ind w:left="1080" w:hanging="360"/>
      </w:pPr>
      <w:rPr>
        <w:rFonts w:ascii="OpenSymbol, 'Arial Unicode MS'" w:hAnsi="OpenSymbol, 'Arial Unicode MS'" w:cs="OpenSymbol, 'Arial Unicode MS'"/>
      </w:rPr>
    </w:lvl>
    <w:lvl w:ilvl="2">
      <w:numFmt w:val="bullet"/>
      <w:lvlText w:val="▪"/>
      <w:lvlJc w:val="left"/>
      <w:pPr>
        <w:ind w:left="1440" w:hanging="360"/>
      </w:pPr>
      <w:rPr>
        <w:rFonts w:ascii="OpenSymbol, 'Arial Unicode MS'" w:hAnsi="OpenSymbol, 'Arial Unicode MS'" w:cs="OpenSymbol, 'Arial Unicode MS'"/>
      </w:rPr>
    </w:lvl>
    <w:lvl w:ilvl="3">
      <w:numFmt w:val="bullet"/>
      <w:lvlText w:val=""/>
      <w:lvlJc w:val="left"/>
      <w:pPr>
        <w:ind w:left="1800" w:hanging="360"/>
      </w:pPr>
      <w:rPr>
        <w:rFonts w:ascii="Symbol" w:hAnsi="Symbol" w:cs="Arial"/>
        <w:sz w:val="20"/>
        <w:lang w:val="pl-PL"/>
      </w:rPr>
    </w:lvl>
    <w:lvl w:ilvl="4">
      <w:numFmt w:val="bullet"/>
      <w:lvlText w:val="◦"/>
      <w:lvlJc w:val="left"/>
      <w:pPr>
        <w:ind w:left="2160" w:hanging="360"/>
      </w:pPr>
      <w:rPr>
        <w:rFonts w:ascii="OpenSymbol, 'Arial Unicode MS'" w:hAnsi="OpenSymbol, 'Arial Unicode MS'" w:cs="OpenSymbol, 'Arial Unicode MS'"/>
      </w:rPr>
    </w:lvl>
    <w:lvl w:ilvl="5">
      <w:numFmt w:val="bullet"/>
      <w:lvlText w:val="▪"/>
      <w:lvlJc w:val="left"/>
      <w:pPr>
        <w:ind w:left="2520" w:hanging="360"/>
      </w:pPr>
      <w:rPr>
        <w:rFonts w:ascii="OpenSymbol, 'Arial Unicode MS'" w:hAnsi="OpenSymbol, 'Arial Unicode MS'" w:cs="OpenSymbol, 'Arial Unicode MS'"/>
      </w:rPr>
    </w:lvl>
    <w:lvl w:ilvl="6">
      <w:numFmt w:val="bullet"/>
      <w:lvlText w:val=""/>
      <w:lvlJc w:val="left"/>
      <w:pPr>
        <w:ind w:left="2880" w:hanging="360"/>
      </w:pPr>
      <w:rPr>
        <w:rFonts w:ascii="Symbol" w:hAnsi="Symbol" w:cs="Arial"/>
        <w:sz w:val="20"/>
        <w:lang w:val="pl-PL"/>
      </w:rPr>
    </w:lvl>
    <w:lvl w:ilvl="7">
      <w:numFmt w:val="bullet"/>
      <w:lvlText w:val="◦"/>
      <w:lvlJc w:val="left"/>
      <w:pPr>
        <w:ind w:left="3240" w:hanging="360"/>
      </w:pPr>
      <w:rPr>
        <w:rFonts w:ascii="OpenSymbol, 'Arial Unicode MS'" w:hAnsi="OpenSymbol, 'Arial Unicode MS'" w:cs="OpenSymbol, 'Arial Unicode MS'"/>
      </w:rPr>
    </w:lvl>
    <w:lvl w:ilvl="8">
      <w:numFmt w:val="bullet"/>
      <w:lvlText w:val="▪"/>
      <w:lvlJc w:val="left"/>
      <w:pPr>
        <w:ind w:left="3600" w:hanging="360"/>
      </w:pPr>
      <w:rPr>
        <w:rFonts w:ascii="OpenSymbol, 'Arial Unicode MS'" w:hAnsi="OpenSymbol, 'Arial Unicode MS'" w:cs="OpenSymbol, 'Arial Unicode MS'"/>
      </w:rPr>
    </w:lvl>
  </w:abstractNum>
  <w:abstractNum w:abstractNumId="20" w15:restartNumberingAfterBreak="0">
    <w:nsid w:val="178755A3"/>
    <w:multiLevelType w:val="multilevel"/>
    <w:tmpl w:val="2572FAC2"/>
    <w:styleLink w:val="WW8Num37"/>
    <w:lvl w:ilvl="0">
      <w:numFmt w:val="bullet"/>
      <w:lvlText w:val=""/>
      <w:lvlJc w:val="left"/>
      <w:pPr>
        <w:ind w:left="720" w:hanging="360"/>
      </w:pPr>
      <w:rPr>
        <w:rFonts w:ascii="Symbol" w:hAnsi="Symbol" w:cs="OpenSymbol, 'Arial Unicode MS'"/>
        <w:lang w:val="pl-PL"/>
      </w:rPr>
    </w:lvl>
    <w:lvl w:ilvl="1">
      <w:numFmt w:val="bullet"/>
      <w:lvlText w:val="◦"/>
      <w:lvlJc w:val="left"/>
      <w:pPr>
        <w:ind w:left="1080" w:hanging="360"/>
      </w:pPr>
      <w:rPr>
        <w:rFonts w:ascii="OpenSymbol, 'Arial Unicode MS'" w:hAnsi="OpenSymbol, 'Arial Unicode MS'" w:cs="OpenSymbol, 'Arial Unicode MS'"/>
      </w:rPr>
    </w:lvl>
    <w:lvl w:ilvl="2">
      <w:numFmt w:val="bullet"/>
      <w:lvlText w:val="▪"/>
      <w:lvlJc w:val="left"/>
      <w:pPr>
        <w:ind w:left="1440" w:hanging="360"/>
      </w:pPr>
      <w:rPr>
        <w:rFonts w:ascii="OpenSymbol, 'Arial Unicode MS'" w:hAnsi="OpenSymbol, 'Arial Unicode MS'" w:cs="OpenSymbol, 'Arial Unicode MS'"/>
      </w:rPr>
    </w:lvl>
    <w:lvl w:ilvl="3">
      <w:numFmt w:val="bullet"/>
      <w:lvlText w:val=""/>
      <w:lvlJc w:val="left"/>
      <w:pPr>
        <w:ind w:left="1800" w:hanging="360"/>
      </w:pPr>
      <w:rPr>
        <w:rFonts w:ascii="Symbol" w:hAnsi="Symbol" w:cs="OpenSymbol, 'Arial Unicode MS'"/>
        <w:lang w:val="pl-PL"/>
      </w:rPr>
    </w:lvl>
    <w:lvl w:ilvl="4">
      <w:numFmt w:val="bullet"/>
      <w:lvlText w:val="◦"/>
      <w:lvlJc w:val="left"/>
      <w:pPr>
        <w:ind w:left="2160" w:hanging="360"/>
      </w:pPr>
      <w:rPr>
        <w:rFonts w:ascii="OpenSymbol, 'Arial Unicode MS'" w:hAnsi="OpenSymbol, 'Arial Unicode MS'" w:cs="OpenSymbol, 'Arial Unicode MS'"/>
      </w:rPr>
    </w:lvl>
    <w:lvl w:ilvl="5">
      <w:numFmt w:val="bullet"/>
      <w:lvlText w:val="▪"/>
      <w:lvlJc w:val="left"/>
      <w:pPr>
        <w:ind w:left="2520" w:hanging="360"/>
      </w:pPr>
      <w:rPr>
        <w:rFonts w:ascii="OpenSymbol, 'Arial Unicode MS'" w:hAnsi="OpenSymbol, 'Arial Unicode MS'" w:cs="OpenSymbol, 'Arial Unicode MS'"/>
      </w:rPr>
    </w:lvl>
    <w:lvl w:ilvl="6">
      <w:numFmt w:val="bullet"/>
      <w:lvlText w:val=""/>
      <w:lvlJc w:val="left"/>
      <w:pPr>
        <w:ind w:left="2880" w:hanging="360"/>
      </w:pPr>
      <w:rPr>
        <w:rFonts w:ascii="Symbol" w:hAnsi="Symbol" w:cs="OpenSymbol, 'Arial Unicode MS'"/>
        <w:lang w:val="pl-PL"/>
      </w:rPr>
    </w:lvl>
    <w:lvl w:ilvl="7">
      <w:numFmt w:val="bullet"/>
      <w:lvlText w:val="◦"/>
      <w:lvlJc w:val="left"/>
      <w:pPr>
        <w:ind w:left="3240" w:hanging="360"/>
      </w:pPr>
      <w:rPr>
        <w:rFonts w:ascii="OpenSymbol, 'Arial Unicode MS'" w:hAnsi="OpenSymbol, 'Arial Unicode MS'" w:cs="OpenSymbol, 'Arial Unicode MS'"/>
      </w:rPr>
    </w:lvl>
    <w:lvl w:ilvl="8">
      <w:numFmt w:val="bullet"/>
      <w:lvlText w:val="▪"/>
      <w:lvlJc w:val="left"/>
      <w:pPr>
        <w:ind w:left="3600" w:hanging="360"/>
      </w:pPr>
      <w:rPr>
        <w:rFonts w:ascii="OpenSymbol, 'Arial Unicode MS'" w:hAnsi="OpenSymbol, 'Arial Unicode MS'" w:cs="OpenSymbol, 'Arial Unicode MS'"/>
      </w:rPr>
    </w:lvl>
  </w:abstractNum>
  <w:abstractNum w:abstractNumId="21" w15:restartNumberingAfterBreak="0">
    <w:nsid w:val="192317A5"/>
    <w:multiLevelType w:val="multilevel"/>
    <w:tmpl w:val="B40254A8"/>
    <w:styleLink w:val="WW8Num36"/>
    <w:lvl w:ilvl="0">
      <w:numFmt w:val="bullet"/>
      <w:lvlText w:val=""/>
      <w:lvlJc w:val="left"/>
      <w:pPr>
        <w:ind w:left="720" w:hanging="360"/>
      </w:pPr>
      <w:rPr>
        <w:rFonts w:ascii="Symbol" w:hAnsi="Symbol" w:cs="OpenSymbol, 'Arial Unicode MS'"/>
        <w:lang w:val="pl-PL"/>
      </w:rPr>
    </w:lvl>
    <w:lvl w:ilvl="1">
      <w:numFmt w:val="bullet"/>
      <w:lvlText w:val="◦"/>
      <w:lvlJc w:val="left"/>
      <w:pPr>
        <w:ind w:left="1080" w:hanging="360"/>
      </w:pPr>
      <w:rPr>
        <w:rFonts w:ascii="OpenSymbol, 'Arial Unicode MS'" w:hAnsi="OpenSymbol, 'Arial Unicode MS'" w:cs="OpenSymbol, 'Arial Unicode MS'"/>
      </w:rPr>
    </w:lvl>
    <w:lvl w:ilvl="2">
      <w:numFmt w:val="bullet"/>
      <w:lvlText w:val="▪"/>
      <w:lvlJc w:val="left"/>
      <w:pPr>
        <w:ind w:left="1440" w:hanging="360"/>
      </w:pPr>
      <w:rPr>
        <w:rFonts w:ascii="OpenSymbol, 'Arial Unicode MS'" w:hAnsi="OpenSymbol, 'Arial Unicode MS'" w:cs="OpenSymbol, 'Arial Unicode MS'"/>
      </w:rPr>
    </w:lvl>
    <w:lvl w:ilvl="3">
      <w:numFmt w:val="bullet"/>
      <w:lvlText w:val=""/>
      <w:lvlJc w:val="left"/>
      <w:pPr>
        <w:ind w:left="1800" w:hanging="360"/>
      </w:pPr>
      <w:rPr>
        <w:rFonts w:ascii="Symbol" w:hAnsi="Symbol" w:cs="OpenSymbol, 'Arial Unicode MS'"/>
        <w:lang w:val="pl-PL"/>
      </w:rPr>
    </w:lvl>
    <w:lvl w:ilvl="4">
      <w:numFmt w:val="bullet"/>
      <w:lvlText w:val="◦"/>
      <w:lvlJc w:val="left"/>
      <w:pPr>
        <w:ind w:left="2160" w:hanging="360"/>
      </w:pPr>
      <w:rPr>
        <w:rFonts w:ascii="OpenSymbol, 'Arial Unicode MS'" w:hAnsi="OpenSymbol, 'Arial Unicode MS'" w:cs="OpenSymbol, 'Arial Unicode MS'"/>
      </w:rPr>
    </w:lvl>
    <w:lvl w:ilvl="5">
      <w:numFmt w:val="bullet"/>
      <w:lvlText w:val="▪"/>
      <w:lvlJc w:val="left"/>
      <w:pPr>
        <w:ind w:left="2520" w:hanging="360"/>
      </w:pPr>
      <w:rPr>
        <w:rFonts w:ascii="OpenSymbol, 'Arial Unicode MS'" w:hAnsi="OpenSymbol, 'Arial Unicode MS'" w:cs="OpenSymbol, 'Arial Unicode MS'"/>
      </w:rPr>
    </w:lvl>
    <w:lvl w:ilvl="6">
      <w:numFmt w:val="bullet"/>
      <w:lvlText w:val=""/>
      <w:lvlJc w:val="left"/>
      <w:pPr>
        <w:ind w:left="2880" w:hanging="360"/>
      </w:pPr>
      <w:rPr>
        <w:rFonts w:ascii="Symbol" w:hAnsi="Symbol" w:cs="OpenSymbol, 'Arial Unicode MS'"/>
        <w:lang w:val="pl-PL"/>
      </w:rPr>
    </w:lvl>
    <w:lvl w:ilvl="7">
      <w:numFmt w:val="bullet"/>
      <w:lvlText w:val="◦"/>
      <w:lvlJc w:val="left"/>
      <w:pPr>
        <w:ind w:left="3240" w:hanging="360"/>
      </w:pPr>
      <w:rPr>
        <w:rFonts w:ascii="OpenSymbol, 'Arial Unicode MS'" w:hAnsi="OpenSymbol, 'Arial Unicode MS'" w:cs="OpenSymbol, 'Arial Unicode MS'"/>
      </w:rPr>
    </w:lvl>
    <w:lvl w:ilvl="8">
      <w:numFmt w:val="bullet"/>
      <w:lvlText w:val="▪"/>
      <w:lvlJc w:val="left"/>
      <w:pPr>
        <w:ind w:left="3600" w:hanging="360"/>
      </w:pPr>
      <w:rPr>
        <w:rFonts w:ascii="OpenSymbol, 'Arial Unicode MS'" w:hAnsi="OpenSymbol, 'Arial Unicode MS'" w:cs="OpenSymbol, 'Arial Unicode MS'"/>
      </w:rPr>
    </w:lvl>
  </w:abstractNum>
  <w:abstractNum w:abstractNumId="22" w15:restartNumberingAfterBreak="0">
    <w:nsid w:val="1B3A30A9"/>
    <w:multiLevelType w:val="multilevel"/>
    <w:tmpl w:val="EBD2564A"/>
    <w:styleLink w:val="WW8Num21"/>
    <w:lvl w:ilvl="0">
      <w:numFmt w:val="bullet"/>
      <w:lvlText w:val=""/>
      <w:lvlJc w:val="left"/>
      <w:pPr>
        <w:ind w:left="720" w:hanging="360"/>
      </w:pPr>
      <w:rPr>
        <w:rFonts w:ascii="Symbol" w:eastAsia="Times New Roman" w:hAnsi="Symbol" w:cs="Arial"/>
        <w:spacing w:val="0"/>
        <w:sz w:val="20"/>
        <w:lang w:val="pl-PL"/>
      </w:rPr>
    </w:lvl>
    <w:lvl w:ilvl="1">
      <w:numFmt w:val="bullet"/>
      <w:lvlText w:val="◦"/>
      <w:lvlJc w:val="left"/>
      <w:pPr>
        <w:ind w:left="1080" w:hanging="360"/>
      </w:pPr>
      <w:rPr>
        <w:rFonts w:ascii="OpenSymbol, 'Arial Unicode MS'" w:hAnsi="OpenSymbol, 'Arial Unicode MS'" w:cs="OpenSymbol, 'Arial Unicode MS'"/>
      </w:rPr>
    </w:lvl>
    <w:lvl w:ilvl="2">
      <w:numFmt w:val="bullet"/>
      <w:lvlText w:val="▪"/>
      <w:lvlJc w:val="left"/>
      <w:pPr>
        <w:ind w:left="1440" w:hanging="360"/>
      </w:pPr>
      <w:rPr>
        <w:rFonts w:ascii="OpenSymbol, 'Arial Unicode MS'" w:hAnsi="OpenSymbol, 'Arial Unicode MS'" w:cs="OpenSymbol, 'Arial Unicode MS'"/>
      </w:rPr>
    </w:lvl>
    <w:lvl w:ilvl="3">
      <w:numFmt w:val="bullet"/>
      <w:lvlText w:val=""/>
      <w:lvlJc w:val="left"/>
      <w:pPr>
        <w:ind w:left="1800" w:hanging="360"/>
      </w:pPr>
      <w:rPr>
        <w:rFonts w:ascii="Symbol" w:eastAsia="Times New Roman" w:hAnsi="Symbol" w:cs="Arial"/>
        <w:spacing w:val="0"/>
        <w:sz w:val="20"/>
        <w:lang w:val="pl-PL"/>
      </w:rPr>
    </w:lvl>
    <w:lvl w:ilvl="4">
      <w:numFmt w:val="bullet"/>
      <w:lvlText w:val="◦"/>
      <w:lvlJc w:val="left"/>
      <w:pPr>
        <w:ind w:left="2160" w:hanging="360"/>
      </w:pPr>
      <w:rPr>
        <w:rFonts w:ascii="OpenSymbol, 'Arial Unicode MS'" w:hAnsi="OpenSymbol, 'Arial Unicode MS'" w:cs="OpenSymbol, 'Arial Unicode MS'"/>
      </w:rPr>
    </w:lvl>
    <w:lvl w:ilvl="5">
      <w:numFmt w:val="bullet"/>
      <w:lvlText w:val="▪"/>
      <w:lvlJc w:val="left"/>
      <w:pPr>
        <w:ind w:left="2520" w:hanging="360"/>
      </w:pPr>
      <w:rPr>
        <w:rFonts w:ascii="OpenSymbol, 'Arial Unicode MS'" w:hAnsi="OpenSymbol, 'Arial Unicode MS'" w:cs="OpenSymbol, 'Arial Unicode MS'"/>
      </w:rPr>
    </w:lvl>
    <w:lvl w:ilvl="6">
      <w:numFmt w:val="bullet"/>
      <w:lvlText w:val=""/>
      <w:lvlJc w:val="left"/>
      <w:pPr>
        <w:ind w:left="2880" w:hanging="360"/>
      </w:pPr>
      <w:rPr>
        <w:rFonts w:ascii="Symbol" w:eastAsia="Times New Roman" w:hAnsi="Symbol" w:cs="Arial"/>
        <w:spacing w:val="0"/>
        <w:sz w:val="20"/>
        <w:lang w:val="pl-PL"/>
      </w:rPr>
    </w:lvl>
    <w:lvl w:ilvl="7">
      <w:numFmt w:val="bullet"/>
      <w:lvlText w:val="◦"/>
      <w:lvlJc w:val="left"/>
      <w:pPr>
        <w:ind w:left="3240" w:hanging="360"/>
      </w:pPr>
      <w:rPr>
        <w:rFonts w:ascii="OpenSymbol, 'Arial Unicode MS'" w:hAnsi="OpenSymbol, 'Arial Unicode MS'" w:cs="OpenSymbol, 'Arial Unicode MS'"/>
      </w:rPr>
    </w:lvl>
    <w:lvl w:ilvl="8">
      <w:numFmt w:val="bullet"/>
      <w:lvlText w:val="▪"/>
      <w:lvlJc w:val="left"/>
      <w:pPr>
        <w:ind w:left="3600" w:hanging="360"/>
      </w:pPr>
      <w:rPr>
        <w:rFonts w:ascii="OpenSymbol, 'Arial Unicode MS'" w:hAnsi="OpenSymbol, 'Arial Unicode MS'" w:cs="OpenSymbol, 'Arial Unicode MS'"/>
      </w:rPr>
    </w:lvl>
  </w:abstractNum>
  <w:abstractNum w:abstractNumId="23" w15:restartNumberingAfterBreak="0">
    <w:nsid w:val="1BF07D1C"/>
    <w:multiLevelType w:val="multilevel"/>
    <w:tmpl w:val="CE1A7326"/>
    <w:styleLink w:val="WW8Num39"/>
    <w:lvl w:ilvl="0">
      <w:numFmt w:val="bullet"/>
      <w:lvlText w:val=""/>
      <w:lvlJc w:val="left"/>
      <w:pPr>
        <w:ind w:left="720" w:hanging="360"/>
      </w:pPr>
      <w:rPr>
        <w:rFonts w:ascii="Symbol" w:hAnsi="Symbol" w:cs="OpenSymbol, 'Arial Unicode MS'"/>
        <w:lang w:val="pl-PL"/>
      </w:rPr>
    </w:lvl>
    <w:lvl w:ilvl="1">
      <w:numFmt w:val="bullet"/>
      <w:lvlText w:val="◦"/>
      <w:lvlJc w:val="left"/>
      <w:pPr>
        <w:ind w:left="1080" w:hanging="360"/>
      </w:pPr>
      <w:rPr>
        <w:rFonts w:ascii="OpenSymbol, 'Arial Unicode MS'" w:hAnsi="OpenSymbol, 'Arial Unicode MS'" w:cs="OpenSymbol, 'Arial Unicode MS'"/>
      </w:rPr>
    </w:lvl>
    <w:lvl w:ilvl="2">
      <w:numFmt w:val="bullet"/>
      <w:lvlText w:val="▪"/>
      <w:lvlJc w:val="left"/>
      <w:pPr>
        <w:ind w:left="1440" w:hanging="360"/>
      </w:pPr>
      <w:rPr>
        <w:rFonts w:ascii="OpenSymbol, 'Arial Unicode MS'" w:hAnsi="OpenSymbol, 'Arial Unicode MS'" w:cs="OpenSymbol, 'Arial Unicode MS'"/>
      </w:rPr>
    </w:lvl>
    <w:lvl w:ilvl="3">
      <w:numFmt w:val="bullet"/>
      <w:lvlText w:val=""/>
      <w:lvlJc w:val="left"/>
      <w:pPr>
        <w:ind w:left="1800" w:hanging="360"/>
      </w:pPr>
      <w:rPr>
        <w:rFonts w:ascii="Symbol" w:hAnsi="Symbol" w:cs="OpenSymbol, 'Arial Unicode MS'"/>
        <w:lang w:val="pl-PL"/>
      </w:rPr>
    </w:lvl>
    <w:lvl w:ilvl="4">
      <w:numFmt w:val="bullet"/>
      <w:lvlText w:val="◦"/>
      <w:lvlJc w:val="left"/>
      <w:pPr>
        <w:ind w:left="2160" w:hanging="360"/>
      </w:pPr>
      <w:rPr>
        <w:rFonts w:ascii="OpenSymbol, 'Arial Unicode MS'" w:hAnsi="OpenSymbol, 'Arial Unicode MS'" w:cs="OpenSymbol, 'Arial Unicode MS'"/>
      </w:rPr>
    </w:lvl>
    <w:lvl w:ilvl="5">
      <w:numFmt w:val="bullet"/>
      <w:lvlText w:val="▪"/>
      <w:lvlJc w:val="left"/>
      <w:pPr>
        <w:ind w:left="2520" w:hanging="360"/>
      </w:pPr>
      <w:rPr>
        <w:rFonts w:ascii="OpenSymbol, 'Arial Unicode MS'" w:hAnsi="OpenSymbol, 'Arial Unicode MS'" w:cs="OpenSymbol, 'Arial Unicode MS'"/>
      </w:rPr>
    </w:lvl>
    <w:lvl w:ilvl="6">
      <w:numFmt w:val="bullet"/>
      <w:lvlText w:val=""/>
      <w:lvlJc w:val="left"/>
      <w:pPr>
        <w:ind w:left="2880" w:hanging="360"/>
      </w:pPr>
      <w:rPr>
        <w:rFonts w:ascii="Symbol" w:hAnsi="Symbol" w:cs="OpenSymbol, 'Arial Unicode MS'"/>
        <w:lang w:val="pl-PL"/>
      </w:rPr>
    </w:lvl>
    <w:lvl w:ilvl="7">
      <w:numFmt w:val="bullet"/>
      <w:lvlText w:val="◦"/>
      <w:lvlJc w:val="left"/>
      <w:pPr>
        <w:ind w:left="3240" w:hanging="360"/>
      </w:pPr>
      <w:rPr>
        <w:rFonts w:ascii="OpenSymbol, 'Arial Unicode MS'" w:hAnsi="OpenSymbol, 'Arial Unicode MS'" w:cs="OpenSymbol, 'Arial Unicode MS'"/>
      </w:rPr>
    </w:lvl>
    <w:lvl w:ilvl="8">
      <w:numFmt w:val="bullet"/>
      <w:lvlText w:val="▪"/>
      <w:lvlJc w:val="left"/>
      <w:pPr>
        <w:ind w:left="3600" w:hanging="360"/>
      </w:pPr>
      <w:rPr>
        <w:rFonts w:ascii="OpenSymbol, 'Arial Unicode MS'" w:hAnsi="OpenSymbol, 'Arial Unicode MS'" w:cs="OpenSymbol, 'Arial Unicode MS'"/>
      </w:rPr>
    </w:lvl>
  </w:abstractNum>
  <w:abstractNum w:abstractNumId="24" w15:restartNumberingAfterBreak="0">
    <w:nsid w:val="1CCB492A"/>
    <w:multiLevelType w:val="multilevel"/>
    <w:tmpl w:val="3DBCCE0E"/>
    <w:styleLink w:val="WW8Num23"/>
    <w:lvl w:ilvl="0">
      <w:start w:val="1"/>
      <w:numFmt w:val="decimal"/>
      <w:lvlText w:val="%1."/>
      <w:lvlJc w:val="left"/>
      <w:pPr>
        <w:ind w:left="288" w:hanging="288"/>
      </w:pPr>
      <w:rPr>
        <w:rFonts w:ascii="Times New Roman" w:hAnsi="Times New Roman" w:cs="Times New Roman"/>
        <w:lang w:val="pl-PL"/>
      </w:rPr>
    </w:lvl>
    <w:lvl w:ilvl="1">
      <w:start w:val="1"/>
      <w:numFmt w:val="lowerLetter"/>
      <w:lvlText w:val="%2)"/>
      <w:lvlJc w:val="left"/>
      <w:pPr>
        <w:ind w:left="576" w:hanging="288"/>
      </w:pPr>
      <w:rPr>
        <w:rFonts w:ascii="OpenSymbol, 'Arial Unicode MS'" w:hAnsi="OpenSymbol, 'Arial Unicode MS'" w:cs="OpenSymbol, 'Arial Unicode MS'"/>
      </w:rPr>
    </w:lvl>
    <w:lvl w:ilvl="2">
      <w:start w:val="1"/>
      <w:numFmt w:val="lowerLetter"/>
      <w:lvlText w:val="%3)"/>
      <w:lvlJc w:val="left"/>
      <w:pPr>
        <w:ind w:left="864" w:hanging="288"/>
      </w:pPr>
      <w:rPr>
        <w:rFonts w:ascii="OpenSymbol, 'Arial Unicode MS'" w:hAnsi="OpenSymbol, 'Arial Unicode MS'" w:cs="OpenSymbol, 'Arial Unicode MS'"/>
      </w:rPr>
    </w:lvl>
    <w:lvl w:ilvl="3">
      <w:start w:val="1"/>
      <w:numFmt w:val="lowerLetter"/>
      <w:lvlText w:val="%4)"/>
      <w:lvlJc w:val="left"/>
      <w:pPr>
        <w:ind w:left="1152" w:hanging="288"/>
      </w:pPr>
      <w:rPr>
        <w:rFonts w:ascii="OpenSymbol, 'Arial Unicode MS'" w:hAnsi="OpenSymbol, 'Arial Unicode MS'" w:cs="OpenSymbol, 'Arial Unicode MS'"/>
      </w:rPr>
    </w:lvl>
    <w:lvl w:ilvl="4">
      <w:start w:val="1"/>
      <w:numFmt w:val="lowerLetter"/>
      <w:lvlText w:val="%5)"/>
      <w:lvlJc w:val="left"/>
      <w:pPr>
        <w:ind w:left="1440" w:hanging="288"/>
      </w:pPr>
      <w:rPr>
        <w:rFonts w:ascii="OpenSymbol, 'Arial Unicode MS'" w:hAnsi="OpenSymbol, 'Arial Unicode MS'" w:cs="OpenSymbol, 'Arial Unicode MS'"/>
      </w:rPr>
    </w:lvl>
    <w:lvl w:ilvl="5">
      <w:start w:val="1"/>
      <w:numFmt w:val="lowerLetter"/>
      <w:lvlText w:val="%6)"/>
      <w:lvlJc w:val="left"/>
      <w:pPr>
        <w:ind w:left="1728" w:hanging="288"/>
      </w:pPr>
      <w:rPr>
        <w:rFonts w:ascii="OpenSymbol, 'Arial Unicode MS'" w:hAnsi="OpenSymbol, 'Arial Unicode MS'" w:cs="OpenSymbol, 'Arial Unicode MS'"/>
      </w:rPr>
    </w:lvl>
    <w:lvl w:ilvl="6">
      <w:start w:val="1"/>
      <w:numFmt w:val="lowerLetter"/>
      <w:lvlText w:val="%7)"/>
      <w:lvlJc w:val="left"/>
      <w:pPr>
        <w:ind w:left="2016" w:hanging="288"/>
      </w:pPr>
      <w:rPr>
        <w:rFonts w:ascii="OpenSymbol, 'Arial Unicode MS'" w:hAnsi="OpenSymbol, 'Arial Unicode MS'" w:cs="OpenSymbol, 'Arial Unicode MS'"/>
      </w:rPr>
    </w:lvl>
    <w:lvl w:ilvl="7">
      <w:start w:val="1"/>
      <w:numFmt w:val="lowerLetter"/>
      <w:lvlText w:val="%8)"/>
      <w:lvlJc w:val="left"/>
      <w:pPr>
        <w:ind w:left="2304" w:hanging="288"/>
      </w:pPr>
      <w:rPr>
        <w:rFonts w:ascii="OpenSymbol, 'Arial Unicode MS'" w:hAnsi="OpenSymbol, 'Arial Unicode MS'" w:cs="OpenSymbol, 'Arial Unicode MS'"/>
      </w:rPr>
    </w:lvl>
    <w:lvl w:ilvl="8">
      <w:start w:val="1"/>
      <w:numFmt w:val="lowerLetter"/>
      <w:lvlText w:val="%9)"/>
      <w:lvlJc w:val="left"/>
      <w:pPr>
        <w:ind w:left="2592" w:hanging="288"/>
      </w:pPr>
      <w:rPr>
        <w:rFonts w:ascii="OpenSymbol, 'Arial Unicode MS'" w:hAnsi="OpenSymbol, 'Arial Unicode MS'" w:cs="OpenSymbol, 'Arial Unicode MS'"/>
      </w:rPr>
    </w:lvl>
  </w:abstractNum>
  <w:abstractNum w:abstractNumId="25" w15:restartNumberingAfterBreak="0">
    <w:nsid w:val="1CE36E29"/>
    <w:multiLevelType w:val="multilevel"/>
    <w:tmpl w:val="D940061A"/>
    <w:styleLink w:val="WW8Num30"/>
    <w:lvl w:ilvl="0">
      <w:numFmt w:val="bullet"/>
      <w:lvlText w:val=""/>
      <w:lvlJc w:val="left"/>
      <w:pPr>
        <w:ind w:left="720" w:hanging="360"/>
      </w:pPr>
      <w:rPr>
        <w:rFonts w:ascii="Symbol" w:hAnsi="Symbol" w:cs="OpenSymbol, 'Arial Unicode MS'"/>
        <w:lang w:val="pl-PL"/>
      </w:rPr>
    </w:lvl>
    <w:lvl w:ilvl="1">
      <w:numFmt w:val="bullet"/>
      <w:lvlText w:val="◦"/>
      <w:lvlJc w:val="left"/>
      <w:pPr>
        <w:ind w:left="1080" w:hanging="360"/>
      </w:pPr>
      <w:rPr>
        <w:rFonts w:ascii="OpenSymbol, 'Arial Unicode MS'" w:hAnsi="OpenSymbol, 'Arial Unicode MS'" w:cs="OpenSymbol, 'Arial Unicode MS'"/>
      </w:rPr>
    </w:lvl>
    <w:lvl w:ilvl="2">
      <w:numFmt w:val="bullet"/>
      <w:lvlText w:val="▪"/>
      <w:lvlJc w:val="left"/>
      <w:pPr>
        <w:ind w:left="1440" w:hanging="360"/>
      </w:pPr>
      <w:rPr>
        <w:rFonts w:ascii="OpenSymbol, 'Arial Unicode MS'" w:hAnsi="OpenSymbol, 'Arial Unicode MS'" w:cs="OpenSymbol, 'Arial Unicode MS'"/>
      </w:rPr>
    </w:lvl>
    <w:lvl w:ilvl="3">
      <w:numFmt w:val="bullet"/>
      <w:lvlText w:val=""/>
      <w:lvlJc w:val="left"/>
      <w:pPr>
        <w:ind w:left="1800" w:hanging="360"/>
      </w:pPr>
      <w:rPr>
        <w:rFonts w:ascii="Symbol" w:hAnsi="Symbol" w:cs="OpenSymbol, 'Arial Unicode MS'"/>
        <w:lang w:val="pl-PL"/>
      </w:rPr>
    </w:lvl>
    <w:lvl w:ilvl="4">
      <w:numFmt w:val="bullet"/>
      <w:lvlText w:val="◦"/>
      <w:lvlJc w:val="left"/>
      <w:pPr>
        <w:ind w:left="2160" w:hanging="360"/>
      </w:pPr>
      <w:rPr>
        <w:rFonts w:ascii="OpenSymbol, 'Arial Unicode MS'" w:hAnsi="OpenSymbol, 'Arial Unicode MS'" w:cs="OpenSymbol, 'Arial Unicode MS'"/>
      </w:rPr>
    </w:lvl>
    <w:lvl w:ilvl="5">
      <w:numFmt w:val="bullet"/>
      <w:lvlText w:val="▪"/>
      <w:lvlJc w:val="left"/>
      <w:pPr>
        <w:ind w:left="2520" w:hanging="360"/>
      </w:pPr>
      <w:rPr>
        <w:rFonts w:ascii="OpenSymbol, 'Arial Unicode MS'" w:hAnsi="OpenSymbol, 'Arial Unicode MS'" w:cs="OpenSymbol, 'Arial Unicode MS'"/>
      </w:rPr>
    </w:lvl>
    <w:lvl w:ilvl="6">
      <w:numFmt w:val="bullet"/>
      <w:lvlText w:val=""/>
      <w:lvlJc w:val="left"/>
      <w:pPr>
        <w:ind w:left="2880" w:hanging="360"/>
      </w:pPr>
      <w:rPr>
        <w:rFonts w:ascii="Symbol" w:hAnsi="Symbol" w:cs="OpenSymbol, 'Arial Unicode MS'"/>
        <w:lang w:val="pl-PL"/>
      </w:rPr>
    </w:lvl>
    <w:lvl w:ilvl="7">
      <w:numFmt w:val="bullet"/>
      <w:lvlText w:val="◦"/>
      <w:lvlJc w:val="left"/>
      <w:pPr>
        <w:ind w:left="3240" w:hanging="360"/>
      </w:pPr>
      <w:rPr>
        <w:rFonts w:ascii="OpenSymbol, 'Arial Unicode MS'" w:hAnsi="OpenSymbol, 'Arial Unicode MS'" w:cs="OpenSymbol, 'Arial Unicode MS'"/>
      </w:rPr>
    </w:lvl>
    <w:lvl w:ilvl="8">
      <w:numFmt w:val="bullet"/>
      <w:lvlText w:val="▪"/>
      <w:lvlJc w:val="left"/>
      <w:pPr>
        <w:ind w:left="3600" w:hanging="360"/>
      </w:pPr>
      <w:rPr>
        <w:rFonts w:ascii="OpenSymbol, 'Arial Unicode MS'" w:hAnsi="OpenSymbol, 'Arial Unicode MS'" w:cs="OpenSymbol, 'Arial Unicode MS'"/>
      </w:rPr>
    </w:lvl>
  </w:abstractNum>
  <w:abstractNum w:abstractNumId="26" w15:restartNumberingAfterBreak="0">
    <w:nsid w:val="1FAE0A28"/>
    <w:multiLevelType w:val="multilevel"/>
    <w:tmpl w:val="ACC0E26C"/>
    <w:styleLink w:val="WW8Num45"/>
    <w:lvl w:ilvl="0">
      <w:numFmt w:val="bullet"/>
      <w:lvlText w:val=""/>
      <w:lvlJc w:val="left"/>
      <w:pPr>
        <w:ind w:left="720" w:hanging="360"/>
      </w:pPr>
      <w:rPr>
        <w:rFonts w:ascii="Symbol" w:hAnsi="Symbol" w:cs="OpenSymbol, 'Arial Unicode MS'"/>
        <w:lang w:val="pl-PL"/>
      </w:rPr>
    </w:lvl>
    <w:lvl w:ilvl="1">
      <w:numFmt w:val="bullet"/>
      <w:lvlText w:val="◦"/>
      <w:lvlJc w:val="left"/>
      <w:pPr>
        <w:ind w:left="1080" w:hanging="360"/>
      </w:pPr>
      <w:rPr>
        <w:rFonts w:ascii="OpenSymbol, 'Arial Unicode MS'" w:hAnsi="OpenSymbol, 'Arial Unicode MS'" w:cs="OpenSymbol, 'Arial Unicode MS'"/>
      </w:rPr>
    </w:lvl>
    <w:lvl w:ilvl="2">
      <w:numFmt w:val="bullet"/>
      <w:lvlText w:val="▪"/>
      <w:lvlJc w:val="left"/>
      <w:pPr>
        <w:ind w:left="1440" w:hanging="360"/>
      </w:pPr>
      <w:rPr>
        <w:rFonts w:ascii="OpenSymbol, 'Arial Unicode MS'" w:hAnsi="OpenSymbol, 'Arial Unicode MS'" w:cs="OpenSymbol, 'Arial Unicode MS'"/>
      </w:rPr>
    </w:lvl>
    <w:lvl w:ilvl="3">
      <w:numFmt w:val="bullet"/>
      <w:lvlText w:val=""/>
      <w:lvlJc w:val="left"/>
      <w:pPr>
        <w:ind w:left="1800" w:hanging="360"/>
      </w:pPr>
      <w:rPr>
        <w:rFonts w:ascii="Symbol" w:hAnsi="Symbol" w:cs="OpenSymbol, 'Arial Unicode MS'"/>
        <w:lang w:val="pl-PL"/>
      </w:rPr>
    </w:lvl>
    <w:lvl w:ilvl="4">
      <w:numFmt w:val="bullet"/>
      <w:lvlText w:val="◦"/>
      <w:lvlJc w:val="left"/>
      <w:pPr>
        <w:ind w:left="2160" w:hanging="360"/>
      </w:pPr>
      <w:rPr>
        <w:rFonts w:ascii="OpenSymbol, 'Arial Unicode MS'" w:hAnsi="OpenSymbol, 'Arial Unicode MS'" w:cs="OpenSymbol, 'Arial Unicode MS'"/>
      </w:rPr>
    </w:lvl>
    <w:lvl w:ilvl="5">
      <w:numFmt w:val="bullet"/>
      <w:lvlText w:val="▪"/>
      <w:lvlJc w:val="left"/>
      <w:pPr>
        <w:ind w:left="2520" w:hanging="360"/>
      </w:pPr>
      <w:rPr>
        <w:rFonts w:ascii="OpenSymbol, 'Arial Unicode MS'" w:hAnsi="OpenSymbol, 'Arial Unicode MS'" w:cs="OpenSymbol, 'Arial Unicode MS'"/>
      </w:rPr>
    </w:lvl>
    <w:lvl w:ilvl="6">
      <w:numFmt w:val="bullet"/>
      <w:lvlText w:val=""/>
      <w:lvlJc w:val="left"/>
      <w:pPr>
        <w:ind w:left="2880" w:hanging="360"/>
      </w:pPr>
      <w:rPr>
        <w:rFonts w:ascii="Symbol" w:hAnsi="Symbol" w:cs="OpenSymbol, 'Arial Unicode MS'"/>
        <w:lang w:val="pl-PL"/>
      </w:rPr>
    </w:lvl>
    <w:lvl w:ilvl="7">
      <w:numFmt w:val="bullet"/>
      <w:lvlText w:val="◦"/>
      <w:lvlJc w:val="left"/>
      <w:pPr>
        <w:ind w:left="3240" w:hanging="360"/>
      </w:pPr>
      <w:rPr>
        <w:rFonts w:ascii="OpenSymbol, 'Arial Unicode MS'" w:hAnsi="OpenSymbol, 'Arial Unicode MS'" w:cs="OpenSymbol, 'Arial Unicode MS'"/>
      </w:rPr>
    </w:lvl>
    <w:lvl w:ilvl="8">
      <w:numFmt w:val="bullet"/>
      <w:lvlText w:val="▪"/>
      <w:lvlJc w:val="left"/>
      <w:pPr>
        <w:ind w:left="3600" w:hanging="360"/>
      </w:pPr>
      <w:rPr>
        <w:rFonts w:ascii="OpenSymbol, 'Arial Unicode MS'" w:hAnsi="OpenSymbol, 'Arial Unicode MS'" w:cs="OpenSymbol, 'Arial Unicode MS'"/>
      </w:rPr>
    </w:lvl>
  </w:abstractNum>
  <w:abstractNum w:abstractNumId="27" w15:restartNumberingAfterBreak="0">
    <w:nsid w:val="22013F44"/>
    <w:multiLevelType w:val="multilevel"/>
    <w:tmpl w:val="9C887DD0"/>
    <w:styleLink w:val="WW8Num52"/>
    <w:lvl w:ilvl="0">
      <w:numFmt w:val="bullet"/>
      <w:lvlText w:val="-"/>
      <w:lvlJc w:val="left"/>
      <w:pPr>
        <w:ind w:left="720" w:hanging="360"/>
      </w:pPr>
      <w:rPr>
        <w:rFonts w:ascii="Times New Roman" w:hAnsi="Times New Roman" w:cs="OpenSymbol, 'Arial Unicode MS'"/>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8" w15:restartNumberingAfterBreak="0">
    <w:nsid w:val="23EF4CDE"/>
    <w:multiLevelType w:val="multilevel"/>
    <w:tmpl w:val="2C645C28"/>
    <w:styleLink w:val="WWNum10"/>
    <w:lvl w:ilvl="0">
      <w:numFmt w:val="bullet"/>
      <w:lvlText w:val=""/>
      <w:lvlJc w:val="left"/>
      <w:pPr>
        <w:ind w:left="720" w:hanging="360"/>
      </w:pPr>
    </w:lvl>
    <w:lvl w:ilvl="1">
      <w:numFmt w:val="bullet"/>
      <w:lvlText w:val="o"/>
      <w:lvlJc w:val="left"/>
      <w:pPr>
        <w:ind w:left="1440" w:hanging="360"/>
      </w:pPr>
      <w:rPr>
        <w:rFonts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cs="Courier New"/>
      </w:rPr>
    </w:lvl>
    <w:lvl w:ilvl="8">
      <w:numFmt w:val="bullet"/>
      <w:lvlText w:val=""/>
      <w:lvlJc w:val="left"/>
      <w:pPr>
        <w:ind w:left="6480" w:hanging="360"/>
      </w:pPr>
    </w:lvl>
  </w:abstractNum>
  <w:abstractNum w:abstractNumId="29" w15:restartNumberingAfterBreak="0">
    <w:nsid w:val="26B238F6"/>
    <w:multiLevelType w:val="multilevel"/>
    <w:tmpl w:val="042C8CB0"/>
    <w:styleLink w:val="WW8Num6"/>
    <w:lvl w:ilvl="0">
      <w:numFmt w:val="bullet"/>
      <w:lvlText w:val="-"/>
      <w:lvlJc w:val="left"/>
      <w:pPr>
        <w:ind w:left="720" w:hanging="360"/>
      </w:pPr>
      <w:rPr>
        <w:rFonts w:ascii="Times New Roman" w:hAnsi="Times New Roman" w:cs="OpenSymbol, 'Arial Unicode MS'"/>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0" w15:restartNumberingAfterBreak="0">
    <w:nsid w:val="28D8237D"/>
    <w:multiLevelType w:val="multilevel"/>
    <w:tmpl w:val="3FC4D0CE"/>
    <w:styleLink w:val="WW8Num1"/>
    <w:lvl w:ilvl="0">
      <w:start w:val="1"/>
      <w:numFmt w:val="none"/>
      <w:suff w:val="nothing"/>
      <w:lvlText w:val="%1"/>
      <w:lvlJc w:val="left"/>
      <w:pPr>
        <w:ind w:left="432" w:hanging="432"/>
      </w:pPr>
    </w:lvl>
    <w:lvl w:ilvl="1">
      <w:start w:val="1"/>
      <w:numFmt w:val="none"/>
      <w:suff w:val="nothing"/>
      <w:lvlText w:val="%2"/>
      <w:lvlJc w:val="left"/>
      <w:pPr>
        <w:ind w:left="576" w:hanging="576"/>
      </w:pPr>
    </w:lvl>
    <w:lvl w:ilvl="2">
      <w:start w:val="1"/>
      <w:numFmt w:val="none"/>
      <w:suff w:val="nothing"/>
      <w:lvlText w:val="%3"/>
      <w:lvlJc w:val="left"/>
      <w:pPr>
        <w:ind w:left="720" w:hanging="720"/>
      </w:pPr>
    </w:lvl>
    <w:lvl w:ilvl="3">
      <w:start w:val="1"/>
      <w:numFmt w:val="none"/>
      <w:suff w:val="nothing"/>
      <w:lvlText w:val="%4"/>
      <w:lvlJc w:val="left"/>
      <w:pPr>
        <w:ind w:left="864" w:hanging="864"/>
      </w:pPr>
    </w:lvl>
    <w:lvl w:ilvl="4">
      <w:start w:val="1"/>
      <w:numFmt w:val="none"/>
      <w:suff w:val="nothing"/>
      <w:lvlText w:val="%5"/>
      <w:lvlJc w:val="left"/>
      <w:pPr>
        <w:ind w:left="1008" w:hanging="1008"/>
      </w:pPr>
    </w:lvl>
    <w:lvl w:ilvl="5">
      <w:start w:val="1"/>
      <w:numFmt w:val="none"/>
      <w:suff w:val="nothing"/>
      <w:lvlText w:val="%6"/>
      <w:lvlJc w:val="left"/>
      <w:pPr>
        <w:ind w:left="1152" w:hanging="1152"/>
      </w:pPr>
    </w:lvl>
    <w:lvl w:ilvl="6">
      <w:start w:val="1"/>
      <w:numFmt w:val="none"/>
      <w:suff w:val="nothing"/>
      <w:lvlText w:val="%7"/>
      <w:lvlJc w:val="left"/>
      <w:pPr>
        <w:ind w:left="1296" w:hanging="1296"/>
      </w:pPr>
    </w:lvl>
    <w:lvl w:ilvl="7">
      <w:start w:val="1"/>
      <w:numFmt w:val="none"/>
      <w:suff w:val="nothing"/>
      <w:lvlText w:val="%8"/>
      <w:lvlJc w:val="left"/>
      <w:pPr>
        <w:ind w:left="1440" w:hanging="1440"/>
      </w:pPr>
    </w:lvl>
    <w:lvl w:ilvl="8">
      <w:start w:val="1"/>
      <w:numFmt w:val="none"/>
      <w:suff w:val="nothing"/>
      <w:lvlText w:val="%9"/>
      <w:lvlJc w:val="left"/>
      <w:pPr>
        <w:ind w:left="1584" w:hanging="1584"/>
      </w:pPr>
    </w:lvl>
  </w:abstractNum>
  <w:abstractNum w:abstractNumId="31" w15:restartNumberingAfterBreak="0">
    <w:nsid w:val="2B337500"/>
    <w:multiLevelType w:val="multilevel"/>
    <w:tmpl w:val="82323014"/>
    <w:styleLink w:val="WW8Num14"/>
    <w:lvl w:ilvl="0">
      <w:start w:val="1"/>
      <w:numFmt w:val="lowerLetter"/>
      <w:suff w:val="nothing"/>
      <w:lvlText w:val="%1)"/>
      <w:lvlJc w:val="left"/>
      <w:pPr>
        <w:ind w:left="288" w:firstLine="0"/>
      </w:pPr>
      <w:rPr>
        <w:rFonts w:ascii="OpenSymbol, 'Arial Unicode MS'" w:hAnsi="OpenSymbol, 'Arial Unicode MS'" w:cs="OpenSymbol, 'Arial Unicode MS'"/>
        <w:b/>
        <w:lang w:val="pl-PL"/>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2" w15:restartNumberingAfterBreak="0">
    <w:nsid w:val="2B4B1733"/>
    <w:multiLevelType w:val="multilevel"/>
    <w:tmpl w:val="8EFE16EC"/>
    <w:styleLink w:val="WWNum4"/>
    <w:lvl w:ilvl="0">
      <w:start w:val="1"/>
      <w:numFmt w:val="lowerLetter"/>
      <w:lvlText w:val="%1)"/>
      <w:lvlJc w:val="left"/>
      <w:pPr>
        <w:ind w:left="1080" w:hanging="360"/>
      </w:pPr>
      <w:rPr>
        <w:rFonts w:cs="Times New Roman"/>
      </w:rPr>
    </w:lvl>
    <w:lvl w:ilvl="1">
      <w:start w:val="1"/>
      <w:numFmt w:val="lowerLetter"/>
      <w:lvlText w:val="%2."/>
      <w:lvlJc w:val="left"/>
      <w:pPr>
        <w:ind w:left="1800" w:hanging="360"/>
      </w:pPr>
      <w:rPr>
        <w:rFonts w:cs="Times New Roman"/>
      </w:rPr>
    </w:lvl>
    <w:lvl w:ilvl="2">
      <w:start w:val="1"/>
      <w:numFmt w:val="lowerRoman"/>
      <w:lvlText w:val="%3."/>
      <w:lvlJc w:val="right"/>
      <w:pPr>
        <w:ind w:left="2520" w:hanging="180"/>
      </w:pPr>
      <w:rPr>
        <w:rFonts w:cs="Times New Roman"/>
      </w:rPr>
    </w:lvl>
    <w:lvl w:ilvl="3">
      <w:start w:val="1"/>
      <w:numFmt w:val="decimal"/>
      <w:lvlText w:val="%4."/>
      <w:lvlJc w:val="left"/>
      <w:pPr>
        <w:ind w:left="3240" w:hanging="360"/>
      </w:pPr>
      <w:rPr>
        <w:rFonts w:cs="Times New Roman"/>
      </w:rPr>
    </w:lvl>
    <w:lvl w:ilvl="4">
      <w:start w:val="1"/>
      <w:numFmt w:val="lowerLetter"/>
      <w:lvlText w:val="%5."/>
      <w:lvlJc w:val="left"/>
      <w:pPr>
        <w:ind w:left="3960" w:hanging="360"/>
      </w:pPr>
      <w:rPr>
        <w:rFonts w:cs="Times New Roman"/>
      </w:rPr>
    </w:lvl>
    <w:lvl w:ilvl="5">
      <w:start w:val="1"/>
      <w:numFmt w:val="lowerRoman"/>
      <w:lvlText w:val="%6."/>
      <w:lvlJc w:val="right"/>
      <w:pPr>
        <w:ind w:left="4680" w:hanging="180"/>
      </w:pPr>
      <w:rPr>
        <w:rFonts w:cs="Times New Roman"/>
      </w:rPr>
    </w:lvl>
    <w:lvl w:ilvl="6">
      <w:start w:val="1"/>
      <w:numFmt w:val="decimal"/>
      <w:lvlText w:val="%7."/>
      <w:lvlJc w:val="left"/>
      <w:pPr>
        <w:ind w:left="5400" w:hanging="360"/>
      </w:pPr>
      <w:rPr>
        <w:rFonts w:cs="Times New Roman"/>
      </w:rPr>
    </w:lvl>
    <w:lvl w:ilvl="7">
      <w:start w:val="1"/>
      <w:numFmt w:val="lowerLetter"/>
      <w:lvlText w:val="%8."/>
      <w:lvlJc w:val="left"/>
      <w:pPr>
        <w:ind w:left="6120" w:hanging="360"/>
      </w:pPr>
      <w:rPr>
        <w:rFonts w:cs="Times New Roman"/>
      </w:rPr>
    </w:lvl>
    <w:lvl w:ilvl="8">
      <w:start w:val="1"/>
      <w:numFmt w:val="lowerRoman"/>
      <w:lvlText w:val="%9."/>
      <w:lvlJc w:val="right"/>
      <w:pPr>
        <w:ind w:left="6840" w:hanging="180"/>
      </w:pPr>
      <w:rPr>
        <w:rFonts w:cs="Times New Roman"/>
      </w:rPr>
    </w:lvl>
  </w:abstractNum>
  <w:abstractNum w:abstractNumId="33" w15:restartNumberingAfterBreak="0">
    <w:nsid w:val="2C3C2B66"/>
    <w:multiLevelType w:val="multilevel"/>
    <w:tmpl w:val="47AAB20C"/>
    <w:styleLink w:val="WW8Num50"/>
    <w:lvl w:ilvl="0">
      <w:numFmt w:val="bullet"/>
      <w:lvlText w:val="-"/>
      <w:lvlJc w:val="left"/>
      <w:pPr>
        <w:ind w:left="720" w:hanging="360"/>
      </w:pPr>
      <w:rPr>
        <w:rFonts w:ascii="Times New Roman" w:hAnsi="Times New Roman" w:cs="OpenSymbol, 'Arial Unicode MS'"/>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4" w15:restartNumberingAfterBreak="0">
    <w:nsid w:val="2C520136"/>
    <w:multiLevelType w:val="multilevel"/>
    <w:tmpl w:val="4C80624E"/>
    <w:styleLink w:val="WW8Num42"/>
    <w:lvl w:ilvl="0">
      <w:numFmt w:val="bullet"/>
      <w:lvlText w:val=""/>
      <w:lvlJc w:val="left"/>
      <w:pPr>
        <w:ind w:left="720" w:hanging="360"/>
      </w:pPr>
      <w:rPr>
        <w:rFonts w:ascii="Symbol" w:hAnsi="Symbol" w:cs="OpenSymbol, 'Arial Unicode MS'"/>
        <w:lang w:val="pl-PL"/>
      </w:rPr>
    </w:lvl>
    <w:lvl w:ilvl="1">
      <w:numFmt w:val="bullet"/>
      <w:lvlText w:val="◦"/>
      <w:lvlJc w:val="left"/>
      <w:pPr>
        <w:ind w:left="1080" w:hanging="360"/>
      </w:pPr>
      <w:rPr>
        <w:rFonts w:ascii="OpenSymbol, 'Arial Unicode MS'" w:hAnsi="OpenSymbol, 'Arial Unicode MS'" w:cs="OpenSymbol, 'Arial Unicode MS'"/>
      </w:rPr>
    </w:lvl>
    <w:lvl w:ilvl="2">
      <w:numFmt w:val="bullet"/>
      <w:lvlText w:val="▪"/>
      <w:lvlJc w:val="left"/>
      <w:pPr>
        <w:ind w:left="1440" w:hanging="360"/>
      </w:pPr>
      <w:rPr>
        <w:rFonts w:ascii="OpenSymbol, 'Arial Unicode MS'" w:hAnsi="OpenSymbol, 'Arial Unicode MS'" w:cs="OpenSymbol, 'Arial Unicode MS'"/>
      </w:rPr>
    </w:lvl>
    <w:lvl w:ilvl="3">
      <w:numFmt w:val="bullet"/>
      <w:lvlText w:val=""/>
      <w:lvlJc w:val="left"/>
      <w:pPr>
        <w:ind w:left="1800" w:hanging="360"/>
      </w:pPr>
      <w:rPr>
        <w:rFonts w:ascii="Symbol" w:hAnsi="Symbol" w:cs="OpenSymbol, 'Arial Unicode MS'"/>
        <w:lang w:val="pl-PL"/>
      </w:rPr>
    </w:lvl>
    <w:lvl w:ilvl="4">
      <w:numFmt w:val="bullet"/>
      <w:lvlText w:val="◦"/>
      <w:lvlJc w:val="left"/>
      <w:pPr>
        <w:ind w:left="2160" w:hanging="360"/>
      </w:pPr>
      <w:rPr>
        <w:rFonts w:ascii="OpenSymbol, 'Arial Unicode MS'" w:hAnsi="OpenSymbol, 'Arial Unicode MS'" w:cs="OpenSymbol, 'Arial Unicode MS'"/>
      </w:rPr>
    </w:lvl>
    <w:lvl w:ilvl="5">
      <w:numFmt w:val="bullet"/>
      <w:lvlText w:val="▪"/>
      <w:lvlJc w:val="left"/>
      <w:pPr>
        <w:ind w:left="2520" w:hanging="360"/>
      </w:pPr>
      <w:rPr>
        <w:rFonts w:ascii="OpenSymbol, 'Arial Unicode MS'" w:hAnsi="OpenSymbol, 'Arial Unicode MS'" w:cs="OpenSymbol, 'Arial Unicode MS'"/>
      </w:rPr>
    </w:lvl>
    <w:lvl w:ilvl="6">
      <w:numFmt w:val="bullet"/>
      <w:lvlText w:val=""/>
      <w:lvlJc w:val="left"/>
      <w:pPr>
        <w:ind w:left="2880" w:hanging="360"/>
      </w:pPr>
      <w:rPr>
        <w:rFonts w:ascii="Symbol" w:hAnsi="Symbol" w:cs="OpenSymbol, 'Arial Unicode MS'"/>
        <w:lang w:val="pl-PL"/>
      </w:rPr>
    </w:lvl>
    <w:lvl w:ilvl="7">
      <w:numFmt w:val="bullet"/>
      <w:lvlText w:val="◦"/>
      <w:lvlJc w:val="left"/>
      <w:pPr>
        <w:ind w:left="3240" w:hanging="360"/>
      </w:pPr>
      <w:rPr>
        <w:rFonts w:ascii="OpenSymbol, 'Arial Unicode MS'" w:hAnsi="OpenSymbol, 'Arial Unicode MS'" w:cs="OpenSymbol, 'Arial Unicode MS'"/>
      </w:rPr>
    </w:lvl>
    <w:lvl w:ilvl="8">
      <w:numFmt w:val="bullet"/>
      <w:lvlText w:val="▪"/>
      <w:lvlJc w:val="left"/>
      <w:pPr>
        <w:ind w:left="3600" w:hanging="360"/>
      </w:pPr>
      <w:rPr>
        <w:rFonts w:ascii="OpenSymbol, 'Arial Unicode MS'" w:hAnsi="OpenSymbol, 'Arial Unicode MS'" w:cs="OpenSymbol, 'Arial Unicode MS'"/>
      </w:rPr>
    </w:lvl>
  </w:abstractNum>
  <w:abstractNum w:abstractNumId="35" w15:restartNumberingAfterBreak="0">
    <w:nsid w:val="2EDA0C91"/>
    <w:multiLevelType w:val="multilevel"/>
    <w:tmpl w:val="818C58F0"/>
    <w:styleLink w:val="WW8Num47"/>
    <w:lvl w:ilvl="0">
      <w:start w:val="1"/>
      <w:numFmt w:val="decimal"/>
      <w:lvlText w:val="%1."/>
      <w:lvlJc w:val="left"/>
      <w:pPr>
        <w:ind w:left="720" w:hanging="360"/>
      </w:pPr>
      <w:rPr>
        <w:rFonts w:cs="Arial"/>
        <w:lang w:val="pl-PL"/>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6" w15:restartNumberingAfterBreak="0">
    <w:nsid w:val="2F1C6FF8"/>
    <w:multiLevelType w:val="multilevel"/>
    <w:tmpl w:val="AE9882AC"/>
    <w:styleLink w:val="WW8Num33"/>
    <w:lvl w:ilvl="0">
      <w:numFmt w:val="bullet"/>
      <w:lvlText w:val=""/>
      <w:lvlJc w:val="left"/>
      <w:pPr>
        <w:ind w:left="720" w:hanging="360"/>
      </w:pPr>
      <w:rPr>
        <w:rFonts w:ascii="Symbol" w:hAnsi="Symbol" w:cs="Times New Roman"/>
        <w:lang w:val="pl-PL"/>
      </w:rPr>
    </w:lvl>
    <w:lvl w:ilvl="1">
      <w:numFmt w:val="bullet"/>
      <w:lvlText w:val="◦"/>
      <w:lvlJc w:val="left"/>
      <w:pPr>
        <w:ind w:left="1080" w:hanging="360"/>
      </w:pPr>
      <w:rPr>
        <w:rFonts w:ascii="OpenSymbol, 'Arial Unicode MS'" w:hAnsi="OpenSymbol, 'Arial Unicode MS'" w:cs="OpenSymbol, 'Arial Unicode MS'"/>
      </w:rPr>
    </w:lvl>
    <w:lvl w:ilvl="2">
      <w:numFmt w:val="bullet"/>
      <w:lvlText w:val="▪"/>
      <w:lvlJc w:val="left"/>
      <w:pPr>
        <w:ind w:left="1440" w:hanging="360"/>
      </w:pPr>
      <w:rPr>
        <w:rFonts w:ascii="OpenSymbol, 'Arial Unicode MS'" w:hAnsi="OpenSymbol, 'Arial Unicode MS'" w:cs="OpenSymbol, 'Arial Unicode MS'"/>
      </w:rPr>
    </w:lvl>
    <w:lvl w:ilvl="3">
      <w:numFmt w:val="bullet"/>
      <w:lvlText w:val=""/>
      <w:lvlJc w:val="left"/>
      <w:pPr>
        <w:ind w:left="1800" w:hanging="360"/>
      </w:pPr>
      <w:rPr>
        <w:rFonts w:ascii="Symbol" w:hAnsi="Symbol" w:cs="Times New Roman"/>
        <w:lang w:val="pl-PL"/>
      </w:rPr>
    </w:lvl>
    <w:lvl w:ilvl="4">
      <w:numFmt w:val="bullet"/>
      <w:lvlText w:val="◦"/>
      <w:lvlJc w:val="left"/>
      <w:pPr>
        <w:ind w:left="2160" w:hanging="360"/>
      </w:pPr>
      <w:rPr>
        <w:rFonts w:ascii="OpenSymbol, 'Arial Unicode MS'" w:hAnsi="OpenSymbol, 'Arial Unicode MS'" w:cs="OpenSymbol, 'Arial Unicode MS'"/>
      </w:rPr>
    </w:lvl>
    <w:lvl w:ilvl="5">
      <w:numFmt w:val="bullet"/>
      <w:lvlText w:val="▪"/>
      <w:lvlJc w:val="left"/>
      <w:pPr>
        <w:ind w:left="2520" w:hanging="360"/>
      </w:pPr>
      <w:rPr>
        <w:rFonts w:ascii="OpenSymbol, 'Arial Unicode MS'" w:hAnsi="OpenSymbol, 'Arial Unicode MS'" w:cs="OpenSymbol, 'Arial Unicode MS'"/>
      </w:rPr>
    </w:lvl>
    <w:lvl w:ilvl="6">
      <w:numFmt w:val="bullet"/>
      <w:lvlText w:val=""/>
      <w:lvlJc w:val="left"/>
      <w:pPr>
        <w:ind w:left="2880" w:hanging="360"/>
      </w:pPr>
      <w:rPr>
        <w:rFonts w:ascii="Symbol" w:hAnsi="Symbol" w:cs="Times New Roman"/>
        <w:lang w:val="pl-PL"/>
      </w:rPr>
    </w:lvl>
    <w:lvl w:ilvl="7">
      <w:numFmt w:val="bullet"/>
      <w:lvlText w:val="◦"/>
      <w:lvlJc w:val="left"/>
      <w:pPr>
        <w:ind w:left="3240" w:hanging="360"/>
      </w:pPr>
      <w:rPr>
        <w:rFonts w:ascii="OpenSymbol, 'Arial Unicode MS'" w:hAnsi="OpenSymbol, 'Arial Unicode MS'" w:cs="OpenSymbol, 'Arial Unicode MS'"/>
      </w:rPr>
    </w:lvl>
    <w:lvl w:ilvl="8">
      <w:numFmt w:val="bullet"/>
      <w:lvlText w:val="▪"/>
      <w:lvlJc w:val="left"/>
      <w:pPr>
        <w:ind w:left="3600" w:hanging="360"/>
      </w:pPr>
      <w:rPr>
        <w:rFonts w:ascii="OpenSymbol, 'Arial Unicode MS'" w:hAnsi="OpenSymbol, 'Arial Unicode MS'" w:cs="OpenSymbol, 'Arial Unicode MS'"/>
      </w:rPr>
    </w:lvl>
  </w:abstractNum>
  <w:abstractNum w:abstractNumId="37" w15:restartNumberingAfterBreak="0">
    <w:nsid w:val="33B2681C"/>
    <w:multiLevelType w:val="multilevel"/>
    <w:tmpl w:val="AB6CF89E"/>
    <w:styleLink w:val="WW8Num17"/>
    <w:lvl w:ilvl="0">
      <w:start w:val="1"/>
      <w:numFmt w:val="lowerLetter"/>
      <w:lvlText w:val="%1)"/>
      <w:lvlJc w:val="left"/>
      <w:pPr>
        <w:ind w:left="720" w:hanging="360"/>
      </w:pPr>
      <w:rPr>
        <w:rFonts w:ascii="Times New Roman" w:hAnsi="Times New Roman" w:cs="Times New Roman"/>
        <w:b w:val="0"/>
        <w:i w:val="0"/>
        <w:strike w:val="0"/>
        <w:dstrike w:val="0"/>
        <w:sz w:val="24"/>
        <w:u w:val="none"/>
        <w:lang w:val="pl-PL"/>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8" w15:restartNumberingAfterBreak="0">
    <w:nsid w:val="341D7B0B"/>
    <w:multiLevelType w:val="multilevel"/>
    <w:tmpl w:val="51AE08A4"/>
    <w:styleLink w:val="WW8Num8"/>
    <w:lvl w:ilvl="0">
      <w:start w:val="1"/>
      <w:numFmt w:val="lowerLetter"/>
      <w:lvlText w:val="%1)"/>
      <w:lvlJc w:val="left"/>
      <w:pPr>
        <w:ind w:left="360" w:hanging="360"/>
      </w:pPr>
      <w:rPr>
        <w:rFonts w:ascii="Arial" w:hAnsi="Arial" w:cs="Arial"/>
        <w:sz w:val="20"/>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9" w15:restartNumberingAfterBreak="0">
    <w:nsid w:val="37B26DF4"/>
    <w:multiLevelType w:val="multilevel"/>
    <w:tmpl w:val="DA9C282A"/>
    <w:styleLink w:val="WWNum23"/>
    <w:lvl w:ilvl="0">
      <w:start w:val="64"/>
      <w:numFmt w:val="decimal"/>
      <w:lvlText w:val="%1."/>
      <w:lvlJc w:val="left"/>
      <w:pPr>
        <w:ind w:left="397" w:hanging="397"/>
      </w:pPr>
      <w:rPr>
        <w:rFonts w:cs="Times New Roman"/>
        <w:b w:val="0"/>
        <w:bCs w:val="0"/>
        <w:i w:val="0"/>
        <w:iCs w:val="0"/>
        <w:caps w:val="0"/>
        <w:smallCaps w:val="0"/>
        <w:strike w:val="0"/>
        <w:dstrike w:val="0"/>
        <w:outline w:val="0"/>
        <w:emboss w:val="0"/>
        <w:imprint w:val="0"/>
        <w:vanish w:val="0"/>
        <w:spacing w:val="0"/>
        <w:kern w:val="0"/>
        <w:position w:val="0"/>
        <w:u w:val="none"/>
        <w:vertAlign w:val="baseline"/>
        <w:em w:val="no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0" w15:restartNumberingAfterBreak="0">
    <w:nsid w:val="386A7139"/>
    <w:multiLevelType w:val="multilevel"/>
    <w:tmpl w:val="B71E7C30"/>
    <w:styleLink w:val="WW8Num31"/>
    <w:lvl w:ilvl="0">
      <w:numFmt w:val="bullet"/>
      <w:lvlText w:val=""/>
      <w:lvlJc w:val="left"/>
      <w:pPr>
        <w:ind w:left="720" w:hanging="360"/>
      </w:pPr>
      <w:rPr>
        <w:rFonts w:ascii="Symbol" w:hAnsi="Symbol" w:cs="OpenSymbol, 'Arial Unicode MS'"/>
        <w:lang w:val="pl-PL"/>
      </w:rPr>
    </w:lvl>
    <w:lvl w:ilvl="1">
      <w:numFmt w:val="bullet"/>
      <w:lvlText w:val="◦"/>
      <w:lvlJc w:val="left"/>
      <w:pPr>
        <w:ind w:left="1080" w:hanging="360"/>
      </w:pPr>
      <w:rPr>
        <w:rFonts w:ascii="OpenSymbol, 'Arial Unicode MS'" w:hAnsi="OpenSymbol, 'Arial Unicode MS'" w:cs="OpenSymbol, 'Arial Unicode MS'"/>
      </w:rPr>
    </w:lvl>
    <w:lvl w:ilvl="2">
      <w:numFmt w:val="bullet"/>
      <w:lvlText w:val="▪"/>
      <w:lvlJc w:val="left"/>
      <w:pPr>
        <w:ind w:left="1440" w:hanging="360"/>
      </w:pPr>
      <w:rPr>
        <w:rFonts w:ascii="OpenSymbol, 'Arial Unicode MS'" w:hAnsi="OpenSymbol, 'Arial Unicode MS'" w:cs="OpenSymbol, 'Arial Unicode MS'"/>
      </w:rPr>
    </w:lvl>
    <w:lvl w:ilvl="3">
      <w:numFmt w:val="bullet"/>
      <w:lvlText w:val=""/>
      <w:lvlJc w:val="left"/>
      <w:pPr>
        <w:ind w:left="1800" w:hanging="360"/>
      </w:pPr>
      <w:rPr>
        <w:rFonts w:ascii="Symbol" w:hAnsi="Symbol" w:cs="OpenSymbol, 'Arial Unicode MS'"/>
        <w:lang w:val="pl-PL"/>
      </w:rPr>
    </w:lvl>
    <w:lvl w:ilvl="4">
      <w:numFmt w:val="bullet"/>
      <w:lvlText w:val="◦"/>
      <w:lvlJc w:val="left"/>
      <w:pPr>
        <w:ind w:left="2160" w:hanging="360"/>
      </w:pPr>
      <w:rPr>
        <w:rFonts w:ascii="OpenSymbol, 'Arial Unicode MS'" w:hAnsi="OpenSymbol, 'Arial Unicode MS'" w:cs="OpenSymbol, 'Arial Unicode MS'"/>
      </w:rPr>
    </w:lvl>
    <w:lvl w:ilvl="5">
      <w:numFmt w:val="bullet"/>
      <w:lvlText w:val="▪"/>
      <w:lvlJc w:val="left"/>
      <w:pPr>
        <w:ind w:left="2520" w:hanging="360"/>
      </w:pPr>
      <w:rPr>
        <w:rFonts w:ascii="OpenSymbol, 'Arial Unicode MS'" w:hAnsi="OpenSymbol, 'Arial Unicode MS'" w:cs="OpenSymbol, 'Arial Unicode MS'"/>
      </w:rPr>
    </w:lvl>
    <w:lvl w:ilvl="6">
      <w:numFmt w:val="bullet"/>
      <w:lvlText w:val=""/>
      <w:lvlJc w:val="left"/>
      <w:pPr>
        <w:ind w:left="2880" w:hanging="360"/>
      </w:pPr>
      <w:rPr>
        <w:rFonts w:ascii="Symbol" w:hAnsi="Symbol" w:cs="OpenSymbol, 'Arial Unicode MS'"/>
        <w:lang w:val="pl-PL"/>
      </w:rPr>
    </w:lvl>
    <w:lvl w:ilvl="7">
      <w:numFmt w:val="bullet"/>
      <w:lvlText w:val="◦"/>
      <w:lvlJc w:val="left"/>
      <w:pPr>
        <w:ind w:left="3240" w:hanging="360"/>
      </w:pPr>
      <w:rPr>
        <w:rFonts w:ascii="OpenSymbol, 'Arial Unicode MS'" w:hAnsi="OpenSymbol, 'Arial Unicode MS'" w:cs="OpenSymbol, 'Arial Unicode MS'"/>
      </w:rPr>
    </w:lvl>
    <w:lvl w:ilvl="8">
      <w:numFmt w:val="bullet"/>
      <w:lvlText w:val="▪"/>
      <w:lvlJc w:val="left"/>
      <w:pPr>
        <w:ind w:left="3600" w:hanging="360"/>
      </w:pPr>
      <w:rPr>
        <w:rFonts w:ascii="OpenSymbol, 'Arial Unicode MS'" w:hAnsi="OpenSymbol, 'Arial Unicode MS'" w:cs="OpenSymbol, 'Arial Unicode MS'"/>
      </w:rPr>
    </w:lvl>
  </w:abstractNum>
  <w:abstractNum w:abstractNumId="41" w15:restartNumberingAfterBreak="0">
    <w:nsid w:val="39872BF2"/>
    <w:multiLevelType w:val="multilevel"/>
    <w:tmpl w:val="35404DDA"/>
    <w:styleLink w:val="WWNum21"/>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rFonts w:cs="Times New Roman"/>
        <w:b w:val="0"/>
        <w:bCs w:val="0"/>
        <w:i w:val="0"/>
        <w:iCs w:val="0"/>
        <w:caps w:val="0"/>
        <w:smallCaps w:val="0"/>
        <w:strike w:val="0"/>
        <w:dstrike w:val="0"/>
        <w:outline w:val="0"/>
        <w:emboss w:val="0"/>
        <w:imprint w:val="0"/>
        <w:vanish w:val="0"/>
        <w:spacing w:val="0"/>
        <w:kern w:val="0"/>
        <w:position w:val="0"/>
        <w:u w:val="none"/>
        <w:vertAlign w:val="baseline"/>
        <w:em w:val="none"/>
      </w:rPr>
    </w:lvl>
    <w:lvl w:ilvl="3">
      <w:start w:val="1"/>
      <w:numFmt w:val="decimal"/>
      <w:lvlText w:val="%1.%2.%3.%4"/>
      <w:lvlJc w:val="left"/>
      <w:pPr>
        <w:ind w:left="864" w:hanging="864"/>
      </w:pPr>
      <w:rPr>
        <w:rFonts w:cs="Times New Roman"/>
        <w:b w:val="0"/>
        <w:bCs w:val="0"/>
        <w:i w:val="0"/>
        <w:iCs w:val="0"/>
        <w:caps w:val="0"/>
        <w:smallCaps w:val="0"/>
        <w:strike w:val="0"/>
        <w:dstrike w:val="0"/>
        <w:outline w:val="0"/>
        <w:emboss w:val="0"/>
        <w:imprint w:val="0"/>
        <w:vanish w:val="0"/>
        <w:spacing w:val="0"/>
        <w:kern w:val="0"/>
        <w:position w:val="0"/>
        <w:u w:val="none"/>
        <w:vertAlign w:val="baseline"/>
        <w:em w:val="none"/>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2" w15:restartNumberingAfterBreak="0">
    <w:nsid w:val="3B3119F1"/>
    <w:multiLevelType w:val="multilevel"/>
    <w:tmpl w:val="F500C8EE"/>
    <w:styleLink w:val="WW8Num236"/>
    <w:lvl w:ilvl="0">
      <w:numFmt w:val="bullet"/>
      <w:lvlText w:val=""/>
      <w:lvlJc w:val="left"/>
      <w:pPr>
        <w:ind w:left="720" w:hanging="360"/>
      </w:pPr>
      <w:rPr>
        <w:rFonts w:ascii="Wingdings" w:hAnsi="Wingdings" w:cs="Wingdings"/>
        <w:sz w:val="20"/>
        <w:szCs w:val="20"/>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cs="Wingdings"/>
        <w:sz w:val="20"/>
        <w:szCs w:val="20"/>
      </w:rPr>
    </w:lvl>
    <w:lvl w:ilvl="3">
      <w:numFmt w:val="bullet"/>
      <w:lvlText w:val=""/>
      <w:lvlJc w:val="left"/>
      <w:pPr>
        <w:ind w:left="2880" w:hanging="360"/>
      </w:pPr>
      <w:rPr>
        <w:rFonts w:ascii="Symbol" w:hAnsi="Symbol" w:cs="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cs="Wingdings"/>
        <w:sz w:val="20"/>
        <w:szCs w:val="20"/>
      </w:rPr>
    </w:lvl>
    <w:lvl w:ilvl="6">
      <w:numFmt w:val="bullet"/>
      <w:lvlText w:val=""/>
      <w:lvlJc w:val="left"/>
      <w:pPr>
        <w:ind w:left="5040" w:hanging="360"/>
      </w:pPr>
      <w:rPr>
        <w:rFonts w:ascii="Symbol" w:hAnsi="Symbol" w:cs="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cs="Wingdings"/>
        <w:sz w:val="20"/>
        <w:szCs w:val="20"/>
      </w:rPr>
    </w:lvl>
  </w:abstractNum>
  <w:abstractNum w:abstractNumId="43" w15:restartNumberingAfterBreak="0">
    <w:nsid w:val="3DA06F11"/>
    <w:multiLevelType w:val="multilevel"/>
    <w:tmpl w:val="7F84682E"/>
    <w:styleLink w:val="WW8Num18"/>
    <w:lvl w:ilvl="0">
      <w:numFmt w:val="bullet"/>
      <w:lvlText w:val=""/>
      <w:lvlJc w:val="left"/>
      <w:pPr>
        <w:ind w:left="720" w:hanging="360"/>
      </w:pPr>
      <w:rPr>
        <w:rFonts w:ascii="Symbol" w:eastAsia="Times New Roman" w:hAnsi="Symbol" w:cs="Arial"/>
        <w:spacing w:val="0"/>
        <w:sz w:val="20"/>
        <w:lang w:val="pl-PL"/>
      </w:rPr>
    </w:lvl>
    <w:lvl w:ilvl="1">
      <w:numFmt w:val="bullet"/>
      <w:lvlText w:val="◦"/>
      <w:lvlJc w:val="left"/>
      <w:pPr>
        <w:ind w:left="1080" w:hanging="360"/>
      </w:pPr>
      <w:rPr>
        <w:rFonts w:ascii="OpenSymbol, 'Arial Unicode MS'" w:hAnsi="OpenSymbol, 'Arial Unicode MS'" w:cs="OpenSymbol, 'Arial Unicode MS'"/>
      </w:rPr>
    </w:lvl>
    <w:lvl w:ilvl="2">
      <w:numFmt w:val="bullet"/>
      <w:lvlText w:val="▪"/>
      <w:lvlJc w:val="left"/>
      <w:pPr>
        <w:ind w:left="1440" w:hanging="360"/>
      </w:pPr>
      <w:rPr>
        <w:rFonts w:ascii="OpenSymbol, 'Arial Unicode MS'" w:hAnsi="OpenSymbol, 'Arial Unicode MS'" w:cs="OpenSymbol, 'Arial Unicode MS'"/>
      </w:rPr>
    </w:lvl>
    <w:lvl w:ilvl="3">
      <w:numFmt w:val="bullet"/>
      <w:lvlText w:val=""/>
      <w:lvlJc w:val="left"/>
      <w:pPr>
        <w:ind w:left="1800" w:hanging="360"/>
      </w:pPr>
      <w:rPr>
        <w:rFonts w:ascii="Symbol" w:eastAsia="Times New Roman" w:hAnsi="Symbol" w:cs="Arial"/>
        <w:spacing w:val="0"/>
        <w:sz w:val="20"/>
        <w:lang w:val="pl-PL"/>
      </w:rPr>
    </w:lvl>
    <w:lvl w:ilvl="4">
      <w:numFmt w:val="bullet"/>
      <w:lvlText w:val="◦"/>
      <w:lvlJc w:val="left"/>
      <w:pPr>
        <w:ind w:left="2160" w:hanging="360"/>
      </w:pPr>
      <w:rPr>
        <w:rFonts w:ascii="OpenSymbol, 'Arial Unicode MS'" w:hAnsi="OpenSymbol, 'Arial Unicode MS'" w:cs="OpenSymbol, 'Arial Unicode MS'"/>
      </w:rPr>
    </w:lvl>
    <w:lvl w:ilvl="5">
      <w:numFmt w:val="bullet"/>
      <w:lvlText w:val="▪"/>
      <w:lvlJc w:val="left"/>
      <w:pPr>
        <w:ind w:left="2520" w:hanging="360"/>
      </w:pPr>
      <w:rPr>
        <w:rFonts w:ascii="OpenSymbol, 'Arial Unicode MS'" w:hAnsi="OpenSymbol, 'Arial Unicode MS'" w:cs="OpenSymbol, 'Arial Unicode MS'"/>
      </w:rPr>
    </w:lvl>
    <w:lvl w:ilvl="6">
      <w:numFmt w:val="bullet"/>
      <w:lvlText w:val=""/>
      <w:lvlJc w:val="left"/>
      <w:pPr>
        <w:ind w:left="2880" w:hanging="360"/>
      </w:pPr>
      <w:rPr>
        <w:rFonts w:ascii="Symbol" w:eastAsia="Times New Roman" w:hAnsi="Symbol" w:cs="Arial"/>
        <w:spacing w:val="0"/>
        <w:sz w:val="20"/>
        <w:lang w:val="pl-PL"/>
      </w:rPr>
    </w:lvl>
    <w:lvl w:ilvl="7">
      <w:numFmt w:val="bullet"/>
      <w:lvlText w:val="◦"/>
      <w:lvlJc w:val="left"/>
      <w:pPr>
        <w:ind w:left="3240" w:hanging="360"/>
      </w:pPr>
      <w:rPr>
        <w:rFonts w:ascii="OpenSymbol, 'Arial Unicode MS'" w:hAnsi="OpenSymbol, 'Arial Unicode MS'" w:cs="OpenSymbol, 'Arial Unicode MS'"/>
      </w:rPr>
    </w:lvl>
    <w:lvl w:ilvl="8">
      <w:numFmt w:val="bullet"/>
      <w:lvlText w:val="▪"/>
      <w:lvlJc w:val="left"/>
      <w:pPr>
        <w:ind w:left="3600" w:hanging="360"/>
      </w:pPr>
      <w:rPr>
        <w:rFonts w:ascii="OpenSymbol, 'Arial Unicode MS'" w:hAnsi="OpenSymbol, 'Arial Unicode MS'" w:cs="OpenSymbol, 'Arial Unicode MS'"/>
      </w:rPr>
    </w:lvl>
  </w:abstractNum>
  <w:abstractNum w:abstractNumId="44" w15:restartNumberingAfterBreak="0">
    <w:nsid w:val="40C46B21"/>
    <w:multiLevelType w:val="multilevel"/>
    <w:tmpl w:val="472CBC66"/>
    <w:styleLink w:val="WWNum7"/>
    <w:lvl w:ilvl="0">
      <w:numFmt w:val="bullet"/>
      <w:lvlText w:val="–"/>
      <w:lvlJc w:val="left"/>
      <w:pPr>
        <w:ind w:left="397" w:hanging="397"/>
      </w:pPr>
    </w:lvl>
    <w:lvl w:ilvl="1">
      <w:start w:val="1"/>
      <w:numFmt w:val="decimal"/>
      <w:lvlText w:val="%2."/>
      <w:lvlJc w:val="left"/>
      <w:pPr>
        <w:ind w:left="1440" w:hanging="360"/>
      </w:pPr>
      <w:rPr>
        <w:rFonts w:cs="Times New Roman"/>
      </w:rPr>
    </w:lvl>
    <w:lvl w:ilvl="2">
      <w:start w:val="1"/>
      <w:numFmt w:val="decimal"/>
      <w:lvlText w:val="%3."/>
      <w:lvlJc w:val="left"/>
      <w:pPr>
        <w:ind w:left="2160" w:hanging="360"/>
      </w:pPr>
      <w:rPr>
        <w:rFonts w:cs="Times New Roman"/>
      </w:rPr>
    </w:lvl>
    <w:lvl w:ilvl="3">
      <w:start w:val="1"/>
      <w:numFmt w:val="decimal"/>
      <w:lvlText w:val="%4."/>
      <w:lvlJc w:val="left"/>
      <w:pPr>
        <w:ind w:left="2880" w:hanging="360"/>
      </w:pPr>
      <w:rPr>
        <w:rFonts w:cs="Times New Roman"/>
      </w:rPr>
    </w:lvl>
    <w:lvl w:ilvl="4">
      <w:start w:val="1"/>
      <w:numFmt w:val="decimal"/>
      <w:lvlText w:val="%5."/>
      <w:lvlJc w:val="left"/>
      <w:pPr>
        <w:ind w:left="3600" w:hanging="360"/>
      </w:pPr>
      <w:rPr>
        <w:rFonts w:cs="Times New Roman"/>
      </w:rPr>
    </w:lvl>
    <w:lvl w:ilvl="5">
      <w:start w:val="1"/>
      <w:numFmt w:val="decimal"/>
      <w:lvlText w:val="%6."/>
      <w:lvlJc w:val="left"/>
      <w:pPr>
        <w:ind w:left="4320" w:hanging="360"/>
      </w:pPr>
      <w:rPr>
        <w:rFonts w:cs="Times New Roman"/>
      </w:rPr>
    </w:lvl>
    <w:lvl w:ilvl="6">
      <w:start w:val="1"/>
      <w:numFmt w:val="decimal"/>
      <w:lvlText w:val="%7."/>
      <w:lvlJc w:val="left"/>
      <w:pPr>
        <w:ind w:left="5040" w:hanging="360"/>
      </w:pPr>
      <w:rPr>
        <w:rFonts w:cs="Times New Roman"/>
      </w:rPr>
    </w:lvl>
    <w:lvl w:ilvl="7">
      <w:start w:val="1"/>
      <w:numFmt w:val="decimal"/>
      <w:lvlText w:val="%8."/>
      <w:lvlJc w:val="left"/>
      <w:pPr>
        <w:ind w:left="5760" w:hanging="360"/>
      </w:pPr>
      <w:rPr>
        <w:rFonts w:cs="Times New Roman"/>
      </w:rPr>
    </w:lvl>
    <w:lvl w:ilvl="8">
      <w:start w:val="1"/>
      <w:numFmt w:val="decimal"/>
      <w:lvlText w:val="%9."/>
      <w:lvlJc w:val="left"/>
      <w:pPr>
        <w:ind w:left="6480" w:hanging="360"/>
      </w:pPr>
      <w:rPr>
        <w:rFonts w:cs="Times New Roman"/>
      </w:rPr>
    </w:lvl>
  </w:abstractNum>
  <w:abstractNum w:abstractNumId="45" w15:restartNumberingAfterBreak="0">
    <w:nsid w:val="42A8611E"/>
    <w:multiLevelType w:val="multilevel"/>
    <w:tmpl w:val="23A2683C"/>
    <w:styleLink w:val="WW8Num5"/>
    <w:lvl w:ilvl="0">
      <w:numFmt w:val="bullet"/>
      <w:lvlText w:val="-"/>
      <w:lvlJc w:val="left"/>
      <w:pPr>
        <w:ind w:left="720" w:hanging="360"/>
      </w:pPr>
      <w:rPr>
        <w:rFonts w:ascii="Times New Roman" w:eastAsia="Times New Roman" w:hAnsi="Times New Roman" w:cs="Times New Roman"/>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46" w15:restartNumberingAfterBreak="0">
    <w:nsid w:val="430C73B7"/>
    <w:multiLevelType w:val="multilevel"/>
    <w:tmpl w:val="2DB02300"/>
    <w:styleLink w:val="WW8Num34"/>
    <w:lvl w:ilvl="0">
      <w:numFmt w:val="bullet"/>
      <w:lvlText w:val=""/>
      <w:lvlJc w:val="left"/>
      <w:pPr>
        <w:ind w:left="720" w:hanging="360"/>
      </w:pPr>
      <w:rPr>
        <w:rFonts w:ascii="Symbol" w:hAnsi="Symbol" w:cs="OpenSymbol, 'Arial Unicode MS'"/>
        <w:lang w:val="pl-PL"/>
      </w:rPr>
    </w:lvl>
    <w:lvl w:ilvl="1">
      <w:numFmt w:val="bullet"/>
      <w:lvlText w:val="◦"/>
      <w:lvlJc w:val="left"/>
      <w:pPr>
        <w:ind w:left="1080" w:hanging="360"/>
      </w:pPr>
      <w:rPr>
        <w:rFonts w:ascii="OpenSymbol, 'Arial Unicode MS'" w:hAnsi="OpenSymbol, 'Arial Unicode MS'" w:cs="OpenSymbol, 'Arial Unicode MS'"/>
      </w:rPr>
    </w:lvl>
    <w:lvl w:ilvl="2">
      <w:numFmt w:val="bullet"/>
      <w:lvlText w:val="▪"/>
      <w:lvlJc w:val="left"/>
      <w:pPr>
        <w:ind w:left="1440" w:hanging="360"/>
      </w:pPr>
      <w:rPr>
        <w:rFonts w:ascii="OpenSymbol, 'Arial Unicode MS'" w:hAnsi="OpenSymbol, 'Arial Unicode MS'" w:cs="OpenSymbol, 'Arial Unicode MS'"/>
      </w:rPr>
    </w:lvl>
    <w:lvl w:ilvl="3">
      <w:numFmt w:val="bullet"/>
      <w:lvlText w:val=""/>
      <w:lvlJc w:val="left"/>
      <w:pPr>
        <w:ind w:left="1800" w:hanging="360"/>
      </w:pPr>
      <w:rPr>
        <w:rFonts w:ascii="Symbol" w:hAnsi="Symbol" w:cs="OpenSymbol, 'Arial Unicode MS'"/>
        <w:lang w:val="pl-PL"/>
      </w:rPr>
    </w:lvl>
    <w:lvl w:ilvl="4">
      <w:numFmt w:val="bullet"/>
      <w:lvlText w:val="◦"/>
      <w:lvlJc w:val="left"/>
      <w:pPr>
        <w:ind w:left="2160" w:hanging="360"/>
      </w:pPr>
      <w:rPr>
        <w:rFonts w:ascii="OpenSymbol, 'Arial Unicode MS'" w:hAnsi="OpenSymbol, 'Arial Unicode MS'" w:cs="OpenSymbol, 'Arial Unicode MS'"/>
      </w:rPr>
    </w:lvl>
    <w:lvl w:ilvl="5">
      <w:numFmt w:val="bullet"/>
      <w:lvlText w:val="▪"/>
      <w:lvlJc w:val="left"/>
      <w:pPr>
        <w:ind w:left="2520" w:hanging="360"/>
      </w:pPr>
      <w:rPr>
        <w:rFonts w:ascii="OpenSymbol, 'Arial Unicode MS'" w:hAnsi="OpenSymbol, 'Arial Unicode MS'" w:cs="OpenSymbol, 'Arial Unicode MS'"/>
      </w:rPr>
    </w:lvl>
    <w:lvl w:ilvl="6">
      <w:numFmt w:val="bullet"/>
      <w:lvlText w:val=""/>
      <w:lvlJc w:val="left"/>
      <w:pPr>
        <w:ind w:left="2880" w:hanging="360"/>
      </w:pPr>
      <w:rPr>
        <w:rFonts w:ascii="Symbol" w:hAnsi="Symbol" w:cs="OpenSymbol, 'Arial Unicode MS'"/>
        <w:lang w:val="pl-PL"/>
      </w:rPr>
    </w:lvl>
    <w:lvl w:ilvl="7">
      <w:numFmt w:val="bullet"/>
      <w:lvlText w:val="◦"/>
      <w:lvlJc w:val="left"/>
      <w:pPr>
        <w:ind w:left="3240" w:hanging="360"/>
      </w:pPr>
      <w:rPr>
        <w:rFonts w:ascii="OpenSymbol, 'Arial Unicode MS'" w:hAnsi="OpenSymbol, 'Arial Unicode MS'" w:cs="OpenSymbol, 'Arial Unicode MS'"/>
      </w:rPr>
    </w:lvl>
    <w:lvl w:ilvl="8">
      <w:numFmt w:val="bullet"/>
      <w:lvlText w:val="▪"/>
      <w:lvlJc w:val="left"/>
      <w:pPr>
        <w:ind w:left="3600" w:hanging="360"/>
      </w:pPr>
      <w:rPr>
        <w:rFonts w:ascii="OpenSymbol, 'Arial Unicode MS'" w:hAnsi="OpenSymbol, 'Arial Unicode MS'" w:cs="OpenSymbol, 'Arial Unicode MS'"/>
      </w:rPr>
    </w:lvl>
  </w:abstractNum>
  <w:abstractNum w:abstractNumId="47" w15:restartNumberingAfterBreak="0">
    <w:nsid w:val="43403189"/>
    <w:multiLevelType w:val="multilevel"/>
    <w:tmpl w:val="223849DA"/>
    <w:styleLink w:val="WW8Num48"/>
    <w:lvl w:ilvl="0">
      <w:numFmt w:val="bullet"/>
      <w:lvlText w:val=""/>
      <w:lvlJc w:val="left"/>
      <w:pPr>
        <w:ind w:left="720" w:hanging="360"/>
      </w:pPr>
      <w:rPr>
        <w:rFonts w:ascii="Symbol" w:hAnsi="Symbol" w:cs="OpenSymbol, 'Arial Unicode MS'"/>
      </w:rPr>
    </w:lvl>
    <w:lvl w:ilvl="1">
      <w:numFmt w:val="bullet"/>
      <w:lvlText w:val=""/>
      <w:lvlJc w:val="left"/>
      <w:pPr>
        <w:ind w:left="1080" w:hanging="360"/>
      </w:pPr>
      <w:rPr>
        <w:rFonts w:ascii="Symbol" w:hAnsi="Symbol" w:cs="OpenSymbol, 'Arial Unicode MS'"/>
      </w:rPr>
    </w:lvl>
    <w:lvl w:ilvl="2">
      <w:numFmt w:val="bullet"/>
      <w:lvlText w:val=""/>
      <w:lvlJc w:val="left"/>
      <w:pPr>
        <w:ind w:left="1440" w:hanging="360"/>
      </w:pPr>
      <w:rPr>
        <w:rFonts w:ascii="Symbol" w:hAnsi="Symbol" w:cs="OpenSymbol, 'Arial Unicode MS'"/>
      </w:rPr>
    </w:lvl>
    <w:lvl w:ilvl="3">
      <w:numFmt w:val="bullet"/>
      <w:lvlText w:val=""/>
      <w:lvlJc w:val="left"/>
      <w:pPr>
        <w:ind w:left="1800" w:hanging="360"/>
      </w:pPr>
      <w:rPr>
        <w:rFonts w:ascii="Symbol" w:hAnsi="Symbol" w:cs="OpenSymbol, 'Arial Unicode MS'"/>
      </w:rPr>
    </w:lvl>
    <w:lvl w:ilvl="4">
      <w:numFmt w:val="bullet"/>
      <w:lvlText w:val=""/>
      <w:lvlJc w:val="left"/>
      <w:pPr>
        <w:ind w:left="2160" w:hanging="360"/>
      </w:pPr>
      <w:rPr>
        <w:rFonts w:ascii="Symbol" w:hAnsi="Symbol" w:cs="OpenSymbol, 'Arial Unicode MS'"/>
      </w:rPr>
    </w:lvl>
    <w:lvl w:ilvl="5">
      <w:numFmt w:val="bullet"/>
      <w:lvlText w:val=""/>
      <w:lvlJc w:val="left"/>
      <w:pPr>
        <w:ind w:left="2520" w:hanging="360"/>
      </w:pPr>
      <w:rPr>
        <w:rFonts w:ascii="Symbol" w:hAnsi="Symbol" w:cs="OpenSymbol, 'Arial Unicode MS'"/>
      </w:rPr>
    </w:lvl>
    <w:lvl w:ilvl="6">
      <w:numFmt w:val="bullet"/>
      <w:lvlText w:val=""/>
      <w:lvlJc w:val="left"/>
      <w:pPr>
        <w:ind w:left="2880" w:hanging="360"/>
      </w:pPr>
      <w:rPr>
        <w:rFonts w:ascii="Symbol" w:hAnsi="Symbol" w:cs="OpenSymbol, 'Arial Unicode MS'"/>
      </w:rPr>
    </w:lvl>
    <w:lvl w:ilvl="7">
      <w:numFmt w:val="bullet"/>
      <w:lvlText w:val=""/>
      <w:lvlJc w:val="left"/>
      <w:pPr>
        <w:ind w:left="3240" w:hanging="360"/>
      </w:pPr>
      <w:rPr>
        <w:rFonts w:ascii="Symbol" w:hAnsi="Symbol" w:cs="OpenSymbol, 'Arial Unicode MS'"/>
      </w:rPr>
    </w:lvl>
    <w:lvl w:ilvl="8">
      <w:numFmt w:val="bullet"/>
      <w:lvlText w:val=""/>
      <w:lvlJc w:val="left"/>
      <w:pPr>
        <w:ind w:left="3600" w:hanging="360"/>
      </w:pPr>
      <w:rPr>
        <w:rFonts w:ascii="Symbol" w:hAnsi="Symbol" w:cs="OpenSymbol, 'Arial Unicode MS'"/>
      </w:rPr>
    </w:lvl>
  </w:abstractNum>
  <w:abstractNum w:abstractNumId="48" w15:restartNumberingAfterBreak="0">
    <w:nsid w:val="437C3E1D"/>
    <w:multiLevelType w:val="multilevel"/>
    <w:tmpl w:val="63DC8796"/>
    <w:lvl w:ilvl="0">
      <w:numFmt w:val="bullet"/>
      <w:lvlText w:val="•"/>
      <w:lvlJc w:val="left"/>
      <w:pPr>
        <w:ind w:left="720" w:hanging="360"/>
      </w:pPr>
      <w:rPr>
        <w:rFonts w:ascii="OpenSymbol, 'Arial Unicode MS'" w:eastAsia="OpenSymbol, 'Arial Unicode MS'" w:hAnsi="OpenSymbol, 'Arial Unicode MS'" w:cs="OpenSymbol, 'Arial Unicode MS'"/>
      </w:rPr>
    </w:lvl>
    <w:lvl w:ilvl="1">
      <w:numFmt w:val="bullet"/>
      <w:lvlText w:val="◦"/>
      <w:lvlJc w:val="left"/>
      <w:pPr>
        <w:ind w:left="1080" w:hanging="360"/>
      </w:pPr>
      <w:rPr>
        <w:rFonts w:ascii="OpenSymbol, 'Arial Unicode MS'" w:eastAsia="OpenSymbol, 'Arial Unicode MS'" w:hAnsi="OpenSymbol, 'Arial Unicode MS'" w:cs="OpenSymbol, 'Arial Unicode MS'"/>
      </w:rPr>
    </w:lvl>
    <w:lvl w:ilvl="2">
      <w:numFmt w:val="bullet"/>
      <w:lvlText w:val="▪"/>
      <w:lvlJc w:val="left"/>
      <w:pPr>
        <w:ind w:left="1440" w:hanging="360"/>
      </w:pPr>
      <w:rPr>
        <w:rFonts w:ascii="OpenSymbol, 'Arial Unicode MS'" w:eastAsia="OpenSymbol, 'Arial Unicode MS'" w:hAnsi="OpenSymbol, 'Arial Unicode MS'" w:cs="OpenSymbol, 'Arial Unicode MS'"/>
      </w:rPr>
    </w:lvl>
    <w:lvl w:ilvl="3">
      <w:numFmt w:val="bullet"/>
      <w:lvlText w:val="•"/>
      <w:lvlJc w:val="left"/>
      <w:pPr>
        <w:ind w:left="1800" w:hanging="360"/>
      </w:pPr>
      <w:rPr>
        <w:rFonts w:ascii="OpenSymbol, 'Arial Unicode MS'" w:eastAsia="OpenSymbol, 'Arial Unicode MS'" w:hAnsi="OpenSymbol, 'Arial Unicode MS'" w:cs="OpenSymbol, 'Arial Unicode MS'"/>
      </w:rPr>
    </w:lvl>
    <w:lvl w:ilvl="4">
      <w:numFmt w:val="bullet"/>
      <w:lvlText w:val="◦"/>
      <w:lvlJc w:val="left"/>
      <w:pPr>
        <w:ind w:left="2160" w:hanging="360"/>
      </w:pPr>
      <w:rPr>
        <w:rFonts w:ascii="OpenSymbol, 'Arial Unicode MS'" w:eastAsia="OpenSymbol, 'Arial Unicode MS'" w:hAnsi="OpenSymbol, 'Arial Unicode MS'" w:cs="OpenSymbol, 'Arial Unicode MS'"/>
      </w:rPr>
    </w:lvl>
    <w:lvl w:ilvl="5">
      <w:numFmt w:val="bullet"/>
      <w:lvlText w:val="▪"/>
      <w:lvlJc w:val="left"/>
      <w:pPr>
        <w:ind w:left="2520" w:hanging="360"/>
      </w:pPr>
      <w:rPr>
        <w:rFonts w:ascii="OpenSymbol, 'Arial Unicode MS'" w:eastAsia="OpenSymbol, 'Arial Unicode MS'" w:hAnsi="OpenSymbol, 'Arial Unicode MS'" w:cs="OpenSymbol, 'Arial Unicode MS'"/>
      </w:rPr>
    </w:lvl>
    <w:lvl w:ilvl="6">
      <w:numFmt w:val="bullet"/>
      <w:lvlText w:val="•"/>
      <w:lvlJc w:val="left"/>
      <w:pPr>
        <w:ind w:left="2880" w:hanging="360"/>
      </w:pPr>
      <w:rPr>
        <w:rFonts w:ascii="OpenSymbol, 'Arial Unicode MS'" w:eastAsia="OpenSymbol, 'Arial Unicode MS'" w:hAnsi="OpenSymbol, 'Arial Unicode MS'" w:cs="OpenSymbol, 'Arial Unicode MS'"/>
      </w:rPr>
    </w:lvl>
    <w:lvl w:ilvl="7">
      <w:numFmt w:val="bullet"/>
      <w:lvlText w:val="◦"/>
      <w:lvlJc w:val="left"/>
      <w:pPr>
        <w:ind w:left="3240" w:hanging="360"/>
      </w:pPr>
      <w:rPr>
        <w:rFonts w:ascii="OpenSymbol, 'Arial Unicode MS'" w:eastAsia="OpenSymbol, 'Arial Unicode MS'" w:hAnsi="OpenSymbol, 'Arial Unicode MS'" w:cs="OpenSymbol, 'Arial Unicode MS'"/>
      </w:rPr>
    </w:lvl>
    <w:lvl w:ilvl="8">
      <w:numFmt w:val="bullet"/>
      <w:lvlText w:val="▪"/>
      <w:lvlJc w:val="left"/>
      <w:pPr>
        <w:ind w:left="3600" w:hanging="360"/>
      </w:pPr>
      <w:rPr>
        <w:rFonts w:ascii="OpenSymbol, 'Arial Unicode MS'" w:eastAsia="OpenSymbol, 'Arial Unicode MS'" w:hAnsi="OpenSymbol, 'Arial Unicode MS'" w:cs="OpenSymbol, 'Arial Unicode MS'"/>
      </w:rPr>
    </w:lvl>
  </w:abstractNum>
  <w:abstractNum w:abstractNumId="49" w15:restartNumberingAfterBreak="0">
    <w:nsid w:val="4A416C34"/>
    <w:multiLevelType w:val="multilevel"/>
    <w:tmpl w:val="9E28CB4E"/>
    <w:styleLink w:val="WW8Num24"/>
    <w:lvl w:ilvl="0">
      <w:start w:val="1"/>
      <w:numFmt w:val="decimal"/>
      <w:lvlText w:val="%1."/>
      <w:lvlJc w:val="left"/>
      <w:pPr>
        <w:ind w:left="288" w:hanging="288"/>
      </w:pPr>
      <w:rPr>
        <w:rFonts w:ascii="Times New Roman" w:hAnsi="Times New Roman" w:cs="Times New Roman"/>
        <w:lang w:val="pl-PL"/>
      </w:rPr>
    </w:lvl>
    <w:lvl w:ilvl="1">
      <w:start w:val="1"/>
      <w:numFmt w:val="lowerLetter"/>
      <w:lvlText w:val="%2)"/>
      <w:lvlJc w:val="left"/>
      <w:pPr>
        <w:ind w:left="576" w:hanging="288"/>
      </w:pPr>
      <w:rPr>
        <w:rFonts w:ascii="OpenSymbol, 'Arial Unicode MS'" w:hAnsi="OpenSymbol, 'Arial Unicode MS'" w:cs="OpenSymbol, 'Arial Unicode MS'"/>
      </w:rPr>
    </w:lvl>
    <w:lvl w:ilvl="2">
      <w:start w:val="1"/>
      <w:numFmt w:val="lowerLetter"/>
      <w:lvlText w:val="%3)"/>
      <w:lvlJc w:val="left"/>
      <w:pPr>
        <w:ind w:left="864" w:hanging="288"/>
      </w:pPr>
      <w:rPr>
        <w:rFonts w:ascii="OpenSymbol, 'Arial Unicode MS'" w:hAnsi="OpenSymbol, 'Arial Unicode MS'" w:cs="OpenSymbol, 'Arial Unicode MS'"/>
      </w:rPr>
    </w:lvl>
    <w:lvl w:ilvl="3">
      <w:start w:val="1"/>
      <w:numFmt w:val="lowerLetter"/>
      <w:lvlText w:val="%4)"/>
      <w:lvlJc w:val="left"/>
      <w:pPr>
        <w:ind w:left="1152" w:hanging="288"/>
      </w:pPr>
      <w:rPr>
        <w:rFonts w:ascii="OpenSymbol, 'Arial Unicode MS'" w:hAnsi="OpenSymbol, 'Arial Unicode MS'" w:cs="OpenSymbol, 'Arial Unicode MS'"/>
      </w:rPr>
    </w:lvl>
    <w:lvl w:ilvl="4">
      <w:start w:val="1"/>
      <w:numFmt w:val="lowerLetter"/>
      <w:lvlText w:val="%5)"/>
      <w:lvlJc w:val="left"/>
      <w:pPr>
        <w:ind w:left="1440" w:hanging="288"/>
      </w:pPr>
      <w:rPr>
        <w:rFonts w:ascii="OpenSymbol, 'Arial Unicode MS'" w:hAnsi="OpenSymbol, 'Arial Unicode MS'" w:cs="OpenSymbol, 'Arial Unicode MS'"/>
      </w:rPr>
    </w:lvl>
    <w:lvl w:ilvl="5">
      <w:start w:val="1"/>
      <w:numFmt w:val="lowerLetter"/>
      <w:lvlText w:val="%6)"/>
      <w:lvlJc w:val="left"/>
      <w:pPr>
        <w:ind w:left="1728" w:hanging="288"/>
      </w:pPr>
      <w:rPr>
        <w:rFonts w:ascii="OpenSymbol, 'Arial Unicode MS'" w:hAnsi="OpenSymbol, 'Arial Unicode MS'" w:cs="OpenSymbol, 'Arial Unicode MS'"/>
      </w:rPr>
    </w:lvl>
    <w:lvl w:ilvl="6">
      <w:start w:val="1"/>
      <w:numFmt w:val="lowerLetter"/>
      <w:lvlText w:val="%7)"/>
      <w:lvlJc w:val="left"/>
      <w:pPr>
        <w:ind w:left="2016" w:hanging="288"/>
      </w:pPr>
      <w:rPr>
        <w:rFonts w:ascii="OpenSymbol, 'Arial Unicode MS'" w:hAnsi="OpenSymbol, 'Arial Unicode MS'" w:cs="OpenSymbol, 'Arial Unicode MS'"/>
      </w:rPr>
    </w:lvl>
    <w:lvl w:ilvl="7">
      <w:start w:val="1"/>
      <w:numFmt w:val="lowerLetter"/>
      <w:lvlText w:val="%8)"/>
      <w:lvlJc w:val="left"/>
      <w:pPr>
        <w:ind w:left="2304" w:hanging="288"/>
      </w:pPr>
      <w:rPr>
        <w:rFonts w:ascii="OpenSymbol, 'Arial Unicode MS'" w:hAnsi="OpenSymbol, 'Arial Unicode MS'" w:cs="OpenSymbol, 'Arial Unicode MS'"/>
      </w:rPr>
    </w:lvl>
    <w:lvl w:ilvl="8">
      <w:start w:val="1"/>
      <w:numFmt w:val="lowerLetter"/>
      <w:lvlText w:val="%9)"/>
      <w:lvlJc w:val="left"/>
      <w:pPr>
        <w:ind w:left="2592" w:hanging="288"/>
      </w:pPr>
      <w:rPr>
        <w:rFonts w:ascii="OpenSymbol, 'Arial Unicode MS'" w:hAnsi="OpenSymbol, 'Arial Unicode MS'" w:cs="OpenSymbol, 'Arial Unicode MS'"/>
      </w:rPr>
    </w:lvl>
  </w:abstractNum>
  <w:abstractNum w:abstractNumId="50" w15:restartNumberingAfterBreak="0">
    <w:nsid w:val="4AA2779D"/>
    <w:multiLevelType w:val="multilevel"/>
    <w:tmpl w:val="2426227C"/>
    <w:styleLink w:val="WW8Num38"/>
    <w:lvl w:ilvl="0">
      <w:numFmt w:val="bullet"/>
      <w:lvlText w:val=""/>
      <w:lvlJc w:val="left"/>
      <w:pPr>
        <w:ind w:left="720" w:hanging="360"/>
      </w:pPr>
      <w:rPr>
        <w:rFonts w:ascii="Symbol" w:hAnsi="Symbol" w:cs="OpenSymbol, 'Arial Unicode MS'"/>
        <w:lang w:val="pl-PL"/>
      </w:rPr>
    </w:lvl>
    <w:lvl w:ilvl="1">
      <w:numFmt w:val="bullet"/>
      <w:lvlText w:val="◦"/>
      <w:lvlJc w:val="left"/>
      <w:pPr>
        <w:ind w:left="1080" w:hanging="360"/>
      </w:pPr>
      <w:rPr>
        <w:rFonts w:ascii="OpenSymbol, 'Arial Unicode MS'" w:hAnsi="OpenSymbol, 'Arial Unicode MS'" w:cs="OpenSymbol, 'Arial Unicode MS'"/>
      </w:rPr>
    </w:lvl>
    <w:lvl w:ilvl="2">
      <w:numFmt w:val="bullet"/>
      <w:lvlText w:val="▪"/>
      <w:lvlJc w:val="left"/>
      <w:pPr>
        <w:ind w:left="1440" w:hanging="360"/>
      </w:pPr>
      <w:rPr>
        <w:rFonts w:ascii="OpenSymbol, 'Arial Unicode MS'" w:hAnsi="OpenSymbol, 'Arial Unicode MS'" w:cs="OpenSymbol, 'Arial Unicode MS'"/>
      </w:rPr>
    </w:lvl>
    <w:lvl w:ilvl="3">
      <w:numFmt w:val="bullet"/>
      <w:lvlText w:val=""/>
      <w:lvlJc w:val="left"/>
      <w:pPr>
        <w:ind w:left="1800" w:hanging="360"/>
      </w:pPr>
      <w:rPr>
        <w:rFonts w:ascii="Symbol" w:hAnsi="Symbol" w:cs="OpenSymbol, 'Arial Unicode MS'"/>
        <w:lang w:val="pl-PL"/>
      </w:rPr>
    </w:lvl>
    <w:lvl w:ilvl="4">
      <w:numFmt w:val="bullet"/>
      <w:lvlText w:val="◦"/>
      <w:lvlJc w:val="left"/>
      <w:pPr>
        <w:ind w:left="2160" w:hanging="360"/>
      </w:pPr>
      <w:rPr>
        <w:rFonts w:ascii="OpenSymbol, 'Arial Unicode MS'" w:hAnsi="OpenSymbol, 'Arial Unicode MS'" w:cs="OpenSymbol, 'Arial Unicode MS'"/>
      </w:rPr>
    </w:lvl>
    <w:lvl w:ilvl="5">
      <w:numFmt w:val="bullet"/>
      <w:lvlText w:val="▪"/>
      <w:lvlJc w:val="left"/>
      <w:pPr>
        <w:ind w:left="2520" w:hanging="360"/>
      </w:pPr>
      <w:rPr>
        <w:rFonts w:ascii="OpenSymbol, 'Arial Unicode MS'" w:hAnsi="OpenSymbol, 'Arial Unicode MS'" w:cs="OpenSymbol, 'Arial Unicode MS'"/>
      </w:rPr>
    </w:lvl>
    <w:lvl w:ilvl="6">
      <w:numFmt w:val="bullet"/>
      <w:lvlText w:val=""/>
      <w:lvlJc w:val="left"/>
      <w:pPr>
        <w:ind w:left="2880" w:hanging="360"/>
      </w:pPr>
      <w:rPr>
        <w:rFonts w:ascii="Symbol" w:hAnsi="Symbol" w:cs="OpenSymbol, 'Arial Unicode MS'"/>
        <w:lang w:val="pl-PL"/>
      </w:rPr>
    </w:lvl>
    <w:lvl w:ilvl="7">
      <w:numFmt w:val="bullet"/>
      <w:lvlText w:val="◦"/>
      <w:lvlJc w:val="left"/>
      <w:pPr>
        <w:ind w:left="3240" w:hanging="360"/>
      </w:pPr>
      <w:rPr>
        <w:rFonts w:ascii="OpenSymbol, 'Arial Unicode MS'" w:hAnsi="OpenSymbol, 'Arial Unicode MS'" w:cs="OpenSymbol, 'Arial Unicode MS'"/>
      </w:rPr>
    </w:lvl>
    <w:lvl w:ilvl="8">
      <w:numFmt w:val="bullet"/>
      <w:lvlText w:val="▪"/>
      <w:lvlJc w:val="left"/>
      <w:pPr>
        <w:ind w:left="3600" w:hanging="360"/>
      </w:pPr>
      <w:rPr>
        <w:rFonts w:ascii="OpenSymbol, 'Arial Unicode MS'" w:hAnsi="OpenSymbol, 'Arial Unicode MS'" w:cs="OpenSymbol, 'Arial Unicode MS'"/>
      </w:rPr>
    </w:lvl>
  </w:abstractNum>
  <w:abstractNum w:abstractNumId="51" w15:restartNumberingAfterBreak="0">
    <w:nsid w:val="4AE31EE9"/>
    <w:multiLevelType w:val="multilevel"/>
    <w:tmpl w:val="FCA8780C"/>
    <w:styleLink w:val="WWNum14"/>
    <w:lvl w:ilvl="0">
      <w:numFmt w:val="bullet"/>
      <w:lvlText w:val="-"/>
      <w:lvlJc w:val="left"/>
      <w:pPr>
        <w:ind w:left="720" w:hanging="360"/>
      </w:pPr>
      <w:rPr>
        <w:rFonts w:eastAsia="Times New Roman"/>
      </w:rPr>
    </w:lvl>
    <w:lvl w:ilvl="1">
      <w:numFmt w:val="bullet"/>
      <w:lvlText w:val="o"/>
      <w:lvlJc w:val="left"/>
      <w:pPr>
        <w:ind w:left="1440" w:hanging="360"/>
      </w:p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lvl>
    <w:lvl w:ilvl="8">
      <w:numFmt w:val="bullet"/>
      <w:lvlText w:val=""/>
      <w:lvlJc w:val="left"/>
      <w:pPr>
        <w:ind w:left="6480" w:hanging="360"/>
      </w:pPr>
    </w:lvl>
  </w:abstractNum>
  <w:abstractNum w:abstractNumId="52" w15:restartNumberingAfterBreak="0">
    <w:nsid w:val="4B070804"/>
    <w:multiLevelType w:val="multilevel"/>
    <w:tmpl w:val="56547134"/>
    <w:styleLink w:val="WWNum22"/>
    <w:lvl w:ilvl="0">
      <w:numFmt w:val="bullet"/>
      <w:lvlText w:val="-"/>
      <w:lvlJc w:val="left"/>
      <w:pPr>
        <w:ind w:left="720" w:hanging="360"/>
      </w:pPr>
      <w:rPr>
        <w:rFonts w:eastAsia="Times New Roman"/>
      </w:rPr>
    </w:lvl>
    <w:lvl w:ilvl="1">
      <w:numFmt w:val="bullet"/>
      <w:lvlText w:val="o"/>
      <w:lvlJc w:val="left"/>
      <w:pPr>
        <w:ind w:left="1440" w:hanging="360"/>
      </w:pPr>
      <w:rPr>
        <w:rFonts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cs="Courier New"/>
      </w:rPr>
    </w:lvl>
    <w:lvl w:ilvl="8">
      <w:numFmt w:val="bullet"/>
      <w:lvlText w:val=""/>
      <w:lvlJc w:val="left"/>
      <w:pPr>
        <w:ind w:left="6480" w:hanging="360"/>
      </w:pPr>
    </w:lvl>
  </w:abstractNum>
  <w:abstractNum w:abstractNumId="53" w15:restartNumberingAfterBreak="0">
    <w:nsid w:val="4B855FFD"/>
    <w:multiLevelType w:val="multilevel"/>
    <w:tmpl w:val="7B1C62AC"/>
    <w:styleLink w:val="WW8Num27"/>
    <w:lvl w:ilvl="0">
      <w:start w:val="1"/>
      <w:numFmt w:val="lowerLetter"/>
      <w:suff w:val="nothing"/>
      <w:lvlText w:val="%1)"/>
      <w:lvlJc w:val="left"/>
      <w:rPr>
        <w:rFonts w:ascii="Symbol" w:hAnsi="Symbol" w:cs="Symbol"/>
        <w:lang w:val="pl-PL"/>
      </w:rPr>
    </w:lvl>
    <w:lvl w:ilvl="1">
      <w:start w:val="1"/>
      <w:numFmt w:val="decimal"/>
      <w:suff w:val="nothing"/>
      <w:lvlText w:val="%2)"/>
      <w:lvlJc w:val="left"/>
      <w:rPr>
        <w:sz w:val="20"/>
        <w:szCs w:val="20"/>
        <w:lang w:val="pl-PL"/>
      </w:rPr>
    </w:lvl>
    <w:lvl w:ilvl="2">
      <w:start w:val="1"/>
      <w:numFmt w:val="decimal"/>
      <w:suff w:val="nothing"/>
      <w:lvlText w:val="%3)"/>
      <w:lvlJc w:val="left"/>
      <w:rPr>
        <w:sz w:val="20"/>
        <w:szCs w:val="20"/>
        <w:lang w:val="pl-PL"/>
      </w:rPr>
    </w:lvl>
    <w:lvl w:ilvl="3">
      <w:start w:val="1"/>
      <w:numFmt w:val="decimal"/>
      <w:suff w:val="nothing"/>
      <w:lvlText w:val="%4)"/>
      <w:lvlJc w:val="left"/>
      <w:rPr>
        <w:sz w:val="20"/>
        <w:szCs w:val="20"/>
        <w:lang w:val="pl-PL"/>
      </w:rPr>
    </w:lvl>
    <w:lvl w:ilvl="4">
      <w:start w:val="1"/>
      <w:numFmt w:val="decimal"/>
      <w:suff w:val="nothing"/>
      <w:lvlText w:val="%5)"/>
      <w:lvlJc w:val="left"/>
      <w:rPr>
        <w:sz w:val="20"/>
        <w:szCs w:val="20"/>
        <w:lang w:val="pl-PL"/>
      </w:rPr>
    </w:lvl>
    <w:lvl w:ilvl="5">
      <w:start w:val="1"/>
      <w:numFmt w:val="decimal"/>
      <w:suff w:val="nothing"/>
      <w:lvlText w:val="%6)"/>
      <w:lvlJc w:val="left"/>
      <w:rPr>
        <w:sz w:val="20"/>
        <w:szCs w:val="20"/>
        <w:lang w:val="pl-PL"/>
      </w:rPr>
    </w:lvl>
    <w:lvl w:ilvl="6">
      <w:start w:val="1"/>
      <w:numFmt w:val="decimal"/>
      <w:suff w:val="nothing"/>
      <w:lvlText w:val="%7)"/>
      <w:lvlJc w:val="left"/>
      <w:rPr>
        <w:sz w:val="20"/>
        <w:szCs w:val="20"/>
        <w:lang w:val="pl-PL"/>
      </w:rPr>
    </w:lvl>
    <w:lvl w:ilvl="7">
      <w:start w:val="1"/>
      <w:numFmt w:val="decimal"/>
      <w:suff w:val="nothing"/>
      <w:lvlText w:val="%8)"/>
      <w:lvlJc w:val="left"/>
      <w:rPr>
        <w:sz w:val="20"/>
        <w:szCs w:val="20"/>
        <w:lang w:val="pl-PL"/>
      </w:rPr>
    </w:lvl>
    <w:lvl w:ilvl="8">
      <w:start w:val="1"/>
      <w:numFmt w:val="decimal"/>
      <w:suff w:val="nothing"/>
      <w:lvlText w:val="%9)"/>
      <w:lvlJc w:val="left"/>
      <w:rPr>
        <w:sz w:val="20"/>
        <w:szCs w:val="20"/>
        <w:lang w:val="pl-PL"/>
      </w:rPr>
    </w:lvl>
  </w:abstractNum>
  <w:abstractNum w:abstractNumId="54" w15:restartNumberingAfterBreak="0">
    <w:nsid w:val="4C257ACA"/>
    <w:multiLevelType w:val="multilevel"/>
    <w:tmpl w:val="BAA8394A"/>
    <w:styleLink w:val="WW8Num44"/>
    <w:lvl w:ilvl="0">
      <w:numFmt w:val="bullet"/>
      <w:lvlText w:val=""/>
      <w:lvlJc w:val="left"/>
      <w:pPr>
        <w:ind w:left="720" w:hanging="360"/>
      </w:pPr>
      <w:rPr>
        <w:rFonts w:ascii="Symbol" w:hAnsi="Symbol" w:cs="OpenSymbol, 'Arial Unicode MS'"/>
        <w:lang w:val="pl-PL"/>
      </w:rPr>
    </w:lvl>
    <w:lvl w:ilvl="1">
      <w:numFmt w:val="bullet"/>
      <w:lvlText w:val="◦"/>
      <w:lvlJc w:val="left"/>
      <w:pPr>
        <w:ind w:left="1080" w:hanging="360"/>
      </w:pPr>
      <w:rPr>
        <w:rFonts w:ascii="OpenSymbol, 'Arial Unicode MS'" w:hAnsi="OpenSymbol, 'Arial Unicode MS'" w:cs="OpenSymbol, 'Arial Unicode MS'"/>
      </w:rPr>
    </w:lvl>
    <w:lvl w:ilvl="2">
      <w:numFmt w:val="bullet"/>
      <w:lvlText w:val="▪"/>
      <w:lvlJc w:val="left"/>
      <w:pPr>
        <w:ind w:left="1440" w:hanging="360"/>
      </w:pPr>
      <w:rPr>
        <w:rFonts w:ascii="OpenSymbol, 'Arial Unicode MS'" w:hAnsi="OpenSymbol, 'Arial Unicode MS'" w:cs="OpenSymbol, 'Arial Unicode MS'"/>
      </w:rPr>
    </w:lvl>
    <w:lvl w:ilvl="3">
      <w:numFmt w:val="bullet"/>
      <w:lvlText w:val=""/>
      <w:lvlJc w:val="left"/>
      <w:pPr>
        <w:ind w:left="1800" w:hanging="360"/>
      </w:pPr>
      <w:rPr>
        <w:rFonts w:ascii="Symbol" w:hAnsi="Symbol" w:cs="OpenSymbol, 'Arial Unicode MS'"/>
        <w:lang w:val="pl-PL"/>
      </w:rPr>
    </w:lvl>
    <w:lvl w:ilvl="4">
      <w:numFmt w:val="bullet"/>
      <w:lvlText w:val="◦"/>
      <w:lvlJc w:val="left"/>
      <w:pPr>
        <w:ind w:left="2160" w:hanging="360"/>
      </w:pPr>
      <w:rPr>
        <w:rFonts w:ascii="OpenSymbol, 'Arial Unicode MS'" w:hAnsi="OpenSymbol, 'Arial Unicode MS'" w:cs="OpenSymbol, 'Arial Unicode MS'"/>
      </w:rPr>
    </w:lvl>
    <w:lvl w:ilvl="5">
      <w:numFmt w:val="bullet"/>
      <w:lvlText w:val="▪"/>
      <w:lvlJc w:val="left"/>
      <w:pPr>
        <w:ind w:left="2520" w:hanging="360"/>
      </w:pPr>
      <w:rPr>
        <w:rFonts w:ascii="OpenSymbol, 'Arial Unicode MS'" w:hAnsi="OpenSymbol, 'Arial Unicode MS'" w:cs="OpenSymbol, 'Arial Unicode MS'"/>
      </w:rPr>
    </w:lvl>
    <w:lvl w:ilvl="6">
      <w:numFmt w:val="bullet"/>
      <w:lvlText w:val=""/>
      <w:lvlJc w:val="left"/>
      <w:pPr>
        <w:ind w:left="2880" w:hanging="360"/>
      </w:pPr>
      <w:rPr>
        <w:rFonts w:ascii="Symbol" w:hAnsi="Symbol" w:cs="OpenSymbol, 'Arial Unicode MS'"/>
        <w:lang w:val="pl-PL"/>
      </w:rPr>
    </w:lvl>
    <w:lvl w:ilvl="7">
      <w:numFmt w:val="bullet"/>
      <w:lvlText w:val="◦"/>
      <w:lvlJc w:val="left"/>
      <w:pPr>
        <w:ind w:left="3240" w:hanging="360"/>
      </w:pPr>
      <w:rPr>
        <w:rFonts w:ascii="OpenSymbol, 'Arial Unicode MS'" w:hAnsi="OpenSymbol, 'Arial Unicode MS'" w:cs="OpenSymbol, 'Arial Unicode MS'"/>
      </w:rPr>
    </w:lvl>
    <w:lvl w:ilvl="8">
      <w:numFmt w:val="bullet"/>
      <w:lvlText w:val="▪"/>
      <w:lvlJc w:val="left"/>
      <w:pPr>
        <w:ind w:left="3600" w:hanging="360"/>
      </w:pPr>
      <w:rPr>
        <w:rFonts w:ascii="OpenSymbol, 'Arial Unicode MS'" w:hAnsi="OpenSymbol, 'Arial Unicode MS'" w:cs="OpenSymbol, 'Arial Unicode MS'"/>
      </w:rPr>
    </w:lvl>
  </w:abstractNum>
  <w:abstractNum w:abstractNumId="55" w15:restartNumberingAfterBreak="0">
    <w:nsid w:val="562F06B1"/>
    <w:multiLevelType w:val="multilevel"/>
    <w:tmpl w:val="E0CA3522"/>
    <w:styleLink w:val="WWNum6"/>
    <w:lvl w:ilvl="0">
      <w:start w:val="5"/>
      <w:numFmt w:val="decimal"/>
      <w:lvlText w:val="%1."/>
      <w:lvlJc w:val="left"/>
      <w:pPr>
        <w:ind w:left="450" w:hanging="450"/>
      </w:pPr>
      <w:rPr>
        <w:rFonts w:cs="Times New Roman"/>
      </w:rPr>
    </w:lvl>
    <w:lvl w:ilvl="1">
      <w:start w:val="2"/>
      <w:numFmt w:val="decimal"/>
      <w:lvlText w:val="%1.%2."/>
      <w:lvlJc w:val="left"/>
      <w:pPr>
        <w:ind w:left="450" w:hanging="450"/>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720" w:hanging="720"/>
      </w:pPr>
      <w:rPr>
        <w:rFonts w:cs="Times New Roman"/>
      </w:rPr>
    </w:lvl>
    <w:lvl w:ilvl="4">
      <w:numFmt w:val="bullet"/>
      <w:lvlText w:val=""/>
      <w:lvlJc w:val="left"/>
      <w:pPr>
        <w:ind w:left="1080" w:hanging="1080"/>
      </w:pPr>
    </w:lvl>
    <w:lvl w:ilvl="5">
      <w:start w:val="1"/>
      <w:numFmt w:val="decimal"/>
      <w:lvlText w:val="%1.%2.%3.%4.%5.%6."/>
      <w:lvlJc w:val="left"/>
      <w:pPr>
        <w:ind w:left="1080" w:hanging="1080"/>
      </w:pPr>
      <w:rPr>
        <w:rFonts w:cs="Times New Roman"/>
      </w:rPr>
    </w:lvl>
    <w:lvl w:ilvl="6">
      <w:start w:val="1"/>
      <w:numFmt w:val="decimal"/>
      <w:lvlText w:val="%1.%2.%3.%4.%5.%6.%7."/>
      <w:lvlJc w:val="left"/>
      <w:pPr>
        <w:ind w:left="1080" w:hanging="1080"/>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440" w:hanging="1440"/>
      </w:pPr>
      <w:rPr>
        <w:rFonts w:cs="Times New Roman"/>
      </w:rPr>
    </w:lvl>
  </w:abstractNum>
  <w:abstractNum w:abstractNumId="56" w15:restartNumberingAfterBreak="0">
    <w:nsid w:val="56E839AD"/>
    <w:multiLevelType w:val="multilevel"/>
    <w:tmpl w:val="9D428C06"/>
    <w:styleLink w:val="WW8Num7"/>
    <w:lvl w:ilvl="0">
      <w:start w:val="1"/>
      <w:numFmt w:val="lowerLetter"/>
      <w:lvlText w:val="%1)"/>
      <w:lvlJc w:val="left"/>
      <w:pPr>
        <w:ind w:left="360" w:hanging="360"/>
      </w:pPr>
      <w:rPr>
        <w:b/>
      </w:rPr>
    </w:lvl>
    <w:lvl w:ilvl="1">
      <w:start w:val="1"/>
      <w:numFmt w:val="decimal"/>
      <w:lvlText w:val="%2)"/>
      <w:lvlJc w:val="left"/>
      <w:pPr>
        <w:ind w:left="1420" w:hanging="340"/>
      </w:pPr>
    </w:lvl>
    <w:lvl w:ilvl="2">
      <w:numFmt w:val="bullet"/>
      <w:lvlText w:val="-"/>
      <w:lvlJc w:val="left"/>
      <w:pPr>
        <w:ind w:left="2320" w:hanging="340"/>
      </w:pPr>
      <w:rPr>
        <w:rFonts w:ascii="OpenSymbol, 'Arial Unicode MS'" w:hAnsi="OpenSymbol, 'Arial Unicode MS'" w:cs="OpenSymbol, 'Arial Unicode MS'"/>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lef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left"/>
      <w:pPr>
        <w:ind w:left="6480" w:hanging="180"/>
      </w:pPr>
    </w:lvl>
  </w:abstractNum>
  <w:abstractNum w:abstractNumId="57" w15:restartNumberingAfterBreak="0">
    <w:nsid w:val="5844672D"/>
    <w:multiLevelType w:val="multilevel"/>
    <w:tmpl w:val="03FC41D6"/>
    <w:styleLink w:val="WW8Num85"/>
    <w:lvl w:ilvl="0">
      <w:numFmt w:val="bullet"/>
      <w:lvlText w:val=""/>
      <w:lvlJc w:val="left"/>
      <w:pPr>
        <w:ind w:left="360" w:hanging="360"/>
      </w:pPr>
      <w:rPr>
        <w:rFonts w:ascii="Symbol" w:hAnsi="Symbol" w:cs="Symbol"/>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58" w15:restartNumberingAfterBreak="0">
    <w:nsid w:val="594D36EA"/>
    <w:multiLevelType w:val="multilevel"/>
    <w:tmpl w:val="CDCA413C"/>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59" w15:restartNumberingAfterBreak="0">
    <w:nsid w:val="59AD7A55"/>
    <w:multiLevelType w:val="multilevel"/>
    <w:tmpl w:val="A7142C66"/>
    <w:styleLink w:val="WWNum12"/>
    <w:lvl w:ilvl="0">
      <w:numFmt w:val="bullet"/>
      <w:lvlText w:val="-"/>
      <w:lvlJc w:val="left"/>
      <w:pPr>
        <w:ind w:left="720" w:hanging="360"/>
      </w:pPr>
      <w:rPr>
        <w:rFonts w:eastAsia="Times New Roman"/>
      </w:rPr>
    </w:lvl>
    <w:lvl w:ilvl="1">
      <w:numFmt w:val="bullet"/>
      <w:lvlText w:val="o"/>
      <w:lvlJc w:val="left"/>
      <w:pPr>
        <w:ind w:left="1440" w:hanging="360"/>
      </w:pPr>
      <w:rPr>
        <w:rFonts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cs="Courier New"/>
      </w:rPr>
    </w:lvl>
    <w:lvl w:ilvl="8">
      <w:numFmt w:val="bullet"/>
      <w:lvlText w:val=""/>
      <w:lvlJc w:val="left"/>
      <w:pPr>
        <w:ind w:left="6480" w:hanging="360"/>
      </w:pPr>
    </w:lvl>
  </w:abstractNum>
  <w:abstractNum w:abstractNumId="60" w15:restartNumberingAfterBreak="0">
    <w:nsid w:val="5B2312C5"/>
    <w:multiLevelType w:val="multilevel"/>
    <w:tmpl w:val="84701CDA"/>
    <w:styleLink w:val="WW8Num13"/>
    <w:lvl w:ilvl="0">
      <w:start w:val="1"/>
      <w:numFmt w:val="lowerLetter"/>
      <w:suff w:val="nothing"/>
      <w:lvlText w:val="%1)"/>
      <w:lvlJc w:val="left"/>
      <w:rPr>
        <w:rFonts w:ascii="Times New Roman" w:hAnsi="Times New Roman" w:cs="Times New Roman"/>
        <w:lang w:val="pl-PL"/>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61" w15:restartNumberingAfterBreak="0">
    <w:nsid w:val="5B9B0B78"/>
    <w:multiLevelType w:val="multilevel"/>
    <w:tmpl w:val="3F2E375E"/>
    <w:styleLink w:val="WW8Num4"/>
    <w:lvl w:ilvl="0">
      <w:numFmt w:val="bullet"/>
      <w:lvlText w:val="-"/>
      <w:lvlJc w:val="left"/>
      <w:pPr>
        <w:ind w:left="720" w:hanging="360"/>
      </w:pPr>
      <w:rPr>
        <w:rFonts w:ascii="Times New Roman" w:hAnsi="Times New Roman" w:cs="Times New Roman"/>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62" w15:restartNumberingAfterBreak="0">
    <w:nsid w:val="5EA950D5"/>
    <w:multiLevelType w:val="multilevel"/>
    <w:tmpl w:val="85C8B586"/>
    <w:styleLink w:val="WW8Num49"/>
    <w:lvl w:ilvl="0">
      <w:numFmt w:val="bullet"/>
      <w:lvlText w:val="-"/>
      <w:lvlJc w:val="left"/>
      <w:pPr>
        <w:ind w:left="720" w:hanging="360"/>
      </w:pPr>
      <w:rPr>
        <w:rFonts w:ascii="Times New Roman" w:hAnsi="Times New Roman" w:cs="OpenSymbol, 'Arial Unicode MS'"/>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63" w15:restartNumberingAfterBreak="0">
    <w:nsid w:val="5EFF233F"/>
    <w:multiLevelType w:val="multilevel"/>
    <w:tmpl w:val="B22E0B30"/>
    <w:styleLink w:val="WWNum5"/>
    <w:lvl w:ilvl="0">
      <w:start w:val="1"/>
      <w:numFmt w:val="lowerLetter"/>
      <w:lvlText w:val="%1)"/>
      <w:lvlJc w:val="left"/>
      <w:pPr>
        <w:ind w:left="1080" w:hanging="360"/>
      </w:pPr>
      <w:rPr>
        <w:rFonts w:cs="Times New Roman"/>
      </w:rPr>
    </w:lvl>
    <w:lvl w:ilvl="1">
      <w:start w:val="1"/>
      <w:numFmt w:val="lowerLetter"/>
      <w:lvlText w:val="%2."/>
      <w:lvlJc w:val="left"/>
      <w:pPr>
        <w:ind w:left="1800" w:hanging="360"/>
      </w:pPr>
      <w:rPr>
        <w:rFonts w:cs="Times New Roman"/>
      </w:rPr>
    </w:lvl>
    <w:lvl w:ilvl="2">
      <w:start w:val="1"/>
      <w:numFmt w:val="lowerRoman"/>
      <w:lvlText w:val="%3."/>
      <w:lvlJc w:val="right"/>
      <w:pPr>
        <w:ind w:left="2520" w:hanging="180"/>
      </w:pPr>
      <w:rPr>
        <w:rFonts w:cs="Times New Roman"/>
      </w:rPr>
    </w:lvl>
    <w:lvl w:ilvl="3">
      <w:start w:val="1"/>
      <w:numFmt w:val="decimal"/>
      <w:lvlText w:val="%4."/>
      <w:lvlJc w:val="left"/>
      <w:pPr>
        <w:ind w:left="3240" w:hanging="360"/>
      </w:pPr>
      <w:rPr>
        <w:rFonts w:cs="Times New Roman"/>
      </w:rPr>
    </w:lvl>
    <w:lvl w:ilvl="4">
      <w:start w:val="1"/>
      <w:numFmt w:val="lowerLetter"/>
      <w:lvlText w:val="%5."/>
      <w:lvlJc w:val="left"/>
      <w:pPr>
        <w:ind w:left="3960" w:hanging="360"/>
      </w:pPr>
      <w:rPr>
        <w:rFonts w:cs="Times New Roman"/>
      </w:rPr>
    </w:lvl>
    <w:lvl w:ilvl="5">
      <w:start w:val="1"/>
      <w:numFmt w:val="lowerRoman"/>
      <w:lvlText w:val="%6."/>
      <w:lvlJc w:val="right"/>
      <w:pPr>
        <w:ind w:left="4680" w:hanging="180"/>
      </w:pPr>
      <w:rPr>
        <w:rFonts w:cs="Times New Roman"/>
      </w:rPr>
    </w:lvl>
    <w:lvl w:ilvl="6">
      <w:start w:val="1"/>
      <w:numFmt w:val="decimal"/>
      <w:lvlText w:val="%7."/>
      <w:lvlJc w:val="left"/>
      <w:pPr>
        <w:ind w:left="5400" w:hanging="360"/>
      </w:pPr>
      <w:rPr>
        <w:rFonts w:cs="Times New Roman"/>
      </w:rPr>
    </w:lvl>
    <w:lvl w:ilvl="7">
      <w:start w:val="1"/>
      <w:numFmt w:val="lowerLetter"/>
      <w:lvlText w:val="%8."/>
      <w:lvlJc w:val="left"/>
      <w:pPr>
        <w:ind w:left="6120" w:hanging="360"/>
      </w:pPr>
      <w:rPr>
        <w:rFonts w:cs="Times New Roman"/>
      </w:rPr>
    </w:lvl>
    <w:lvl w:ilvl="8">
      <w:start w:val="1"/>
      <w:numFmt w:val="lowerRoman"/>
      <w:lvlText w:val="%9."/>
      <w:lvlJc w:val="right"/>
      <w:pPr>
        <w:ind w:left="6840" w:hanging="180"/>
      </w:pPr>
      <w:rPr>
        <w:rFonts w:cs="Times New Roman"/>
      </w:rPr>
    </w:lvl>
  </w:abstractNum>
  <w:abstractNum w:abstractNumId="64" w15:restartNumberingAfterBreak="0">
    <w:nsid w:val="5F27327A"/>
    <w:multiLevelType w:val="multilevel"/>
    <w:tmpl w:val="816CA040"/>
    <w:styleLink w:val="WW8Num22"/>
    <w:lvl w:ilvl="0">
      <w:numFmt w:val="bullet"/>
      <w:lvlText w:val=""/>
      <w:lvlJc w:val="left"/>
      <w:pPr>
        <w:ind w:left="720" w:hanging="360"/>
      </w:pPr>
      <w:rPr>
        <w:rFonts w:ascii="Symbol" w:hAnsi="Symbol" w:cs="Times New Roman"/>
        <w:lang w:val="pl-PL"/>
      </w:rPr>
    </w:lvl>
    <w:lvl w:ilvl="1">
      <w:numFmt w:val="bullet"/>
      <w:lvlText w:val="◦"/>
      <w:lvlJc w:val="left"/>
      <w:pPr>
        <w:ind w:left="1080" w:hanging="360"/>
      </w:pPr>
      <w:rPr>
        <w:rFonts w:ascii="OpenSymbol, 'Arial Unicode MS'" w:hAnsi="OpenSymbol, 'Arial Unicode MS'" w:cs="OpenSymbol, 'Arial Unicode MS'"/>
      </w:rPr>
    </w:lvl>
    <w:lvl w:ilvl="2">
      <w:numFmt w:val="bullet"/>
      <w:lvlText w:val="▪"/>
      <w:lvlJc w:val="left"/>
      <w:pPr>
        <w:ind w:left="1440" w:hanging="360"/>
      </w:pPr>
      <w:rPr>
        <w:rFonts w:ascii="OpenSymbol, 'Arial Unicode MS'" w:hAnsi="OpenSymbol, 'Arial Unicode MS'" w:cs="OpenSymbol, 'Arial Unicode MS'"/>
      </w:rPr>
    </w:lvl>
    <w:lvl w:ilvl="3">
      <w:numFmt w:val="bullet"/>
      <w:lvlText w:val=""/>
      <w:lvlJc w:val="left"/>
      <w:pPr>
        <w:ind w:left="1800" w:hanging="360"/>
      </w:pPr>
      <w:rPr>
        <w:rFonts w:ascii="Symbol" w:hAnsi="Symbol" w:cs="Times New Roman"/>
        <w:lang w:val="pl-PL"/>
      </w:rPr>
    </w:lvl>
    <w:lvl w:ilvl="4">
      <w:numFmt w:val="bullet"/>
      <w:lvlText w:val="◦"/>
      <w:lvlJc w:val="left"/>
      <w:pPr>
        <w:ind w:left="2160" w:hanging="360"/>
      </w:pPr>
      <w:rPr>
        <w:rFonts w:ascii="OpenSymbol, 'Arial Unicode MS'" w:hAnsi="OpenSymbol, 'Arial Unicode MS'" w:cs="OpenSymbol, 'Arial Unicode MS'"/>
      </w:rPr>
    </w:lvl>
    <w:lvl w:ilvl="5">
      <w:numFmt w:val="bullet"/>
      <w:lvlText w:val="▪"/>
      <w:lvlJc w:val="left"/>
      <w:pPr>
        <w:ind w:left="2520" w:hanging="360"/>
      </w:pPr>
      <w:rPr>
        <w:rFonts w:ascii="OpenSymbol, 'Arial Unicode MS'" w:hAnsi="OpenSymbol, 'Arial Unicode MS'" w:cs="OpenSymbol, 'Arial Unicode MS'"/>
      </w:rPr>
    </w:lvl>
    <w:lvl w:ilvl="6">
      <w:numFmt w:val="bullet"/>
      <w:lvlText w:val=""/>
      <w:lvlJc w:val="left"/>
      <w:pPr>
        <w:ind w:left="2880" w:hanging="360"/>
      </w:pPr>
      <w:rPr>
        <w:rFonts w:ascii="Symbol" w:hAnsi="Symbol" w:cs="Times New Roman"/>
        <w:lang w:val="pl-PL"/>
      </w:rPr>
    </w:lvl>
    <w:lvl w:ilvl="7">
      <w:numFmt w:val="bullet"/>
      <w:lvlText w:val="◦"/>
      <w:lvlJc w:val="left"/>
      <w:pPr>
        <w:ind w:left="3240" w:hanging="360"/>
      </w:pPr>
      <w:rPr>
        <w:rFonts w:ascii="OpenSymbol, 'Arial Unicode MS'" w:hAnsi="OpenSymbol, 'Arial Unicode MS'" w:cs="OpenSymbol, 'Arial Unicode MS'"/>
      </w:rPr>
    </w:lvl>
    <w:lvl w:ilvl="8">
      <w:numFmt w:val="bullet"/>
      <w:lvlText w:val="▪"/>
      <w:lvlJc w:val="left"/>
      <w:pPr>
        <w:ind w:left="3600" w:hanging="360"/>
      </w:pPr>
      <w:rPr>
        <w:rFonts w:ascii="OpenSymbol, 'Arial Unicode MS'" w:hAnsi="OpenSymbol, 'Arial Unicode MS'" w:cs="OpenSymbol, 'Arial Unicode MS'"/>
      </w:rPr>
    </w:lvl>
  </w:abstractNum>
  <w:abstractNum w:abstractNumId="65" w15:restartNumberingAfterBreak="0">
    <w:nsid w:val="60C415CE"/>
    <w:multiLevelType w:val="multilevel"/>
    <w:tmpl w:val="5B52EC72"/>
    <w:styleLink w:val="WW8Num16"/>
    <w:lvl w:ilvl="0">
      <w:numFmt w:val="bullet"/>
      <w:lvlText w:val=""/>
      <w:lvlJc w:val="left"/>
      <w:pPr>
        <w:ind w:left="720" w:hanging="360"/>
      </w:pPr>
      <w:rPr>
        <w:rFonts w:ascii="Symbol" w:eastAsia="Times New Roman" w:hAnsi="Symbol" w:cs="Times New Roman"/>
        <w:lang w:val="pl-PL"/>
      </w:rPr>
    </w:lvl>
    <w:lvl w:ilvl="1">
      <w:numFmt w:val="bullet"/>
      <w:lvlText w:val="◦"/>
      <w:lvlJc w:val="left"/>
      <w:pPr>
        <w:ind w:left="1080" w:hanging="360"/>
      </w:pPr>
      <w:rPr>
        <w:rFonts w:ascii="OpenSymbol, 'Arial Unicode MS'" w:hAnsi="OpenSymbol, 'Arial Unicode MS'" w:cs="OpenSymbol, 'Arial Unicode MS'"/>
      </w:rPr>
    </w:lvl>
    <w:lvl w:ilvl="2">
      <w:numFmt w:val="bullet"/>
      <w:lvlText w:val="▪"/>
      <w:lvlJc w:val="left"/>
      <w:pPr>
        <w:ind w:left="1440" w:hanging="360"/>
      </w:pPr>
      <w:rPr>
        <w:rFonts w:ascii="OpenSymbol, 'Arial Unicode MS'" w:hAnsi="OpenSymbol, 'Arial Unicode MS'" w:cs="OpenSymbol, 'Arial Unicode MS'"/>
      </w:rPr>
    </w:lvl>
    <w:lvl w:ilvl="3">
      <w:numFmt w:val="bullet"/>
      <w:lvlText w:val=""/>
      <w:lvlJc w:val="left"/>
      <w:pPr>
        <w:ind w:left="1800" w:hanging="360"/>
      </w:pPr>
      <w:rPr>
        <w:rFonts w:ascii="Symbol" w:eastAsia="Times New Roman" w:hAnsi="Symbol" w:cs="Times New Roman"/>
        <w:lang w:val="pl-PL"/>
      </w:rPr>
    </w:lvl>
    <w:lvl w:ilvl="4">
      <w:numFmt w:val="bullet"/>
      <w:lvlText w:val="◦"/>
      <w:lvlJc w:val="left"/>
      <w:pPr>
        <w:ind w:left="2160" w:hanging="360"/>
      </w:pPr>
      <w:rPr>
        <w:rFonts w:ascii="OpenSymbol, 'Arial Unicode MS'" w:hAnsi="OpenSymbol, 'Arial Unicode MS'" w:cs="OpenSymbol, 'Arial Unicode MS'"/>
      </w:rPr>
    </w:lvl>
    <w:lvl w:ilvl="5">
      <w:numFmt w:val="bullet"/>
      <w:lvlText w:val="▪"/>
      <w:lvlJc w:val="left"/>
      <w:pPr>
        <w:ind w:left="2520" w:hanging="360"/>
      </w:pPr>
      <w:rPr>
        <w:rFonts w:ascii="OpenSymbol, 'Arial Unicode MS'" w:hAnsi="OpenSymbol, 'Arial Unicode MS'" w:cs="OpenSymbol, 'Arial Unicode MS'"/>
      </w:rPr>
    </w:lvl>
    <w:lvl w:ilvl="6">
      <w:numFmt w:val="bullet"/>
      <w:lvlText w:val=""/>
      <w:lvlJc w:val="left"/>
      <w:pPr>
        <w:ind w:left="2880" w:hanging="360"/>
      </w:pPr>
      <w:rPr>
        <w:rFonts w:ascii="Symbol" w:eastAsia="Times New Roman" w:hAnsi="Symbol" w:cs="Times New Roman"/>
        <w:lang w:val="pl-PL"/>
      </w:rPr>
    </w:lvl>
    <w:lvl w:ilvl="7">
      <w:numFmt w:val="bullet"/>
      <w:lvlText w:val="◦"/>
      <w:lvlJc w:val="left"/>
      <w:pPr>
        <w:ind w:left="3240" w:hanging="360"/>
      </w:pPr>
      <w:rPr>
        <w:rFonts w:ascii="OpenSymbol, 'Arial Unicode MS'" w:hAnsi="OpenSymbol, 'Arial Unicode MS'" w:cs="OpenSymbol, 'Arial Unicode MS'"/>
      </w:rPr>
    </w:lvl>
    <w:lvl w:ilvl="8">
      <w:numFmt w:val="bullet"/>
      <w:lvlText w:val="▪"/>
      <w:lvlJc w:val="left"/>
      <w:pPr>
        <w:ind w:left="3600" w:hanging="360"/>
      </w:pPr>
      <w:rPr>
        <w:rFonts w:ascii="OpenSymbol, 'Arial Unicode MS'" w:hAnsi="OpenSymbol, 'Arial Unicode MS'" w:cs="OpenSymbol, 'Arial Unicode MS'"/>
      </w:rPr>
    </w:lvl>
  </w:abstractNum>
  <w:abstractNum w:abstractNumId="66" w15:restartNumberingAfterBreak="0">
    <w:nsid w:val="659670EA"/>
    <w:multiLevelType w:val="multilevel"/>
    <w:tmpl w:val="328473DC"/>
    <w:styleLink w:val="WW8Num46"/>
    <w:lvl w:ilvl="0">
      <w:start w:val="1"/>
      <w:numFmt w:val="decimal"/>
      <w:lvlText w:val="%1."/>
      <w:lvlJc w:val="left"/>
      <w:pPr>
        <w:ind w:left="720" w:hanging="360"/>
      </w:pPr>
      <w:rPr>
        <w:rFonts w:cs="Arial"/>
        <w:lang w:val="pl-PL"/>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67" w15:restartNumberingAfterBreak="0">
    <w:nsid w:val="65BA516A"/>
    <w:multiLevelType w:val="multilevel"/>
    <w:tmpl w:val="07BC37C6"/>
    <w:styleLink w:val="WWNum19"/>
    <w:lvl w:ilvl="0">
      <w:numFmt w:val="bullet"/>
      <w:lvlText w:val="-"/>
      <w:lvlJc w:val="left"/>
      <w:pPr>
        <w:ind w:left="397" w:hanging="397"/>
      </w:pPr>
      <w:rPr>
        <w:rFonts w:eastAsia="Times New Roman"/>
      </w:rPr>
    </w:lvl>
    <w:lvl w:ilvl="1">
      <w:start w:val="1"/>
      <w:numFmt w:val="decimal"/>
      <w:lvlText w:val="%2."/>
      <w:lvlJc w:val="left"/>
      <w:pPr>
        <w:ind w:left="1440" w:hanging="360"/>
      </w:pPr>
      <w:rPr>
        <w:rFonts w:cs="Times New Roman"/>
      </w:rPr>
    </w:lvl>
    <w:lvl w:ilvl="2">
      <w:start w:val="1"/>
      <w:numFmt w:val="decimal"/>
      <w:lvlText w:val="%3."/>
      <w:lvlJc w:val="left"/>
      <w:pPr>
        <w:ind w:left="2160" w:hanging="360"/>
      </w:pPr>
      <w:rPr>
        <w:rFonts w:cs="Times New Roman"/>
      </w:rPr>
    </w:lvl>
    <w:lvl w:ilvl="3">
      <w:start w:val="1"/>
      <w:numFmt w:val="decimal"/>
      <w:lvlText w:val="%4."/>
      <w:lvlJc w:val="left"/>
      <w:pPr>
        <w:ind w:left="2880" w:hanging="360"/>
      </w:pPr>
      <w:rPr>
        <w:rFonts w:cs="Times New Roman"/>
      </w:rPr>
    </w:lvl>
    <w:lvl w:ilvl="4">
      <w:start w:val="1"/>
      <w:numFmt w:val="decimal"/>
      <w:lvlText w:val="%5."/>
      <w:lvlJc w:val="left"/>
      <w:pPr>
        <w:ind w:left="3600" w:hanging="360"/>
      </w:pPr>
      <w:rPr>
        <w:rFonts w:cs="Times New Roman"/>
      </w:rPr>
    </w:lvl>
    <w:lvl w:ilvl="5">
      <w:start w:val="1"/>
      <w:numFmt w:val="decimal"/>
      <w:lvlText w:val="%6."/>
      <w:lvlJc w:val="left"/>
      <w:pPr>
        <w:ind w:left="4320" w:hanging="360"/>
      </w:pPr>
      <w:rPr>
        <w:rFonts w:cs="Times New Roman"/>
      </w:rPr>
    </w:lvl>
    <w:lvl w:ilvl="6">
      <w:start w:val="1"/>
      <w:numFmt w:val="decimal"/>
      <w:lvlText w:val="%7."/>
      <w:lvlJc w:val="left"/>
      <w:pPr>
        <w:ind w:left="5040" w:hanging="360"/>
      </w:pPr>
      <w:rPr>
        <w:rFonts w:cs="Times New Roman"/>
      </w:rPr>
    </w:lvl>
    <w:lvl w:ilvl="7">
      <w:start w:val="1"/>
      <w:numFmt w:val="decimal"/>
      <w:lvlText w:val="%8."/>
      <w:lvlJc w:val="left"/>
      <w:pPr>
        <w:ind w:left="5760" w:hanging="360"/>
      </w:pPr>
      <w:rPr>
        <w:rFonts w:cs="Times New Roman"/>
      </w:rPr>
    </w:lvl>
    <w:lvl w:ilvl="8">
      <w:start w:val="1"/>
      <w:numFmt w:val="decimal"/>
      <w:lvlText w:val="%9."/>
      <w:lvlJc w:val="left"/>
      <w:pPr>
        <w:ind w:left="6480" w:hanging="360"/>
      </w:pPr>
      <w:rPr>
        <w:rFonts w:cs="Times New Roman"/>
      </w:rPr>
    </w:lvl>
  </w:abstractNum>
  <w:abstractNum w:abstractNumId="68" w15:restartNumberingAfterBreak="0">
    <w:nsid w:val="678111EF"/>
    <w:multiLevelType w:val="multilevel"/>
    <w:tmpl w:val="554A6154"/>
    <w:styleLink w:val="WW8Num41"/>
    <w:lvl w:ilvl="0">
      <w:numFmt w:val="bullet"/>
      <w:lvlText w:val=""/>
      <w:lvlJc w:val="left"/>
      <w:pPr>
        <w:ind w:left="720" w:hanging="360"/>
      </w:pPr>
      <w:rPr>
        <w:rFonts w:ascii="Symbol" w:hAnsi="Symbol" w:cs="OpenSymbol, 'Arial Unicode MS'"/>
        <w:lang w:val="pl-PL"/>
      </w:rPr>
    </w:lvl>
    <w:lvl w:ilvl="1">
      <w:numFmt w:val="bullet"/>
      <w:lvlText w:val="◦"/>
      <w:lvlJc w:val="left"/>
      <w:pPr>
        <w:ind w:left="1080" w:hanging="360"/>
      </w:pPr>
      <w:rPr>
        <w:rFonts w:ascii="OpenSymbol, 'Arial Unicode MS'" w:hAnsi="OpenSymbol, 'Arial Unicode MS'" w:cs="OpenSymbol, 'Arial Unicode MS'"/>
      </w:rPr>
    </w:lvl>
    <w:lvl w:ilvl="2">
      <w:numFmt w:val="bullet"/>
      <w:lvlText w:val="▪"/>
      <w:lvlJc w:val="left"/>
      <w:pPr>
        <w:ind w:left="1440" w:hanging="360"/>
      </w:pPr>
      <w:rPr>
        <w:rFonts w:ascii="OpenSymbol, 'Arial Unicode MS'" w:hAnsi="OpenSymbol, 'Arial Unicode MS'" w:cs="OpenSymbol, 'Arial Unicode MS'"/>
      </w:rPr>
    </w:lvl>
    <w:lvl w:ilvl="3">
      <w:numFmt w:val="bullet"/>
      <w:lvlText w:val=""/>
      <w:lvlJc w:val="left"/>
      <w:pPr>
        <w:ind w:left="1800" w:hanging="360"/>
      </w:pPr>
      <w:rPr>
        <w:rFonts w:ascii="Symbol" w:hAnsi="Symbol" w:cs="OpenSymbol, 'Arial Unicode MS'"/>
        <w:lang w:val="pl-PL"/>
      </w:rPr>
    </w:lvl>
    <w:lvl w:ilvl="4">
      <w:numFmt w:val="bullet"/>
      <w:lvlText w:val="◦"/>
      <w:lvlJc w:val="left"/>
      <w:pPr>
        <w:ind w:left="2160" w:hanging="360"/>
      </w:pPr>
      <w:rPr>
        <w:rFonts w:ascii="OpenSymbol, 'Arial Unicode MS'" w:hAnsi="OpenSymbol, 'Arial Unicode MS'" w:cs="OpenSymbol, 'Arial Unicode MS'"/>
      </w:rPr>
    </w:lvl>
    <w:lvl w:ilvl="5">
      <w:numFmt w:val="bullet"/>
      <w:lvlText w:val="▪"/>
      <w:lvlJc w:val="left"/>
      <w:pPr>
        <w:ind w:left="2520" w:hanging="360"/>
      </w:pPr>
      <w:rPr>
        <w:rFonts w:ascii="OpenSymbol, 'Arial Unicode MS'" w:hAnsi="OpenSymbol, 'Arial Unicode MS'" w:cs="OpenSymbol, 'Arial Unicode MS'"/>
      </w:rPr>
    </w:lvl>
    <w:lvl w:ilvl="6">
      <w:numFmt w:val="bullet"/>
      <w:lvlText w:val=""/>
      <w:lvlJc w:val="left"/>
      <w:pPr>
        <w:ind w:left="2880" w:hanging="360"/>
      </w:pPr>
      <w:rPr>
        <w:rFonts w:ascii="Symbol" w:hAnsi="Symbol" w:cs="OpenSymbol, 'Arial Unicode MS'"/>
        <w:lang w:val="pl-PL"/>
      </w:rPr>
    </w:lvl>
    <w:lvl w:ilvl="7">
      <w:numFmt w:val="bullet"/>
      <w:lvlText w:val="◦"/>
      <w:lvlJc w:val="left"/>
      <w:pPr>
        <w:ind w:left="3240" w:hanging="360"/>
      </w:pPr>
      <w:rPr>
        <w:rFonts w:ascii="OpenSymbol, 'Arial Unicode MS'" w:hAnsi="OpenSymbol, 'Arial Unicode MS'" w:cs="OpenSymbol, 'Arial Unicode MS'"/>
      </w:rPr>
    </w:lvl>
    <w:lvl w:ilvl="8">
      <w:numFmt w:val="bullet"/>
      <w:lvlText w:val="▪"/>
      <w:lvlJc w:val="left"/>
      <w:pPr>
        <w:ind w:left="3600" w:hanging="360"/>
      </w:pPr>
      <w:rPr>
        <w:rFonts w:ascii="OpenSymbol, 'Arial Unicode MS'" w:hAnsi="OpenSymbol, 'Arial Unicode MS'" w:cs="OpenSymbol, 'Arial Unicode MS'"/>
      </w:rPr>
    </w:lvl>
  </w:abstractNum>
  <w:abstractNum w:abstractNumId="69" w15:restartNumberingAfterBreak="0">
    <w:nsid w:val="68EA2522"/>
    <w:multiLevelType w:val="multilevel"/>
    <w:tmpl w:val="7C72BDE6"/>
    <w:styleLink w:val="WW8Num43"/>
    <w:lvl w:ilvl="0">
      <w:numFmt w:val="bullet"/>
      <w:lvlText w:val=""/>
      <w:lvlJc w:val="left"/>
      <w:pPr>
        <w:ind w:left="720" w:hanging="360"/>
      </w:pPr>
      <w:rPr>
        <w:rFonts w:ascii="Symbol" w:eastAsia="Times New Roman" w:hAnsi="Symbol" w:cs="OpenSymbol, 'Arial Unicode MS'"/>
        <w:color w:val="000000"/>
        <w:lang w:val="pl-PL"/>
      </w:rPr>
    </w:lvl>
    <w:lvl w:ilvl="1">
      <w:numFmt w:val="bullet"/>
      <w:lvlText w:val="◦"/>
      <w:lvlJc w:val="left"/>
      <w:pPr>
        <w:ind w:left="1080" w:hanging="360"/>
      </w:pPr>
      <w:rPr>
        <w:rFonts w:ascii="OpenSymbol, 'Arial Unicode MS'" w:hAnsi="OpenSymbol, 'Arial Unicode MS'" w:cs="OpenSymbol, 'Arial Unicode MS'"/>
      </w:rPr>
    </w:lvl>
    <w:lvl w:ilvl="2">
      <w:numFmt w:val="bullet"/>
      <w:lvlText w:val="▪"/>
      <w:lvlJc w:val="left"/>
      <w:pPr>
        <w:ind w:left="1440" w:hanging="360"/>
      </w:pPr>
      <w:rPr>
        <w:rFonts w:ascii="OpenSymbol, 'Arial Unicode MS'" w:hAnsi="OpenSymbol, 'Arial Unicode MS'" w:cs="OpenSymbol, 'Arial Unicode MS'"/>
      </w:rPr>
    </w:lvl>
    <w:lvl w:ilvl="3">
      <w:numFmt w:val="bullet"/>
      <w:lvlText w:val=""/>
      <w:lvlJc w:val="left"/>
      <w:pPr>
        <w:ind w:left="1800" w:hanging="360"/>
      </w:pPr>
      <w:rPr>
        <w:rFonts w:ascii="Symbol" w:eastAsia="Times New Roman" w:hAnsi="Symbol" w:cs="OpenSymbol, 'Arial Unicode MS'"/>
        <w:color w:val="000000"/>
        <w:lang w:val="pl-PL"/>
      </w:rPr>
    </w:lvl>
    <w:lvl w:ilvl="4">
      <w:numFmt w:val="bullet"/>
      <w:lvlText w:val="◦"/>
      <w:lvlJc w:val="left"/>
      <w:pPr>
        <w:ind w:left="2160" w:hanging="360"/>
      </w:pPr>
      <w:rPr>
        <w:rFonts w:ascii="OpenSymbol, 'Arial Unicode MS'" w:hAnsi="OpenSymbol, 'Arial Unicode MS'" w:cs="OpenSymbol, 'Arial Unicode MS'"/>
      </w:rPr>
    </w:lvl>
    <w:lvl w:ilvl="5">
      <w:numFmt w:val="bullet"/>
      <w:lvlText w:val="▪"/>
      <w:lvlJc w:val="left"/>
      <w:pPr>
        <w:ind w:left="2520" w:hanging="360"/>
      </w:pPr>
      <w:rPr>
        <w:rFonts w:ascii="OpenSymbol, 'Arial Unicode MS'" w:hAnsi="OpenSymbol, 'Arial Unicode MS'" w:cs="OpenSymbol, 'Arial Unicode MS'"/>
      </w:rPr>
    </w:lvl>
    <w:lvl w:ilvl="6">
      <w:numFmt w:val="bullet"/>
      <w:lvlText w:val=""/>
      <w:lvlJc w:val="left"/>
      <w:pPr>
        <w:ind w:left="2880" w:hanging="360"/>
      </w:pPr>
      <w:rPr>
        <w:rFonts w:ascii="Symbol" w:eastAsia="Times New Roman" w:hAnsi="Symbol" w:cs="OpenSymbol, 'Arial Unicode MS'"/>
        <w:color w:val="000000"/>
        <w:lang w:val="pl-PL"/>
      </w:rPr>
    </w:lvl>
    <w:lvl w:ilvl="7">
      <w:numFmt w:val="bullet"/>
      <w:lvlText w:val="◦"/>
      <w:lvlJc w:val="left"/>
      <w:pPr>
        <w:ind w:left="3240" w:hanging="360"/>
      </w:pPr>
      <w:rPr>
        <w:rFonts w:ascii="OpenSymbol, 'Arial Unicode MS'" w:hAnsi="OpenSymbol, 'Arial Unicode MS'" w:cs="OpenSymbol, 'Arial Unicode MS'"/>
      </w:rPr>
    </w:lvl>
    <w:lvl w:ilvl="8">
      <w:numFmt w:val="bullet"/>
      <w:lvlText w:val="▪"/>
      <w:lvlJc w:val="left"/>
      <w:pPr>
        <w:ind w:left="3600" w:hanging="360"/>
      </w:pPr>
      <w:rPr>
        <w:rFonts w:ascii="OpenSymbol, 'Arial Unicode MS'" w:hAnsi="OpenSymbol, 'Arial Unicode MS'" w:cs="OpenSymbol, 'Arial Unicode MS'"/>
      </w:rPr>
    </w:lvl>
  </w:abstractNum>
  <w:abstractNum w:abstractNumId="70" w15:restartNumberingAfterBreak="0">
    <w:nsid w:val="69790A76"/>
    <w:multiLevelType w:val="multilevel"/>
    <w:tmpl w:val="060AF076"/>
    <w:styleLink w:val="WWNum16"/>
    <w:lvl w:ilvl="0">
      <w:numFmt w:val="bullet"/>
      <w:lvlText w:val="-"/>
      <w:lvlJc w:val="left"/>
      <w:pPr>
        <w:ind w:left="397" w:hanging="397"/>
      </w:pPr>
      <w:rPr>
        <w:rFonts w:eastAsia="Times New Roman"/>
      </w:rPr>
    </w:lvl>
    <w:lvl w:ilvl="1">
      <w:start w:val="1"/>
      <w:numFmt w:val="decimal"/>
      <w:lvlText w:val="%2."/>
      <w:lvlJc w:val="left"/>
      <w:pPr>
        <w:ind w:left="1440" w:hanging="360"/>
      </w:pPr>
      <w:rPr>
        <w:rFonts w:cs="Times New Roman"/>
      </w:rPr>
    </w:lvl>
    <w:lvl w:ilvl="2">
      <w:start w:val="1"/>
      <w:numFmt w:val="decimal"/>
      <w:lvlText w:val="%3."/>
      <w:lvlJc w:val="left"/>
      <w:pPr>
        <w:ind w:left="2160" w:hanging="360"/>
      </w:pPr>
      <w:rPr>
        <w:rFonts w:cs="Times New Roman"/>
      </w:rPr>
    </w:lvl>
    <w:lvl w:ilvl="3">
      <w:start w:val="1"/>
      <w:numFmt w:val="decimal"/>
      <w:lvlText w:val="%4."/>
      <w:lvlJc w:val="left"/>
      <w:pPr>
        <w:ind w:left="2880" w:hanging="360"/>
      </w:pPr>
      <w:rPr>
        <w:rFonts w:cs="Times New Roman"/>
      </w:rPr>
    </w:lvl>
    <w:lvl w:ilvl="4">
      <w:start w:val="1"/>
      <w:numFmt w:val="decimal"/>
      <w:lvlText w:val="%5."/>
      <w:lvlJc w:val="left"/>
      <w:pPr>
        <w:ind w:left="3600" w:hanging="360"/>
      </w:pPr>
      <w:rPr>
        <w:rFonts w:cs="Times New Roman"/>
      </w:rPr>
    </w:lvl>
    <w:lvl w:ilvl="5">
      <w:start w:val="1"/>
      <w:numFmt w:val="decimal"/>
      <w:lvlText w:val="%6."/>
      <w:lvlJc w:val="left"/>
      <w:pPr>
        <w:ind w:left="4320" w:hanging="360"/>
      </w:pPr>
      <w:rPr>
        <w:rFonts w:cs="Times New Roman"/>
      </w:rPr>
    </w:lvl>
    <w:lvl w:ilvl="6">
      <w:start w:val="1"/>
      <w:numFmt w:val="decimal"/>
      <w:lvlText w:val="%7."/>
      <w:lvlJc w:val="left"/>
      <w:pPr>
        <w:ind w:left="5040" w:hanging="360"/>
      </w:pPr>
      <w:rPr>
        <w:rFonts w:cs="Times New Roman"/>
      </w:rPr>
    </w:lvl>
    <w:lvl w:ilvl="7">
      <w:start w:val="1"/>
      <w:numFmt w:val="decimal"/>
      <w:lvlText w:val="%8."/>
      <w:lvlJc w:val="left"/>
      <w:pPr>
        <w:ind w:left="5760" w:hanging="360"/>
      </w:pPr>
      <w:rPr>
        <w:rFonts w:cs="Times New Roman"/>
      </w:rPr>
    </w:lvl>
    <w:lvl w:ilvl="8">
      <w:start w:val="1"/>
      <w:numFmt w:val="decimal"/>
      <w:lvlText w:val="%9."/>
      <w:lvlJc w:val="left"/>
      <w:pPr>
        <w:ind w:left="6480" w:hanging="360"/>
      </w:pPr>
      <w:rPr>
        <w:rFonts w:cs="Times New Roman"/>
      </w:rPr>
    </w:lvl>
  </w:abstractNum>
  <w:abstractNum w:abstractNumId="71" w15:restartNumberingAfterBreak="0">
    <w:nsid w:val="69D306C4"/>
    <w:multiLevelType w:val="multilevel"/>
    <w:tmpl w:val="895AB356"/>
    <w:styleLink w:val="WW8Num32"/>
    <w:lvl w:ilvl="0">
      <w:numFmt w:val="bullet"/>
      <w:lvlText w:val=""/>
      <w:lvlJc w:val="left"/>
      <w:pPr>
        <w:ind w:left="720" w:hanging="360"/>
      </w:pPr>
      <w:rPr>
        <w:rFonts w:ascii="Symbol" w:hAnsi="Symbol" w:cs="Times New Roman"/>
        <w:lang w:val="pl-PL"/>
      </w:rPr>
    </w:lvl>
    <w:lvl w:ilvl="1">
      <w:numFmt w:val="bullet"/>
      <w:lvlText w:val="◦"/>
      <w:lvlJc w:val="left"/>
      <w:pPr>
        <w:ind w:left="1080" w:hanging="360"/>
      </w:pPr>
      <w:rPr>
        <w:rFonts w:ascii="OpenSymbol, 'Arial Unicode MS'" w:hAnsi="OpenSymbol, 'Arial Unicode MS'" w:cs="OpenSymbol, 'Arial Unicode MS'"/>
      </w:rPr>
    </w:lvl>
    <w:lvl w:ilvl="2">
      <w:numFmt w:val="bullet"/>
      <w:lvlText w:val="▪"/>
      <w:lvlJc w:val="left"/>
      <w:pPr>
        <w:ind w:left="1440" w:hanging="360"/>
      </w:pPr>
      <w:rPr>
        <w:rFonts w:ascii="OpenSymbol, 'Arial Unicode MS'" w:hAnsi="OpenSymbol, 'Arial Unicode MS'" w:cs="OpenSymbol, 'Arial Unicode MS'"/>
      </w:rPr>
    </w:lvl>
    <w:lvl w:ilvl="3">
      <w:numFmt w:val="bullet"/>
      <w:lvlText w:val=""/>
      <w:lvlJc w:val="left"/>
      <w:pPr>
        <w:ind w:left="1800" w:hanging="360"/>
      </w:pPr>
      <w:rPr>
        <w:rFonts w:ascii="Symbol" w:hAnsi="Symbol" w:cs="Times New Roman"/>
        <w:lang w:val="pl-PL"/>
      </w:rPr>
    </w:lvl>
    <w:lvl w:ilvl="4">
      <w:numFmt w:val="bullet"/>
      <w:lvlText w:val="◦"/>
      <w:lvlJc w:val="left"/>
      <w:pPr>
        <w:ind w:left="2160" w:hanging="360"/>
      </w:pPr>
      <w:rPr>
        <w:rFonts w:ascii="OpenSymbol, 'Arial Unicode MS'" w:hAnsi="OpenSymbol, 'Arial Unicode MS'" w:cs="OpenSymbol, 'Arial Unicode MS'"/>
      </w:rPr>
    </w:lvl>
    <w:lvl w:ilvl="5">
      <w:numFmt w:val="bullet"/>
      <w:lvlText w:val="▪"/>
      <w:lvlJc w:val="left"/>
      <w:pPr>
        <w:ind w:left="2520" w:hanging="360"/>
      </w:pPr>
      <w:rPr>
        <w:rFonts w:ascii="OpenSymbol, 'Arial Unicode MS'" w:hAnsi="OpenSymbol, 'Arial Unicode MS'" w:cs="OpenSymbol, 'Arial Unicode MS'"/>
      </w:rPr>
    </w:lvl>
    <w:lvl w:ilvl="6">
      <w:numFmt w:val="bullet"/>
      <w:lvlText w:val=""/>
      <w:lvlJc w:val="left"/>
      <w:pPr>
        <w:ind w:left="2880" w:hanging="360"/>
      </w:pPr>
      <w:rPr>
        <w:rFonts w:ascii="Symbol" w:hAnsi="Symbol" w:cs="Times New Roman"/>
        <w:lang w:val="pl-PL"/>
      </w:rPr>
    </w:lvl>
    <w:lvl w:ilvl="7">
      <w:numFmt w:val="bullet"/>
      <w:lvlText w:val="◦"/>
      <w:lvlJc w:val="left"/>
      <w:pPr>
        <w:ind w:left="3240" w:hanging="360"/>
      </w:pPr>
      <w:rPr>
        <w:rFonts w:ascii="OpenSymbol, 'Arial Unicode MS'" w:hAnsi="OpenSymbol, 'Arial Unicode MS'" w:cs="OpenSymbol, 'Arial Unicode MS'"/>
      </w:rPr>
    </w:lvl>
    <w:lvl w:ilvl="8">
      <w:numFmt w:val="bullet"/>
      <w:lvlText w:val="▪"/>
      <w:lvlJc w:val="left"/>
      <w:pPr>
        <w:ind w:left="3600" w:hanging="360"/>
      </w:pPr>
      <w:rPr>
        <w:rFonts w:ascii="OpenSymbol, 'Arial Unicode MS'" w:hAnsi="OpenSymbol, 'Arial Unicode MS'" w:cs="OpenSymbol, 'Arial Unicode MS'"/>
      </w:rPr>
    </w:lvl>
  </w:abstractNum>
  <w:abstractNum w:abstractNumId="72" w15:restartNumberingAfterBreak="0">
    <w:nsid w:val="6A504F47"/>
    <w:multiLevelType w:val="multilevel"/>
    <w:tmpl w:val="443AAFE0"/>
    <w:styleLink w:val="WWNum13"/>
    <w:lvl w:ilvl="0">
      <w:numFmt w:val="bullet"/>
      <w:lvlText w:val="-"/>
      <w:lvlJc w:val="left"/>
      <w:pPr>
        <w:ind w:left="720" w:hanging="360"/>
      </w:pPr>
      <w:rPr>
        <w:rFonts w:eastAsia="Times New Roman"/>
      </w:rPr>
    </w:lvl>
    <w:lvl w:ilvl="1">
      <w:numFmt w:val="bullet"/>
      <w:lvlText w:val="o"/>
      <w:lvlJc w:val="left"/>
      <w:pPr>
        <w:ind w:left="1440" w:hanging="360"/>
      </w:p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lvl>
    <w:lvl w:ilvl="8">
      <w:numFmt w:val="bullet"/>
      <w:lvlText w:val=""/>
      <w:lvlJc w:val="left"/>
      <w:pPr>
        <w:ind w:left="6480" w:hanging="360"/>
      </w:pPr>
    </w:lvl>
  </w:abstractNum>
  <w:abstractNum w:abstractNumId="73" w15:restartNumberingAfterBreak="0">
    <w:nsid w:val="6B59793A"/>
    <w:multiLevelType w:val="multilevel"/>
    <w:tmpl w:val="E9E6E460"/>
    <w:styleLink w:val="WWNum15"/>
    <w:lvl w:ilvl="0">
      <w:numFmt w:val="bullet"/>
      <w:lvlText w:val="-"/>
      <w:lvlJc w:val="left"/>
      <w:pPr>
        <w:ind w:left="720" w:hanging="360"/>
      </w:pPr>
      <w:rPr>
        <w:rFonts w:eastAsia="Times New Roman"/>
      </w:rPr>
    </w:lvl>
    <w:lvl w:ilvl="1">
      <w:numFmt w:val="bullet"/>
      <w:lvlText w:val="o"/>
      <w:lvlJc w:val="left"/>
      <w:pPr>
        <w:ind w:left="1440" w:hanging="360"/>
      </w:p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lvl>
    <w:lvl w:ilvl="8">
      <w:numFmt w:val="bullet"/>
      <w:lvlText w:val=""/>
      <w:lvlJc w:val="left"/>
      <w:pPr>
        <w:ind w:left="6480" w:hanging="360"/>
      </w:pPr>
    </w:lvl>
  </w:abstractNum>
  <w:abstractNum w:abstractNumId="74" w15:restartNumberingAfterBreak="0">
    <w:nsid w:val="6C990546"/>
    <w:multiLevelType w:val="multilevel"/>
    <w:tmpl w:val="0C22E852"/>
    <w:styleLink w:val="WW8Num9"/>
    <w:lvl w:ilvl="0">
      <w:numFmt w:val="bullet"/>
      <w:lvlText w:val="-"/>
      <w:lvlJc w:val="left"/>
      <w:pPr>
        <w:ind w:left="340" w:hanging="340"/>
      </w:pPr>
      <w:rPr>
        <w:rFonts w:ascii="OpenSymbol, 'Arial Unicode MS'" w:hAnsi="OpenSymbol, 'Arial Unicode MS'" w:cs="Times New Roman"/>
        <w:sz w:val="20"/>
        <w:szCs w:val="20"/>
        <w:shd w:val="clear" w:color="auto" w:fill="auto"/>
      </w:rPr>
    </w:lvl>
    <w:lvl w:ilvl="1">
      <w:start w:val="1"/>
      <w:numFmt w:val="decimal"/>
      <w:lvlText w:val="%2."/>
      <w:lvlJc w:val="left"/>
      <w:pPr>
        <w:ind w:left="1080" w:hanging="360"/>
      </w:pPr>
    </w:lvl>
    <w:lvl w:ilvl="2">
      <w:start w:val="1"/>
      <w:numFmt w:val="decimal"/>
      <w:lvlText w:val="%3."/>
      <w:lvlJc w:val="left"/>
      <w:pPr>
        <w:ind w:left="1440" w:hanging="360"/>
      </w:pPr>
      <w:rPr>
        <w:rFonts w:ascii="OpenSymbol, 'Arial Unicode MS'" w:hAnsi="OpenSymbol, 'Arial Unicode MS'" w:cs="OpenSymbol, 'Arial Unicode MS'"/>
      </w:r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75" w15:restartNumberingAfterBreak="0">
    <w:nsid w:val="6D106092"/>
    <w:multiLevelType w:val="multilevel"/>
    <w:tmpl w:val="0D3859E8"/>
    <w:styleLink w:val="WWNum26"/>
    <w:lvl w:ilvl="0">
      <w:numFmt w:val="bullet"/>
      <w:lvlText w:val="–"/>
      <w:lvlJc w:val="left"/>
      <w:pPr>
        <w:ind w:left="720" w:hanging="360"/>
      </w:pPr>
      <w:rPr>
        <w:rFonts w:ascii="Times New Roman" w:hAnsi="Times New Roman" w:cs="Times New Roman"/>
        <w:sz w:val="22"/>
      </w:rPr>
    </w:lvl>
    <w:lvl w:ilvl="1">
      <w:numFmt w:val="bullet"/>
      <w:lvlText w:val="o"/>
      <w:lvlJc w:val="left"/>
      <w:pPr>
        <w:ind w:left="1440" w:hanging="360"/>
      </w:pPr>
      <w:rPr>
        <w:rFonts w:eastAsia="Times New Roman"/>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eastAsia="Times New Roman"/>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eastAsia="Times New Roman"/>
      </w:rPr>
    </w:lvl>
    <w:lvl w:ilvl="8">
      <w:numFmt w:val="bullet"/>
      <w:lvlText w:val=""/>
      <w:lvlJc w:val="left"/>
      <w:pPr>
        <w:ind w:left="6480" w:hanging="360"/>
      </w:pPr>
    </w:lvl>
  </w:abstractNum>
  <w:abstractNum w:abstractNumId="76" w15:restartNumberingAfterBreak="0">
    <w:nsid w:val="6FA71A9B"/>
    <w:multiLevelType w:val="multilevel"/>
    <w:tmpl w:val="DAD6D79A"/>
    <w:styleLink w:val="WW8Num40"/>
    <w:lvl w:ilvl="0">
      <w:numFmt w:val="bullet"/>
      <w:lvlText w:val=""/>
      <w:lvlJc w:val="left"/>
      <w:pPr>
        <w:ind w:left="720" w:hanging="360"/>
      </w:pPr>
      <w:rPr>
        <w:rFonts w:ascii="Symbol" w:eastAsia="Times New Roman" w:hAnsi="Symbol" w:cs="OpenSymbol, 'Arial Unicode MS'"/>
        <w:color w:val="000000"/>
        <w:sz w:val="20"/>
        <w:szCs w:val="20"/>
        <w:lang w:val="pl-PL"/>
      </w:rPr>
    </w:lvl>
    <w:lvl w:ilvl="1">
      <w:numFmt w:val="bullet"/>
      <w:lvlText w:val="◦"/>
      <w:lvlJc w:val="left"/>
      <w:pPr>
        <w:ind w:left="1080" w:hanging="360"/>
      </w:pPr>
      <w:rPr>
        <w:rFonts w:ascii="OpenSymbol, 'Arial Unicode MS'" w:hAnsi="OpenSymbol, 'Arial Unicode MS'" w:cs="OpenSymbol, 'Arial Unicode MS'"/>
      </w:rPr>
    </w:lvl>
    <w:lvl w:ilvl="2">
      <w:numFmt w:val="bullet"/>
      <w:lvlText w:val="▪"/>
      <w:lvlJc w:val="left"/>
      <w:pPr>
        <w:ind w:left="1440" w:hanging="360"/>
      </w:pPr>
      <w:rPr>
        <w:rFonts w:ascii="OpenSymbol, 'Arial Unicode MS'" w:hAnsi="OpenSymbol, 'Arial Unicode MS'" w:cs="OpenSymbol, 'Arial Unicode MS'"/>
      </w:rPr>
    </w:lvl>
    <w:lvl w:ilvl="3">
      <w:numFmt w:val="bullet"/>
      <w:lvlText w:val=""/>
      <w:lvlJc w:val="left"/>
      <w:pPr>
        <w:ind w:left="1800" w:hanging="360"/>
      </w:pPr>
      <w:rPr>
        <w:rFonts w:ascii="Symbol" w:eastAsia="Times New Roman" w:hAnsi="Symbol" w:cs="OpenSymbol, 'Arial Unicode MS'"/>
        <w:color w:val="000000"/>
        <w:sz w:val="20"/>
        <w:szCs w:val="20"/>
        <w:lang w:val="pl-PL"/>
      </w:rPr>
    </w:lvl>
    <w:lvl w:ilvl="4">
      <w:numFmt w:val="bullet"/>
      <w:lvlText w:val="◦"/>
      <w:lvlJc w:val="left"/>
      <w:pPr>
        <w:ind w:left="2160" w:hanging="360"/>
      </w:pPr>
      <w:rPr>
        <w:rFonts w:ascii="OpenSymbol, 'Arial Unicode MS'" w:hAnsi="OpenSymbol, 'Arial Unicode MS'" w:cs="OpenSymbol, 'Arial Unicode MS'"/>
      </w:rPr>
    </w:lvl>
    <w:lvl w:ilvl="5">
      <w:numFmt w:val="bullet"/>
      <w:lvlText w:val="▪"/>
      <w:lvlJc w:val="left"/>
      <w:pPr>
        <w:ind w:left="2520" w:hanging="360"/>
      </w:pPr>
      <w:rPr>
        <w:rFonts w:ascii="OpenSymbol, 'Arial Unicode MS'" w:hAnsi="OpenSymbol, 'Arial Unicode MS'" w:cs="OpenSymbol, 'Arial Unicode MS'"/>
      </w:rPr>
    </w:lvl>
    <w:lvl w:ilvl="6">
      <w:numFmt w:val="bullet"/>
      <w:lvlText w:val=""/>
      <w:lvlJc w:val="left"/>
      <w:pPr>
        <w:ind w:left="2880" w:hanging="360"/>
      </w:pPr>
      <w:rPr>
        <w:rFonts w:ascii="Symbol" w:eastAsia="Times New Roman" w:hAnsi="Symbol" w:cs="OpenSymbol, 'Arial Unicode MS'"/>
        <w:color w:val="000000"/>
        <w:sz w:val="20"/>
        <w:szCs w:val="20"/>
        <w:lang w:val="pl-PL"/>
      </w:rPr>
    </w:lvl>
    <w:lvl w:ilvl="7">
      <w:numFmt w:val="bullet"/>
      <w:lvlText w:val="◦"/>
      <w:lvlJc w:val="left"/>
      <w:pPr>
        <w:ind w:left="3240" w:hanging="360"/>
      </w:pPr>
      <w:rPr>
        <w:rFonts w:ascii="OpenSymbol, 'Arial Unicode MS'" w:hAnsi="OpenSymbol, 'Arial Unicode MS'" w:cs="OpenSymbol, 'Arial Unicode MS'"/>
      </w:rPr>
    </w:lvl>
    <w:lvl w:ilvl="8">
      <w:numFmt w:val="bullet"/>
      <w:lvlText w:val="▪"/>
      <w:lvlJc w:val="left"/>
      <w:pPr>
        <w:ind w:left="3600" w:hanging="360"/>
      </w:pPr>
      <w:rPr>
        <w:rFonts w:ascii="OpenSymbol, 'Arial Unicode MS'" w:hAnsi="OpenSymbol, 'Arial Unicode MS'" w:cs="OpenSymbol, 'Arial Unicode MS'"/>
      </w:rPr>
    </w:lvl>
  </w:abstractNum>
  <w:abstractNum w:abstractNumId="77" w15:restartNumberingAfterBreak="0">
    <w:nsid w:val="73247405"/>
    <w:multiLevelType w:val="multilevel"/>
    <w:tmpl w:val="8B4205C0"/>
    <w:styleLink w:val="WWNum11"/>
    <w:lvl w:ilvl="0">
      <w:numFmt w:val="bullet"/>
      <w:lvlText w:val=""/>
      <w:lvlJc w:val="left"/>
      <w:pPr>
        <w:ind w:left="720" w:hanging="360"/>
      </w:pPr>
    </w:lvl>
    <w:lvl w:ilvl="1">
      <w:numFmt w:val="bullet"/>
      <w:lvlText w:val="o"/>
      <w:lvlJc w:val="left"/>
      <w:pPr>
        <w:ind w:left="1440" w:hanging="360"/>
      </w:pPr>
      <w:rPr>
        <w:rFonts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cs="Courier New"/>
      </w:rPr>
    </w:lvl>
    <w:lvl w:ilvl="8">
      <w:numFmt w:val="bullet"/>
      <w:lvlText w:val=""/>
      <w:lvlJc w:val="left"/>
      <w:pPr>
        <w:ind w:left="6480" w:hanging="360"/>
      </w:pPr>
    </w:lvl>
  </w:abstractNum>
  <w:abstractNum w:abstractNumId="78" w15:restartNumberingAfterBreak="0">
    <w:nsid w:val="73DF146E"/>
    <w:multiLevelType w:val="multilevel"/>
    <w:tmpl w:val="D902C296"/>
    <w:lvl w:ilvl="0">
      <w:numFmt w:val="bullet"/>
      <w:lvlText w:val=""/>
      <w:lvlJc w:val="left"/>
      <w:pPr>
        <w:ind w:left="283" w:hanging="283"/>
      </w:pPr>
      <w:rPr>
        <w:rFonts w:ascii="Symbol" w:eastAsia="Symbol" w:hAnsi="Symbol" w:cs="Symbol"/>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79" w15:restartNumberingAfterBreak="0">
    <w:nsid w:val="73EB4957"/>
    <w:multiLevelType w:val="multilevel"/>
    <w:tmpl w:val="C4048382"/>
    <w:styleLink w:val="WW8Num26"/>
    <w:lvl w:ilvl="0">
      <w:start w:val="1"/>
      <w:numFmt w:val="lowerLetter"/>
      <w:suff w:val="nothing"/>
      <w:lvlText w:val="%1)"/>
      <w:lvlJc w:val="left"/>
      <w:rPr>
        <w:rFonts w:ascii="Symbol" w:hAnsi="Symbol" w:cs="Symbol"/>
        <w:lang w:val="pl-PL"/>
      </w:rPr>
    </w:lvl>
    <w:lvl w:ilvl="1">
      <w:start w:val="1"/>
      <w:numFmt w:val="decimal"/>
      <w:suff w:val="nothing"/>
      <w:lvlText w:val="%2)"/>
      <w:lvlJc w:val="left"/>
      <w:rPr>
        <w:rFonts w:ascii="OpenSymbol, 'Arial Unicode MS'" w:hAnsi="OpenSymbol, 'Arial Unicode MS'" w:cs="OpenSymbol, 'Arial Unicode MS'"/>
      </w:rPr>
    </w:lvl>
    <w:lvl w:ilvl="2">
      <w:start w:val="1"/>
      <w:numFmt w:val="decimal"/>
      <w:suff w:val="nothing"/>
      <w:lvlText w:val="%3)"/>
      <w:lvlJc w:val="left"/>
      <w:rPr>
        <w:rFonts w:ascii="OpenSymbol, 'Arial Unicode MS'" w:hAnsi="OpenSymbol, 'Arial Unicode MS'" w:cs="OpenSymbol, 'Arial Unicode MS'"/>
      </w:rPr>
    </w:lvl>
    <w:lvl w:ilvl="3">
      <w:start w:val="1"/>
      <w:numFmt w:val="decimal"/>
      <w:suff w:val="nothing"/>
      <w:lvlText w:val="%4)"/>
      <w:lvlJc w:val="left"/>
      <w:rPr>
        <w:rFonts w:ascii="OpenSymbol, 'Arial Unicode MS'" w:hAnsi="OpenSymbol, 'Arial Unicode MS'" w:cs="OpenSymbol, 'Arial Unicode MS'"/>
      </w:rPr>
    </w:lvl>
    <w:lvl w:ilvl="4">
      <w:start w:val="1"/>
      <w:numFmt w:val="decimal"/>
      <w:suff w:val="nothing"/>
      <w:lvlText w:val="%5)"/>
      <w:lvlJc w:val="left"/>
      <w:rPr>
        <w:rFonts w:ascii="OpenSymbol, 'Arial Unicode MS'" w:hAnsi="OpenSymbol, 'Arial Unicode MS'" w:cs="OpenSymbol, 'Arial Unicode MS'"/>
      </w:rPr>
    </w:lvl>
    <w:lvl w:ilvl="5">
      <w:start w:val="1"/>
      <w:numFmt w:val="decimal"/>
      <w:suff w:val="nothing"/>
      <w:lvlText w:val="%6)"/>
      <w:lvlJc w:val="left"/>
      <w:rPr>
        <w:rFonts w:ascii="OpenSymbol, 'Arial Unicode MS'" w:hAnsi="OpenSymbol, 'Arial Unicode MS'" w:cs="OpenSymbol, 'Arial Unicode MS'"/>
      </w:rPr>
    </w:lvl>
    <w:lvl w:ilvl="6">
      <w:start w:val="1"/>
      <w:numFmt w:val="decimal"/>
      <w:suff w:val="nothing"/>
      <w:lvlText w:val="%7)"/>
      <w:lvlJc w:val="left"/>
      <w:rPr>
        <w:rFonts w:ascii="OpenSymbol, 'Arial Unicode MS'" w:hAnsi="OpenSymbol, 'Arial Unicode MS'" w:cs="OpenSymbol, 'Arial Unicode MS'"/>
      </w:rPr>
    </w:lvl>
    <w:lvl w:ilvl="7">
      <w:start w:val="1"/>
      <w:numFmt w:val="decimal"/>
      <w:suff w:val="nothing"/>
      <w:lvlText w:val="%8)"/>
      <w:lvlJc w:val="left"/>
      <w:rPr>
        <w:rFonts w:ascii="OpenSymbol, 'Arial Unicode MS'" w:hAnsi="OpenSymbol, 'Arial Unicode MS'" w:cs="OpenSymbol, 'Arial Unicode MS'"/>
      </w:rPr>
    </w:lvl>
    <w:lvl w:ilvl="8">
      <w:start w:val="1"/>
      <w:numFmt w:val="decimal"/>
      <w:suff w:val="nothing"/>
      <w:lvlText w:val="%9)"/>
      <w:lvlJc w:val="left"/>
      <w:rPr>
        <w:rFonts w:ascii="OpenSymbol, 'Arial Unicode MS'" w:hAnsi="OpenSymbol, 'Arial Unicode MS'" w:cs="OpenSymbol, 'Arial Unicode MS'"/>
      </w:rPr>
    </w:lvl>
  </w:abstractNum>
  <w:abstractNum w:abstractNumId="80" w15:restartNumberingAfterBreak="0">
    <w:nsid w:val="74F1246B"/>
    <w:multiLevelType w:val="multilevel"/>
    <w:tmpl w:val="87C2ABE4"/>
    <w:styleLink w:val="WW8Num25"/>
    <w:lvl w:ilvl="0">
      <w:start w:val="1"/>
      <w:numFmt w:val="lowerLetter"/>
      <w:lvlText w:val="%1)"/>
      <w:lvlJc w:val="left"/>
      <w:pPr>
        <w:ind w:left="288" w:hanging="288"/>
      </w:pPr>
      <w:rPr>
        <w:rFonts w:ascii="OpenSymbol, 'Arial Unicode MS'" w:hAnsi="OpenSymbol, 'Arial Unicode MS'" w:cs="OpenSymbol, 'Arial Unicode MS'"/>
        <w:lang w:val="pl-PL"/>
      </w:rPr>
    </w:lvl>
    <w:lvl w:ilvl="1">
      <w:start w:val="1"/>
      <w:numFmt w:val="lowerLetter"/>
      <w:lvlText w:val="%2)"/>
      <w:lvlJc w:val="left"/>
      <w:pPr>
        <w:ind w:left="576" w:hanging="288"/>
      </w:pPr>
      <w:rPr>
        <w:rFonts w:ascii="OpenSymbol, 'Arial Unicode MS'" w:hAnsi="OpenSymbol, 'Arial Unicode MS'" w:cs="OpenSymbol, 'Arial Unicode MS'"/>
        <w:lang w:val="pl-PL"/>
      </w:rPr>
    </w:lvl>
    <w:lvl w:ilvl="2">
      <w:start w:val="1"/>
      <w:numFmt w:val="lowerLetter"/>
      <w:lvlText w:val="%3)"/>
      <w:lvlJc w:val="left"/>
      <w:pPr>
        <w:ind w:left="864" w:hanging="288"/>
      </w:pPr>
      <w:rPr>
        <w:rFonts w:ascii="OpenSymbol, 'Arial Unicode MS'" w:hAnsi="OpenSymbol, 'Arial Unicode MS'" w:cs="OpenSymbol, 'Arial Unicode MS'"/>
        <w:lang w:val="pl-PL"/>
      </w:rPr>
    </w:lvl>
    <w:lvl w:ilvl="3">
      <w:start w:val="1"/>
      <w:numFmt w:val="lowerLetter"/>
      <w:lvlText w:val="%4)"/>
      <w:lvlJc w:val="left"/>
      <w:pPr>
        <w:ind w:left="1152" w:hanging="288"/>
      </w:pPr>
      <w:rPr>
        <w:rFonts w:ascii="OpenSymbol, 'Arial Unicode MS'" w:hAnsi="OpenSymbol, 'Arial Unicode MS'" w:cs="OpenSymbol, 'Arial Unicode MS'"/>
        <w:lang w:val="pl-PL"/>
      </w:rPr>
    </w:lvl>
    <w:lvl w:ilvl="4">
      <w:start w:val="1"/>
      <w:numFmt w:val="lowerLetter"/>
      <w:lvlText w:val="%5)"/>
      <w:lvlJc w:val="left"/>
      <w:pPr>
        <w:ind w:left="1440" w:hanging="288"/>
      </w:pPr>
      <w:rPr>
        <w:rFonts w:ascii="OpenSymbol, 'Arial Unicode MS'" w:hAnsi="OpenSymbol, 'Arial Unicode MS'" w:cs="OpenSymbol, 'Arial Unicode MS'"/>
        <w:lang w:val="pl-PL"/>
      </w:rPr>
    </w:lvl>
    <w:lvl w:ilvl="5">
      <w:start w:val="1"/>
      <w:numFmt w:val="lowerLetter"/>
      <w:lvlText w:val="%6)"/>
      <w:lvlJc w:val="left"/>
      <w:pPr>
        <w:ind w:left="1728" w:hanging="288"/>
      </w:pPr>
      <w:rPr>
        <w:rFonts w:ascii="OpenSymbol, 'Arial Unicode MS'" w:hAnsi="OpenSymbol, 'Arial Unicode MS'" w:cs="OpenSymbol, 'Arial Unicode MS'"/>
        <w:lang w:val="pl-PL"/>
      </w:rPr>
    </w:lvl>
    <w:lvl w:ilvl="6">
      <w:start w:val="1"/>
      <w:numFmt w:val="lowerLetter"/>
      <w:lvlText w:val="%7)"/>
      <w:lvlJc w:val="left"/>
      <w:pPr>
        <w:ind w:left="2016" w:hanging="288"/>
      </w:pPr>
      <w:rPr>
        <w:rFonts w:ascii="OpenSymbol, 'Arial Unicode MS'" w:hAnsi="OpenSymbol, 'Arial Unicode MS'" w:cs="OpenSymbol, 'Arial Unicode MS'"/>
        <w:lang w:val="pl-PL"/>
      </w:rPr>
    </w:lvl>
    <w:lvl w:ilvl="7">
      <w:start w:val="1"/>
      <w:numFmt w:val="lowerLetter"/>
      <w:lvlText w:val="%8)"/>
      <w:lvlJc w:val="left"/>
      <w:pPr>
        <w:ind w:left="2304" w:hanging="288"/>
      </w:pPr>
      <w:rPr>
        <w:rFonts w:ascii="OpenSymbol, 'Arial Unicode MS'" w:hAnsi="OpenSymbol, 'Arial Unicode MS'" w:cs="OpenSymbol, 'Arial Unicode MS'"/>
        <w:lang w:val="pl-PL"/>
      </w:rPr>
    </w:lvl>
    <w:lvl w:ilvl="8">
      <w:start w:val="1"/>
      <w:numFmt w:val="lowerLetter"/>
      <w:lvlText w:val="%9)"/>
      <w:lvlJc w:val="left"/>
      <w:pPr>
        <w:ind w:left="2592" w:hanging="288"/>
      </w:pPr>
      <w:rPr>
        <w:rFonts w:ascii="OpenSymbol, 'Arial Unicode MS'" w:hAnsi="OpenSymbol, 'Arial Unicode MS'" w:cs="OpenSymbol, 'Arial Unicode MS'"/>
        <w:lang w:val="pl-PL"/>
      </w:rPr>
    </w:lvl>
  </w:abstractNum>
  <w:abstractNum w:abstractNumId="81" w15:restartNumberingAfterBreak="0">
    <w:nsid w:val="787E58BE"/>
    <w:multiLevelType w:val="multilevel"/>
    <w:tmpl w:val="8430C90A"/>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82" w15:restartNumberingAfterBreak="0">
    <w:nsid w:val="7AB01134"/>
    <w:multiLevelType w:val="multilevel"/>
    <w:tmpl w:val="72A6E66E"/>
    <w:styleLink w:val="WW8Num15"/>
    <w:lvl w:ilvl="0">
      <w:start w:val="1"/>
      <w:numFmt w:val="decimal"/>
      <w:lvlText w:val="%1."/>
      <w:lvlJc w:val="left"/>
      <w:pPr>
        <w:ind w:left="288" w:hanging="288"/>
      </w:pPr>
      <w:rPr>
        <w:rFonts w:ascii="Arial" w:hAnsi="Arial" w:cs="Arial"/>
        <w:sz w:val="20"/>
        <w:lang w:val="pl-PL"/>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83" w15:restartNumberingAfterBreak="0">
    <w:nsid w:val="7B985646"/>
    <w:multiLevelType w:val="multilevel"/>
    <w:tmpl w:val="E690D3EC"/>
    <w:styleLink w:val="WWNum20"/>
    <w:lvl w:ilvl="0">
      <w:numFmt w:val="bullet"/>
      <w:lvlText w:val="-"/>
      <w:lvlJc w:val="left"/>
      <w:pPr>
        <w:ind w:left="360" w:hanging="360"/>
      </w:pPr>
      <w:rPr>
        <w:rFonts w:eastAsia="Times New Roman"/>
      </w:rPr>
    </w:lvl>
    <w:lvl w:ilvl="1">
      <w:numFmt w:val="bullet"/>
      <w:lvlText w:val="o"/>
      <w:lvlJc w:val="left"/>
      <w:pPr>
        <w:ind w:left="1080" w:hanging="360"/>
      </w:pPr>
    </w:lvl>
    <w:lvl w:ilvl="2">
      <w:numFmt w:val="bullet"/>
      <w:lvlText w:val=""/>
      <w:lvlJc w:val="left"/>
      <w:pPr>
        <w:ind w:left="1800" w:hanging="360"/>
      </w:pPr>
    </w:lvl>
    <w:lvl w:ilvl="3">
      <w:numFmt w:val="bullet"/>
      <w:lvlText w:val=""/>
      <w:lvlJc w:val="left"/>
      <w:pPr>
        <w:ind w:left="2520" w:hanging="360"/>
      </w:pPr>
    </w:lvl>
    <w:lvl w:ilvl="4">
      <w:numFmt w:val="bullet"/>
      <w:lvlText w:val="o"/>
      <w:lvlJc w:val="left"/>
      <w:pPr>
        <w:ind w:left="3240" w:hanging="360"/>
      </w:pPr>
    </w:lvl>
    <w:lvl w:ilvl="5">
      <w:numFmt w:val="bullet"/>
      <w:lvlText w:val=""/>
      <w:lvlJc w:val="left"/>
      <w:pPr>
        <w:ind w:left="3960" w:hanging="360"/>
      </w:pPr>
    </w:lvl>
    <w:lvl w:ilvl="6">
      <w:numFmt w:val="bullet"/>
      <w:lvlText w:val=""/>
      <w:lvlJc w:val="left"/>
      <w:pPr>
        <w:ind w:left="4680" w:hanging="360"/>
      </w:pPr>
    </w:lvl>
    <w:lvl w:ilvl="7">
      <w:numFmt w:val="bullet"/>
      <w:lvlText w:val="o"/>
      <w:lvlJc w:val="left"/>
      <w:pPr>
        <w:ind w:left="5400" w:hanging="360"/>
      </w:pPr>
    </w:lvl>
    <w:lvl w:ilvl="8">
      <w:numFmt w:val="bullet"/>
      <w:lvlText w:val=""/>
      <w:lvlJc w:val="left"/>
      <w:pPr>
        <w:ind w:left="6120" w:hanging="360"/>
      </w:pPr>
    </w:lvl>
  </w:abstractNum>
  <w:abstractNum w:abstractNumId="84" w15:restartNumberingAfterBreak="0">
    <w:nsid w:val="7BA82FE4"/>
    <w:multiLevelType w:val="multilevel"/>
    <w:tmpl w:val="1256D662"/>
    <w:styleLink w:val="WW8Num28"/>
    <w:lvl w:ilvl="0">
      <w:numFmt w:val="bullet"/>
      <w:lvlText w:val=""/>
      <w:lvlJc w:val="left"/>
      <w:pPr>
        <w:ind w:left="720" w:hanging="360"/>
      </w:pPr>
      <w:rPr>
        <w:rFonts w:ascii="Symbol" w:hAnsi="Symbol" w:cs="Times New Roman"/>
        <w:lang w:val="pl-PL"/>
      </w:rPr>
    </w:lvl>
    <w:lvl w:ilvl="1">
      <w:numFmt w:val="bullet"/>
      <w:lvlText w:val="◦"/>
      <w:lvlJc w:val="left"/>
      <w:pPr>
        <w:ind w:left="1080" w:hanging="360"/>
      </w:pPr>
      <w:rPr>
        <w:rFonts w:ascii="OpenSymbol, 'Arial Unicode MS'" w:hAnsi="OpenSymbol, 'Arial Unicode MS'"/>
        <w:sz w:val="20"/>
        <w:szCs w:val="20"/>
        <w:lang w:val="pl-PL"/>
      </w:rPr>
    </w:lvl>
    <w:lvl w:ilvl="2">
      <w:numFmt w:val="bullet"/>
      <w:lvlText w:val="▪"/>
      <w:lvlJc w:val="left"/>
      <w:pPr>
        <w:ind w:left="1440" w:hanging="360"/>
      </w:pPr>
      <w:rPr>
        <w:rFonts w:ascii="OpenSymbol, 'Arial Unicode MS'" w:hAnsi="OpenSymbol, 'Arial Unicode MS'"/>
        <w:sz w:val="20"/>
        <w:szCs w:val="20"/>
        <w:lang w:val="pl-PL"/>
      </w:rPr>
    </w:lvl>
    <w:lvl w:ilvl="3">
      <w:numFmt w:val="bullet"/>
      <w:lvlText w:val=""/>
      <w:lvlJc w:val="left"/>
      <w:pPr>
        <w:ind w:left="1800" w:hanging="360"/>
      </w:pPr>
      <w:rPr>
        <w:rFonts w:ascii="Symbol" w:hAnsi="Symbol" w:cs="Times New Roman"/>
        <w:lang w:val="pl-PL"/>
      </w:rPr>
    </w:lvl>
    <w:lvl w:ilvl="4">
      <w:numFmt w:val="bullet"/>
      <w:lvlText w:val="◦"/>
      <w:lvlJc w:val="left"/>
      <w:pPr>
        <w:ind w:left="2160" w:hanging="360"/>
      </w:pPr>
      <w:rPr>
        <w:rFonts w:ascii="OpenSymbol, 'Arial Unicode MS'" w:hAnsi="OpenSymbol, 'Arial Unicode MS'"/>
        <w:sz w:val="20"/>
        <w:szCs w:val="20"/>
        <w:lang w:val="pl-PL"/>
      </w:rPr>
    </w:lvl>
    <w:lvl w:ilvl="5">
      <w:numFmt w:val="bullet"/>
      <w:lvlText w:val="▪"/>
      <w:lvlJc w:val="left"/>
      <w:pPr>
        <w:ind w:left="2520" w:hanging="360"/>
      </w:pPr>
      <w:rPr>
        <w:rFonts w:ascii="OpenSymbol, 'Arial Unicode MS'" w:hAnsi="OpenSymbol, 'Arial Unicode MS'"/>
        <w:sz w:val="20"/>
        <w:szCs w:val="20"/>
        <w:lang w:val="pl-PL"/>
      </w:rPr>
    </w:lvl>
    <w:lvl w:ilvl="6">
      <w:numFmt w:val="bullet"/>
      <w:lvlText w:val=""/>
      <w:lvlJc w:val="left"/>
      <w:pPr>
        <w:ind w:left="2880" w:hanging="360"/>
      </w:pPr>
      <w:rPr>
        <w:rFonts w:ascii="Symbol" w:hAnsi="Symbol" w:cs="Times New Roman"/>
        <w:lang w:val="pl-PL"/>
      </w:rPr>
    </w:lvl>
    <w:lvl w:ilvl="7">
      <w:numFmt w:val="bullet"/>
      <w:lvlText w:val="◦"/>
      <w:lvlJc w:val="left"/>
      <w:pPr>
        <w:ind w:left="3240" w:hanging="360"/>
      </w:pPr>
      <w:rPr>
        <w:rFonts w:ascii="OpenSymbol, 'Arial Unicode MS'" w:hAnsi="OpenSymbol, 'Arial Unicode MS'"/>
        <w:sz w:val="20"/>
        <w:szCs w:val="20"/>
        <w:lang w:val="pl-PL"/>
      </w:rPr>
    </w:lvl>
    <w:lvl w:ilvl="8">
      <w:numFmt w:val="bullet"/>
      <w:lvlText w:val="▪"/>
      <w:lvlJc w:val="left"/>
      <w:pPr>
        <w:ind w:left="3600" w:hanging="360"/>
      </w:pPr>
      <w:rPr>
        <w:rFonts w:ascii="OpenSymbol, 'Arial Unicode MS'" w:hAnsi="OpenSymbol, 'Arial Unicode MS'"/>
        <w:sz w:val="20"/>
        <w:szCs w:val="20"/>
        <w:lang w:val="pl-PL"/>
      </w:rPr>
    </w:lvl>
  </w:abstractNum>
  <w:abstractNum w:abstractNumId="85" w15:restartNumberingAfterBreak="0">
    <w:nsid w:val="7C7A1C35"/>
    <w:multiLevelType w:val="multilevel"/>
    <w:tmpl w:val="BB4A98B8"/>
    <w:styleLink w:val="WW8Num214"/>
    <w:lvl w:ilvl="0">
      <w:numFmt w:val="bullet"/>
      <w:lvlText w:val=""/>
      <w:lvlJc w:val="left"/>
      <w:pPr>
        <w:ind w:left="283" w:hanging="283"/>
      </w:pPr>
      <w:rPr>
        <w:rFonts w:ascii="Symbol" w:hAnsi="Symbol" w:cs="Symbol"/>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86" w15:restartNumberingAfterBreak="0">
    <w:nsid w:val="7FE67A84"/>
    <w:multiLevelType w:val="multilevel"/>
    <w:tmpl w:val="E2B4A89C"/>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num w:numId="1">
    <w:abstractNumId w:val="30"/>
  </w:num>
  <w:num w:numId="2">
    <w:abstractNumId w:val="14"/>
  </w:num>
  <w:num w:numId="3">
    <w:abstractNumId w:val="9"/>
  </w:num>
  <w:num w:numId="4">
    <w:abstractNumId w:val="61"/>
  </w:num>
  <w:num w:numId="5">
    <w:abstractNumId w:val="45"/>
  </w:num>
  <w:num w:numId="6">
    <w:abstractNumId w:val="29"/>
  </w:num>
  <w:num w:numId="7">
    <w:abstractNumId w:val="56"/>
  </w:num>
  <w:num w:numId="8">
    <w:abstractNumId w:val="38"/>
  </w:num>
  <w:num w:numId="9">
    <w:abstractNumId w:val="74"/>
  </w:num>
  <w:num w:numId="10">
    <w:abstractNumId w:val="15"/>
  </w:num>
  <w:num w:numId="11">
    <w:abstractNumId w:val="6"/>
  </w:num>
  <w:num w:numId="12">
    <w:abstractNumId w:val="7"/>
  </w:num>
  <w:num w:numId="13">
    <w:abstractNumId w:val="60"/>
  </w:num>
  <w:num w:numId="14">
    <w:abstractNumId w:val="31"/>
  </w:num>
  <w:num w:numId="15">
    <w:abstractNumId w:val="82"/>
  </w:num>
  <w:num w:numId="16">
    <w:abstractNumId w:val="65"/>
  </w:num>
  <w:num w:numId="17">
    <w:abstractNumId w:val="37"/>
  </w:num>
  <w:num w:numId="18">
    <w:abstractNumId w:val="43"/>
  </w:num>
  <w:num w:numId="19">
    <w:abstractNumId w:val="19"/>
  </w:num>
  <w:num w:numId="20">
    <w:abstractNumId w:val="4"/>
  </w:num>
  <w:num w:numId="21">
    <w:abstractNumId w:val="22"/>
  </w:num>
  <w:num w:numId="22">
    <w:abstractNumId w:val="64"/>
  </w:num>
  <w:num w:numId="23">
    <w:abstractNumId w:val="24"/>
  </w:num>
  <w:num w:numId="24">
    <w:abstractNumId w:val="49"/>
  </w:num>
  <w:num w:numId="25">
    <w:abstractNumId w:val="80"/>
  </w:num>
  <w:num w:numId="26">
    <w:abstractNumId w:val="79"/>
  </w:num>
  <w:num w:numId="27">
    <w:abstractNumId w:val="53"/>
  </w:num>
  <w:num w:numId="28">
    <w:abstractNumId w:val="84"/>
  </w:num>
  <w:num w:numId="29">
    <w:abstractNumId w:val="0"/>
  </w:num>
  <w:num w:numId="30">
    <w:abstractNumId w:val="25"/>
  </w:num>
  <w:num w:numId="31">
    <w:abstractNumId w:val="40"/>
  </w:num>
  <w:num w:numId="32">
    <w:abstractNumId w:val="71"/>
  </w:num>
  <w:num w:numId="33">
    <w:abstractNumId w:val="36"/>
  </w:num>
  <w:num w:numId="34">
    <w:abstractNumId w:val="46"/>
  </w:num>
  <w:num w:numId="35">
    <w:abstractNumId w:val="16"/>
  </w:num>
  <w:num w:numId="36">
    <w:abstractNumId w:val="21"/>
  </w:num>
  <w:num w:numId="37">
    <w:abstractNumId w:val="20"/>
  </w:num>
  <w:num w:numId="38">
    <w:abstractNumId w:val="50"/>
  </w:num>
  <w:num w:numId="39">
    <w:abstractNumId w:val="23"/>
  </w:num>
  <w:num w:numId="40">
    <w:abstractNumId w:val="76"/>
  </w:num>
  <w:num w:numId="41">
    <w:abstractNumId w:val="68"/>
  </w:num>
  <w:num w:numId="42">
    <w:abstractNumId w:val="34"/>
  </w:num>
  <w:num w:numId="43">
    <w:abstractNumId w:val="69"/>
  </w:num>
  <w:num w:numId="44">
    <w:abstractNumId w:val="54"/>
  </w:num>
  <w:num w:numId="45">
    <w:abstractNumId w:val="26"/>
  </w:num>
  <w:num w:numId="46">
    <w:abstractNumId w:val="66"/>
  </w:num>
  <w:num w:numId="47">
    <w:abstractNumId w:val="35"/>
  </w:num>
  <w:num w:numId="48">
    <w:abstractNumId w:val="47"/>
  </w:num>
  <w:num w:numId="49">
    <w:abstractNumId w:val="62"/>
  </w:num>
  <w:num w:numId="50">
    <w:abstractNumId w:val="33"/>
  </w:num>
  <w:num w:numId="51">
    <w:abstractNumId w:val="8"/>
  </w:num>
  <w:num w:numId="52">
    <w:abstractNumId w:val="27"/>
  </w:num>
  <w:num w:numId="53">
    <w:abstractNumId w:val="13"/>
  </w:num>
  <w:num w:numId="54">
    <w:abstractNumId w:val="57"/>
  </w:num>
  <w:num w:numId="55">
    <w:abstractNumId w:val="85"/>
  </w:num>
  <w:num w:numId="56">
    <w:abstractNumId w:val="41"/>
  </w:num>
  <w:num w:numId="57">
    <w:abstractNumId w:val="10"/>
  </w:num>
  <w:num w:numId="58">
    <w:abstractNumId w:val="11"/>
  </w:num>
  <w:num w:numId="59">
    <w:abstractNumId w:val="28"/>
  </w:num>
  <w:num w:numId="60">
    <w:abstractNumId w:val="77"/>
  </w:num>
  <w:num w:numId="61">
    <w:abstractNumId w:val="1"/>
  </w:num>
  <w:num w:numId="62">
    <w:abstractNumId w:val="32"/>
  </w:num>
  <w:num w:numId="63">
    <w:abstractNumId w:val="63"/>
  </w:num>
  <w:num w:numId="64">
    <w:abstractNumId w:val="55"/>
  </w:num>
  <w:num w:numId="65">
    <w:abstractNumId w:val="72"/>
  </w:num>
  <w:num w:numId="66">
    <w:abstractNumId w:val="51"/>
  </w:num>
  <w:num w:numId="67">
    <w:abstractNumId w:val="73"/>
  </w:num>
  <w:num w:numId="68">
    <w:abstractNumId w:val="70"/>
  </w:num>
  <w:num w:numId="69">
    <w:abstractNumId w:val="44"/>
  </w:num>
  <w:num w:numId="70">
    <w:abstractNumId w:val="3"/>
  </w:num>
  <w:num w:numId="71">
    <w:abstractNumId w:val="12"/>
  </w:num>
  <w:num w:numId="72">
    <w:abstractNumId w:val="67"/>
  </w:num>
  <w:num w:numId="73">
    <w:abstractNumId w:val="83"/>
  </w:num>
  <w:num w:numId="74">
    <w:abstractNumId w:val="59"/>
  </w:num>
  <w:num w:numId="75">
    <w:abstractNumId w:val="52"/>
  </w:num>
  <w:num w:numId="76">
    <w:abstractNumId w:val="39"/>
  </w:num>
  <w:num w:numId="77">
    <w:abstractNumId w:val="18"/>
  </w:num>
  <w:num w:numId="78">
    <w:abstractNumId w:val="75"/>
  </w:num>
  <w:num w:numId="79">
    <w:abstractNumId w:val="42"/>
  </w:num>
  <w:num w:numId="80">
    <w:abstractNumId w:val="5"/>
  </w:num>
  <w:num w:numId="81">
    <w:abstractNumId w:val="6"/>
    <w:lvlOverride w:ilvl="0">
      <w:startOverride w:val="1"/>
    </w:lvlOverride>
  </w:num>
  <w:num w:numId="82">
    <w:abstractNumId w:val="65"/>
    <w:lvlOverride w:ilvl="0"/>
  </w:num>
  <w:num w:numId="83">
    <w:abstractNumId w:val="37"/>
    <w:lvlOverride w:ilvl="0">
      <w:startOverride w:val="1"/>
    </w:lvlOverride>
  </w:num>
  <w:num w:numId="84">
    <w:abstractNumId w:val="7"/>
    <w:lvlOverride w:ilvl="0">
      <w:startOverride w:val="1"/>
    </w:lvlOverride>
  </w:num>
  <w:num w:numId="85">
    <w:abstractNumId w:val="60"/>
    <w:lvlOverride w:ilvl="0">
      <w:startOverride w:val="1"/>
    </w:lvlOverride>
  </w:num>
  <w:num w:numId="86">
    <w:abstractNumId w:val="31"/>
    <w:lvlOverride w:ilvl="0">
      <w:startOverride w:val="1"/>
    </w:lvlOverride>
  </w:num>
  <w:num w:numId="87">
    <w:abstractNumId w:val="58"/>
  </w:num>
  <w:num w:numId="88">
    <w:abstractNumId w:val="43"/>
    <w:lvlOverride w:ilvl="0"/>
  </w:num>
  <w:num w:numId="89">
    <w:abstractNumId w:val="19"/>
    <w:lvlOverride w:ilvl="0"/>
  </w:num>
  <w:num w:numId="90">
    <w:abstractNumId w:val="2"/>
  </w:num>
  <w:num w:numId="91">
    <w:abstractNumId w:val="4"/>
    <w:lvlOverride w:ilvl="0"/>
  </w:num>
  <w:num w:numId="92">
    <w:abstractNumId w:val="22"/>
    <w:lvlOverride w:ilvl="0"/>
  </w:num>
  <w:num w:numId="93">
    <w:abstractNumId w:val="24"/>
    <w:lvlOverride w:ilvl="0">
      <w:startOverride w:val="1"/>
    </w:lvlOverride>
  </w:num>
  <w:num w:numId="94">
    <w:abstractNumId w:val="49"/>
    <w:lvlOverride w:ilvl="0">
      <w:startOverride w:val="1"/>
    </w:lvlOverride>
  </w:num>
  <w:num w:numId="95">
    <w:abstractNumId w:val="64"/>
    <w:lvlOverride w:ilvl="0"/>
  </w:num>
  <w:num w:numId="96">
    <w:abstractNumId w:val="80"/>
    <w:lvlOverride w:ilvl="0">
      <w:startOverride w:val="1"/>
    </w:lvlOverride>
  </w:num>
  <w:num w:numId="97">
    <w:abstractNumId w:val="79"/>
    <w:lvlOverride w:ilvl="0">
      <w:startOverride w:val="1"/>
    </w:lvlOverride>
  </w:num>
  <w:num w:numId="98">
    <w:abstractNumId w:val="53"/>
    <w:lvlOverride w:ilvl="0">
      <w:startOverride w:val="1"/>
    </w:lvlOverride>
  </w:num>
  <w:num w:numId="99">
    <w:abstractNumId w:val="82"/>
    <w:lvlOverride w:ilvl="0">
      <w:startOverride w:val="1"/>
    </w:lvlOverride>
  </w:num>
  <w:num w:numId="100">
    <w:abstractNumId w:val="61"/>
    <w:lvlOverride w:ilvl="0"/>
  </w:num>
  <w:num w:numId="101">
    <w:abstractNumId w:val="5"/>
    <w:lvlOverride w:ilvl="0"/>
  </w:num>
  <w:num w:numId="102">
    <w:abstractNumId w:val="74"/>
    <w:lvlOverride w:ilvl="0"/>
  </w:num>
  <w:num w:numId="103">
    <w:abstractNumId w:val="78"/>
  </w:num>
  <w:num w:numId="104">
    <w:abstractNumId w:val="45"/>
    <w:lvlOverride w:ilvl="0"/>
  </w:num>
  <w:num w:numId="105">
    <w:abstractNumId w:val="40"/>
    <w:lvlOverride w:ilvl="0"/>
  </w:num>
  <w:num w:numId="106">
    <w:abstractNumId w:val="48"/>
  </w:num>
  <w:num w:numId="107">
    <w:abstractNumId w:val="86"/>
  </w:num>
  <w:num w:numId="108">
    <w:abstractNumId w:val="81"/>
  </w:num>
  <w:num w:numId="109">
    <w:abstractNumId w:val="84"/>
    <w:lvlOverride w:ilvl="0"/>
  </w:num>
  <w:num w:numId="110">
    <w:abstractNumId w:val="17"/>
  </w:num>
  <w:numIdMacAtCleanup w:val="1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autoHyphenation/>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
  <w:rsids>
    <w:rsidRoot w:val="00B77F00"/>
    <w:rsid w:val="001B5F46"/>
    <w:rsid w:val="00865FA3"/>
    <w:rsid w:val="00B77F0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D1EF2C47-B31F-4A5E-A182-D9CC3A40CC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SimSun" w:hAnsi="Times New Roman" w:cs="Mangal"/>
        <w:kern w:val="3"/>
        <w:sz w:val="24"/>
        <w:szCs w:val="24"/>
        <w:lang w:val="pl-PL" w:eastAsia="zh-CN" w:bidi="hi-IN"/>
      </w:rPr>
    </w:rPrDefault>
    <w:pPrDefault>
      <w:pPr>
        <w:widowControl w:val="0"/>
        <w:suppressAutoHyphens/>
        <w:autoSpaceDN w:val="0"/>
        <w:textAlignment w:val="baseline"/>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style>
  <w:style w:type="paragraph" w:styleId="Nagwek1">
    <w:name w:val="heading 1"/>
    <w:basedOn w:val="Standard"/>
    <w:next w:val="Standard"/>
    <w:pPr>
      <w:keepNext/>
      <w:tabs>
        <w:tab w:val="left" w:pos="2711"/>
      </w:tabs>
      <w:spacing w:before="120" w:after="60"/>
      <w:ind w:left="431" w:hanging="431"/>
      <w:outlineLvl w:val="0"/>
    </w:pPr>
    <w:rPr>
      <w:rFonts w:eastAsia="Arial" w:cs="Arial"/>
      <w:b/>
      <w:caps/>
      <w:sz w:val="32"/>
      <w:szCs w:val="20"/>
    </w:rPr>
  </w:style>
  <w:style w:type="paragraph" w:styleId="Nagwek2">
    <w:name w:val="heading 2"/>
    <w:basedOn w:val="Nagwek"/>
    <w:next w:val="Textbody"/>
    <w:pPr>
      <w:outlineLvl w:val="1"/>
    </w:pPr>
    <w:rPr>
      <w:b/>
      <w:bCs/>
      <w:i/>
      <w:iCs/>
      <w:sz w:val="28"/>
    </w:rPr>
  </w:style>
  <w:style w:type="paragraph" w:styleId="Nagwek3">
    <w:name w:val="heading 3"/>
    <w:basedOn w:val="Nagwek"/>
    <w:next w:val="Textbody"/>
    <w:pPr>
      <w:outlineLvl w:val="2"/>
    </w:pPr>
    <w:rPr>
      <w:b/>
      <w:bCs/>
      <w:i/>
      <w:sz w:val="28"/>
    </w:rPr>
  </w:style>
  <w:style w:type="paragraph" w:styleId="Nagwek4">
    <w:name w:val="heading 4"/>
    <w:basedOn w:val="Standard"/>
    <w:next w:val="Standard"/>
    <w:pPr>
      <w:keepNext/>
      <w:spacing w:before="240" w:after="60"/>
      <w:ind w:left="1985" w:hanging="567"/>
      <w:jc w:val="both"/>
      <w:outlineLvl w:val="3"/>
    </w:pPr>
    <w:rPr>
      <w:b/>
      <w:i/>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Standard">
    <w:name w:val="Standard"/>
    <w:rPr>
      <w:rFonts w:ascii="Arial" w:eastAsia="Andale Sans UI" w:hAnsi="Arial" w:cs="Tahoma"/>
      <w:sz w:val="20"/>
      <w:lang/>
    </w:rPr>
  </w:style>
  <w:style w:type="paragraph" w:customStyle="1" w:styleId="Heading">
    <w:name w:val="Heading"/>
    <w:basedOn w:val="Standard"/>
    <w:next w:val="Textbody"/>
    <w:pPr>
      <w:keepNext/>
      <w:spacing w:before="240" w:after="120"/>
    </w:pPr>
    <w:rPr>
      <w:rFonts w:eastAsia="Arial"/>
      <w:sz w:val="28"/>
      <w:szCs w:val="28"/>
    </w:rPr>
  </w:style>
  <w:style w:type="paragraph" w:customStyle="1" w:styleId="Textbody">
    <w:name w:val="Text body"/>
    <w:basedOn w:val="Standard"/>
    <w:pPr>
      <w:spacing w:after="120"/>
    </w:pPr>
  </w:style>
  <w:style w:type="paragraph" w:styleId="Lista">
    <w:name w:val="List"/>
    <w:basedOn w:val="Textbody"/>
  </w:style>
  <w:style w:type="paragraph" w:styleId="Legenda">
    <w:name w:val="caption"/>
    <w:basedOn w:val="Standard"/>
    <w:pPr>
      <w:suppressLineNumbers/>
      <w:spacing w:before="120" w:after="120"/>
    </w:pPr>
    <w:rPr>
      <w:i/>
      <w:iCs/>
      <w:sz w:val="24"/>
    </w:rPr>
  </w:style>
  <w:style w:type="paragraph" w:customStyle="1" w:styleId="Index">
    <w:name w:val="Index"/>
    <w:basedOn w:val="Standard"/>
    <w:pPr>
      <w:suppressLineNumbers/>
    </w:pPr>
  </w:style>
  <w:style w:type="paragraph" w:styleId="Nagwek">
    <w:name w:val="header"/>
    <w:basedOn w:val="Standard"/>
    <w:next w:val="Textbody"/>
    <w:pPr>
      <w:keepNext/>
      <w:spacing w:before="240" w:after="120"/>
    </w:pPr>
    <w:rPr>
      <w:sz w:val="16"/>
      <w:szCs w:val="28"/>
    </w:rPr>
  </w:style>
  <w:style w:type="paragraph" w:styleId="Stopka">
    <w:name w:val="footer"/>
    <w:basedOn w:val="Standard"/>
    <w:pPr>
      <w:suppressLineNumbers/>
      <w:tabs>
        <w:tab w:val="center" w:pos="4818"/>
        <w:tab w:val="right" w:pos="9637"/>
      </w:tabs>
    </w:pPr>
    <w:rPr>
      <w:rFonts w:eastAsia="Arial" w:cs="Arial"/>
      <w:sz w:val="16"/>
    </w:rPr>
  </w:style>
  <w:style w:type="paragraph" w:customStyle="1" w:styleId="ContentsHeading">
    <w:name w:val="Contents Heading"/>
    <w:basedOn w:val="Nagwek"/>
    <w:pPr>
      <w:suppressLineNumbers/>
      <w:spacing w:before="0" w:after="0"/>
    </w:pPr>
    <w:rPr>
      <w:b/>
      <w:bCs/>
      <w:sz w:val="32"/>
      <w:szCs w:val="32"/>
    </w:rPr>
  </w:style>
  <w:style w:type="paragraph" w:customStyle="1" w:styleId="Styl1">
    <w:name w:val="Styl1"/>
    <w:basedOn w:val="Standard"/>
    <w:pPr>
      <w:jc w:val="both"/>
    </w:pPr>
    <w:rPr>
      <w:rFonts w:eastAsia="Arial" w:cs="Arial"/>
    </w:rPr>
  </w:style>
  <w:style w:type="paragraph" w:customStyle="1" w:styleId="Contents1">
    <w:name w:val="Contents 1"/>
    <w:basedOn w:val="Index"/>
    <w:pPr>
      <w:keepNext/>
      <w:tabs>
        <w:tab w:val="right" w:leader="dot" w:pos="9071"/>
      </w:tabs>
      <w:spacing w:before="170"/>
    </w:pPr>
    <w:rPr>
      <w:rFonts w:eastAsia="Arial" w:cs="Arial"/>
      <w:b/>
      <w:caps/>
    </w:rPr>
  </w:style>
  <w:style w:type="paragraph" w:customStyle="1" w:styleId="Contents2">
    <w:name w:val="Contents 2"/>
    <w:basedOn w:val="Index"/>
    <w:pPr>
      <w:keepNext/>
      <w:tabs>
        <w:tab w:val="right" w:leader="dot" w:pos="9921"/>
      </w:tabs>
      <w:ind w:left="283"/>
    </w:pPr>
    <w:rPr>
      <w:rFonts w:eastAsia="Arial" w:cs="Arial"/>
      <w:b/>
    </w:rPr>
  </w:style>
  <w:style w:type="paragraph" w:customStyle="1" w:styleId="Contents3">
    <w:name w:val="Contents 3"/>
    <w:basedOn w:val="Index"/>
    <w:pPr>
      <w:tabs>
        <w:tab w:val="right" w:leader="dot" w:pos="10204"/>
      </w:tabs>
      <w:ind w:left="566"/>
    </w:pPr>
  </w:style>
  <w:style w:type="paragraph" w:customStyle="1" w:styleId="TableContents">
    <w:name w:val="Table Contents"/>
    <w:basedOn w:val="Standard"/>
    <w:pPr>
      <w:suppressLineNumbers/>
    </w:pPr>
  </w:style>
  <w:style w:type="paragraph" w:styleId="Tekstpodstawowy2">
    <w:name w:val="Body Text 2"/>
    <w:basedOn w:val="Standard"/>
    <w:pPr>
      <w:widowControl/>
      <w:suppressAutoHyphens w:val="0"/>
      <w:overflowPunct w:val="0"/>
      <w:autoSpaceDE w:val="0"/>
      <w:ind w:left="360"/>
      <w:jc w:val="both"/>
    </w:pPr>
    <w:rPr>
      <w:rFonts w:eastAsia="Times New Roman"/>
      <w:szCs w:val="20"/>
      <w:lang w:val="pl-PL"/>
    </w:rPr>
  </w:style>
  <w:style w:type="paragraph" w:customStyle="1" w:styleId="Textbodyindent">
    <w:name w:val="Text body indent"/>
    <w:basedOn w:val="Standard"/>
    <w:pPr>
      <w:spacing w:after="120"/>
      <w:ind w:left="283"/>
    </w:pPr>
  </w:style>
  <w:style w:type="paragraph" w:customStyle="1" w:styleId="Standardowytekst">
    <w:name w:val="Standardowy.tekst"/>
    <w:pPr>
      <w:widowControl/>
      <w:overflowPunct w:val="0"/>
      <w:autoSpaceDE w:val="0"/>
      <w:jc w:val="both"/>
    </w:pPr>
    <w:rPr>
      <w:rFonts w:eastAsia="Arial" w:cs="Times New Roman"/>
      <w:sz w:val="20"/>
      <w:szCs w:val="20"/>
      <w:lang w:bidi="ar-SA"/>
    </w:rPr>
  </w:style>
  <w:style w:type="paragraph" w:customStyle="1" w:styleId="StylIwony">
    <w:name w:val="Styl Iwony"/>
    <w:basedOn w:val="Standard"/>
    <w:pPr>
      <w:widowControl/>
      <w:suppressAutoHyphens w:val="0"/>
      <w:overflowPunct w:val="0"/>
      <w:autoSpaceDE w:val="0"/>
      <w:spacing w:before="120" w:after="120"/>
      <w:jc w:val="both"/>
    </w:pPr>
    <w:rPr>
      <w:rFonts w:ascii="Bookman Old Style" w:eastAsia="Times New Roman" w:hAnsi="Bookman Old Style" w:cs="Bookman Old Style"/>
      <w:szCs w:val="20"/>
      <w:lang w:val="pl-PL"/>
    </w:rPr>
  </w:style>
  <w:style w:type="paragraph" w:customStyle="1" w:styleId="Punkty">
    <w:name w:val="Punkty"/>
    <w:basedOn w:val="Standard"/>
    <w:next w:val="Text"/>
    <w:pPr>
      <w:keepNext/>
      <w:tabs>
        <w:tab w:val="left" w:pos="855"/>
      </w:tabs>
      <w:spacing w:before="240" w:after="120"/>
    </w:pPr>
    <w:rPr>
      <w:rFonts w:eastAsia="Arial" w:cs="Arial"/>
      <w:b/>
      <w:bCs/>
      <w:szCs w:val="20"/>
    </w:rPr>
  </w:style>
  <w:style w:type="paragraph" w:customStyle="1" w:styleId="Text">
    <w:name w:val="Text"/>
    <w:basedOn w:val="Standard"/>
    <w:pPr>
      <w:tabs>
        <w:tab w:val="left" w:pos="851"/>
      </w:tabs>
      <w:spacing w:after="120"/>
      <w:ind w:firstLine="851"/>
      <w:jc w:val="both"/>
    </w:pPr>
    <w:rPr>
      <w:rFonts w:eastAsia="Arial" w:cs="Arial"/>
      <w:szCs w:val="20"/>
    </w:rPr>
  </w:style>
  <w:style w:type="paragraph" w:customStyle="1" w:styleId="Listapunktowana1">
    <w:name w:val="Lista punktowana1"/>
    <w:basedOn w:val="Standard"/>
    <w:pPr>
      <w:tabs>
        <w:tab w:val="left" w:pos="360"/>
      </w:tabs>
    </w:pPr>
    <w:rPr>
      <w:rFonts w:eastAsia="Arial" w:cs="Arial"/>
      <w:szCs w:val="20"/>
    </w:rPr>
  </w:style>
  <w:style w:type="paragraph" w:customStyle="1" w:styleId="Contents4">
    <w:name w:val="Contents 4"/>
    <w:basedOn w:val="Index"/>
    <w:pPr>
      <w:tabs>
        <w:tab w:val="right" w:leader="dot" w:pos="9637"/>
      </w:tabs>
      <w:ind w:left="849"/>
    </w:pPr>
  </w:style>
  <w:style w:type="paragraph" w:customStyle="1" w:styleId="Contents5">
    <w:name w:val="Contents 5"/>
    <w:basedOn w:val="Index"/>
    <w:pPr>
      <w:tabs>
        <w:tab w:val="right" w:leader="dot" w:pos="9637"/>
      </w:tabs>
      <w:ind w:left="1132"/>
    </w:pPr>
  </w:style>
  <w:style w:type="paragraph" w:customStyle="1" w:styleId="Contents6">
    <w:name w:val="Contents 6"/>
    <w:basedOn w:val="Index"/>
    <w:pPr>
      <w:tabs>
        <w:tab w:val="right" w:leader="dot" w:pos="9637"/>
      </w:tabs>
      <w:ind w:left="1415"/>
    </w:pPr>
  </w:style>
  <w:style w:type="paragraph" w:customStyle="1" w:styleId="Contents7">
    <w:name w:val="Contents 7"/>
    <w:basedOn w:val="Index"/>
    <w:pPr>
      <w:tabs>
        <w:tab w:val="right" w:leader="dot" w:pos="9637"/>
      </w:tabs>
      <w:ind w:left="1698"/>
    </w:pPr>
  </w:style>
  <w:style w:type="paragraph" w:customStyle="1" w:styleId="Contents8">
    <w:name w:val="Contents 8"/>
    <w:basedOn w:val="Index"/>
    <w:pPr>
      <w:tabs>
        <w:tab w:val="right" w:leader="dot" w:pos="9637"/>
      </w:tabs>
      <w:ind w:left="1981"/>
    </w:pPr>
  </w:style>
  <w:style w:type="paragraph" w:customStyle="1" w:styleId="Contents9">
    <w:name w:val="Contents 9"/>
    <w:basedOn w:val="Index"/>
    <w:pPr>
      <w:tabs>
        <w:tab w:val="right" w:leader="dot" w:pos="9637"/>
      </w:tabs>
      <w:ind w:left="2264"/>
    </w:pPr>
  </w:style>
  <w:style w:type="paragraph" w:customStyle="1" w:styleId="Contents10">
    <w:name w:val="Contents 10"/>
    <w:basedOn w:val="Index"/>
    <w:pPr>
      <w:tabs>
        <w:tab w:val="right" w:leader="dot" w:pos="9637"/>
      </w:tabs>
      <w:ind w:left="2547"/>
    </w:pPr>
  </w:style>
  <w:style w:type="paragraph" w:customStyle="1" w:styleId="TableHeading">
    <w:name w:val="Table Heading"/>
    <w:basedOn w:val="TableContents"/>
    <w:pPr>
      <w:jc w:val="center"/>
    </w:pPr>
    <w:rPr>
      <w:b/>
      <w:bCs/>
    </w:rPr>
  </w:style>
  <w:style w:type="paragraph" w:customStyle="1" w:styleId="Default">
    <w:name w:val="Default"/>
    <w:basedOn w:val="Standard"/>
    <w:pPr>
      <w:autoSpaceDE w:val="0"/>
    </w:pPr>
    <w:rPr>
      <w:rFonts w:ascii="Times New Roman" w:eastAsia="Times New Roman" w:hAnsi="Times New Roman" w:cs="Times New Roman"/>
      <w:color w:val="000000"/>
      <w:lang w:val="pl-PL"/>
    </w:rPr>
  </w:style>
  <w:style w:type="paragraph" w:customStyle="1" w:styleId="TytuST">
    <w:name w:val="Tytuł ST"/>
    <w:basedOn w:val="Styl1"/>
    <w:pPr>
      <w:tabs>
        <w:tab w:val="left" w:pos="1701"/>
      </w:tabs>
    </w:pPr>
    <w:rPr>
      <w:b/>
      <w:color w:val="000000"/>
      <w:sz w:val="22"/>
    </w:rPr>
  </w:style>
  <w:style w:type="paragraph" w:customStyle="1" w:styleId="Framecontents">
    <w:name w:val="Frame contents"/>
    <w:basedOn w:val="Textbody"/>
  </w:style>
  <w:style w:type="paragraph" w:customStyle="1" w:styleId="Tekstpodstawowy21">
    <w:name w:val="Tekst podstawowy 21"/>
    <w:basedOn w:val="Standard"/>
    <w:pPr>
      <w:spacing w:line="360" w:lineRule="auto"/>
      <w:jc w:val="both"/>
    </w:pPr>
    <w:rPr>
      <w:szCs w:val="20"/>
    </w:rPr>
  </w:style>
  <w:style w:type="paragraph" w:customStyle="1" w:styleId="Style2">
    <w:name w:val="Style 2"/>
    <w:basedOn w:val="Standard"/>
    <w:rPr>
      <w:szCs w:val="20"/>
    </w:rPr>
  </w:style>
  <w:style w:type="paragraph" w:customStyle="1" w:styleId="Style1">
    <w:name w:val="Style 1"/>
    <w:basedOn w:val="Standard"/>
    <w:rPr>
      <w:szCs w:val="20"/>
    </w:rPr>
  </w:style>
  <w:style w:type="paragraph" w:customStyle="1" w:styleId="Style3">
    <w:name w:val="Style 3"/>
    <w:basedOn w:val="Standard"/>
    <w:pPr>
      <w:ind w:firstLine="648"/>
      <w:jc w:val="both"/>
    </w:pPr>
    <w:rPr>
      <w:szCs w:val="20"/>
    </w:rPr>
  </w:style>
  <w:style w:type="paragraph" w:customStyle="1" w:styleId="Heading10">
    <w:name w:val="Heading 10"/>
    <w:basedOn w:val="Heading"/>
    <w:next w:val="Textbody"/>
    <w:pPr>
      <w:outlineLvl w:val="8"/>
    </w:pPr>
    <w:rPr>
      <w:b/>
      <w:bCs/>
      <w:sz w:val="21"/>
      <w:szCs w:val="21"/>
    </w:rPr>
  </w:style>
  <w:style w:type="paragraph" w:customStyle="1" w:styleId="Footerleft">
    <w:name w:val="Footer left"/>
    <w:basedOn w:val="Standard"/>
    <w:pPr>
      <w:suppressLineNumbers/>
      <w:tabs>
        <w:tab w:val="center" w:pos="4819"/>
        <w:tab w:val="right" w:pos="9638"/>
      </w:tabs>
    </w:pPr>
  </w:style>
  <w:style w:type="paragraph" w:customStyle="1" w:styleId="Quotations">
    <w:name w:val="Quotations"/>
    <w:basedOn w:val="Standard"/>
    <w:pPr>
      <w:spacing w:after="283"/>
      <w:ind w:left="567" w:right="567"/>
    </w:pPr>
  </w:style>
  <w:style w:type="paragraph" w:styleId="Tytu">
    <w:name w:val="Title"/>
    <w:basedOn w:val="Heading"/>
    <w:next w:val="Textbody"/>
    <w:pPr>
      <w:jc w:val="center"/>
    </w:pPr>
    <w:rPr>
      <w:b/>
      <w:bCs/>
      <w:sz w:val="56"/>
      <w:szCs w:val="56"/>
    </w:rPr>
  </w:style>
  <w:style w:type="paragraph" w:styleId="Podtytu">
    <w:name w:val="Subtitle"/>
    <w:basedOn w:val="Heading"/>
    <w:next w:val="Textbody"/>
    <w:pPr>
      <w:spacing w:before="60"/>
      <w:jc w:val="center"/>
    </w:pPr>
    <w:rPr>
      <w:sz w:val="36"/>
      <w:szCs w:val="36"/>
    </w:rPr>
  </w:style>
  <w:style w:type="paragraph" w:styleId="Tekstkomentarza">
    <w:name w:val="annotation text"/>
    <w:basedOn w:val="Standard"/>
    <w:pPr>
      <w:overflowPunct w:val="0"/>
      <w:autoSpaceDE w:val="0"/>
    </w:pPr>
  </w:style>
  <w:style w:type="paragraph" w:styleId="Tematkomentarza">
    <w:name w:val="annotation subject"/>
    <w:basedOn w:val="Tekstkomentarza"/>
    <w:next w:val="Tekstkomentarza"/>
    <w:pPr>
      <w:overflowPunct/>
      <w:autoSpaceDE/>
      <w:textAlignment w:val="auto"/>
    </w:pPr>
    <w:rPr>
      <w:rFonts w:ascii="CG Times" w:eastAsia="CG Times" w:hAnsi="CG Times" w:cs="Times New Roman"/>
      <w:b/>
      <w:bCs/>
    </w:rPr>
  </w:style>
  <w:style w:type="paragraph" w:styleId="Tekstblokowy">
    <w:name w:val="Block Text"/>
    <w:basedOn w:val="Standard"/>
    <w:pPr>
      <w:ind w:left="1" w:right="-288"/>
    </w:pPr>
  </w:style>
  <w:style w:type="paragraph" w:customStyle="1" w:styleId="paragraf">
    <w:name w:val="paragraf"/>
    <w:basedOn w:val="Standard"/>
    <w:pPr>
      <w:ind w:firstLine="339"/>
    </w:pPr>
    <w:rPr>
      <w:rFonts w:ascii="Times New Roman" w:eastAsia="Times New Roman" w:hAnsi="Times New Roman" w:cs="Times New Roman"/>
      <w:b/>
      <w:sz w:val="24"/>
      <w:lang w:val="en-US"/>
    </w:rPr>
  </w:style>
  <w:style w:type="paragraph" w:customStyle="1" w:styleId="podpkt11">
    <w:name w:val="pod_pkt1.1"/>
    <w:basedOn w:val="Standard"/>
    <w:rPr>
      <w:b/>
      <w:bCs/>
    </w:rPr>
  </w:style>
  <w:style w:type="paragraph" w:styleId="Tekstpodstawowywcity3">
    <w:name w:val="Body Text Indent 3"/>
    <w:basedOn w:val="Standard"/>
    <w:pPr>
      <w:ind w:left="708"/>
    </w:pPr>
  </w:style>
  <w:style w:type="paragraph" w:styleId="Tekstpodstawowywcity2">
    <w:name w:val="Body Text Indent 2"/>
    <w:basedOn w:val="Standard"/>
    <w:pPr>
      <w:spacing w:before="120"/>
      <w:ind w:firstLine="709"/>
    </w:pPr>
    <w:rPr>
      <w:rFonts w:cs="Times New Roman"/>
    </w:rPr>
  </w:style>
  <w:style w:type="paragraph" w:customStyle="1" w:styleId="Zwykytekst1">
    <w:name w:val="Zwykły tekst1"/>
    <w:basedOn w:val="Standard"/>
    <w:pPr>
      <w:overflowPunct w:val="0"/>
      <w:autoSpaceDE w:val="0"/>
    </w:pPr>
    <w:rPr>
      <w:rFonts w:ascii="Courier New" w:eastAsia="Courier New" w:hAnsi="Courier New" w:cs="Times New Roman"/>
    </w:rPr>
  </w:style>
  <w:style w:type="paragraph" w:customStyle="1" w:styleId="tekstost">
    <w:name w:val="tekst ost"/>
    <w:basedOn w:val="Standard"/>
    <w:pPr>
      <w:overflowPunct w:val="0"/>
      <w:autoSpaceDE w:val="0"/>
    </w:pPr>
    <w:rPr>
      <w:rFonts w:ascii="Times New Roman" w:eastAsia="Times New Roman" w:hAnsi="Times New Roman" w:cs="Times New Roman"/>
    </w:rPr>
  </w:style>
  <w:style w:type="paragraph" w:styleId="Bezodstpw">
    <w:name w:val="No Spacing"/>
    <w:pPr>
      <w:widowControl/>
    </w:pPr>
    <w:rPr>
      <w:rFonts w:ascii="Arial" w:eastAsia="Arial" w:hAnsi="Arial" w:cs="Times New Roman"/>
      <w:szCs w:val="20"/>
      <w:lang w:bidi="ar-SA"/>
    </w:rPr>
  </w:style>
  <w:style w:type="paragraph" w:customStyle="1" w:styleId="Numbering2">
    <w:name w:val="Numbering 2"/>
    <w:basedOn w:val="Lista"/>
    <w:pPr>
      <w:ind w:left="720" w:hanging="360"/>
    </w:pPr>
  </w:style>
  <w:style w:type="paragraph" w:customStyle="1" w:styleId="Numbering1">
    <w:name w:val="Numbering 1"/>
    <w:basedOn w:val="Lista"/>
    <w:pPr>
      <w:ind w:left="360" w:hanging="360"/>
    </w:pPr>
  </w:style>
  <w:style w:type="paragraph" w:customStyle="1" w:styleId="TEKST2Definicje">
    <w:name w:val="TEKST_2 Definicje"/>
    <w:pPr>
      <w:widowControl/>
      <w:tabs>
        <w:tab w:val="left" w:pos="1702"/>
      </w:tabs>
      <w:spacing w:before="240"/>
      <w:ind w:left="851" w:hanging="851"/>
    </w:pPr>
    <w:rPr>
      <w:rFonts w:ascii="Arial" w:eastAsia="Times New Roman" w:hAnsi="Arial" w:cs="Arial"/>
      <w:sz w:val="20"/>
      <w:szCs w:val="20"/>
      <w:lang w:bidi="ar-SA"/>
    </w:rPr>
  </w:style>
  <w:style w:type="paragraph" w:customStyle="1" w:styleId="TABELE0Nagwek">
    <w:name w:val="TABELE_0 Nagłówek"/>
    <w:pPr>
      <w:widowControl/>
      <w:spacing w:before="120" w:after="120"/>
      <w:jc w:val="center"/>
    </w:pPr>
    <w:rPr>
      <w:rFonts w:ascii="Arial" w:eastAsia="Times New Roman" w:hAnsi="Arial" w:cs="Arial"/>
      <w:sz w:val="20"/>
      <w:szCs w:val="20"/>
      <w:lang w:bidi="ar-SA"/>
    </w:rPr>
  </w:style>
  <w:style w:type="paragraph" w:customStyle="1" w:styleId="TABELE1L">
    <w:name w:val="TABELE_1 L"/>
    <w:pPr>
      <w:widowControl/>
      <w:spacing w:before="60" w:after="60"/>
    </w:pPr>
    <w:rPr>
      <w:rFonts w:ascii="Arial" w:eastAsia="Times New Roman" w:hAnsi="Arial" w:cs="Arial"/>
      <w:sz w:val="20"/>
      <w:szCs w:val="20"/>
      <w:lang w:bidi="ar-SA"/>
    </w:rPr>
  </w:style>
  <w:style w:type="paragraph" w:customStyle="1" w:styleId="LISTA1-">
    <w:name w:val="LISTA_1 -"/>
    <w:pPr>
      <w:widowControl/>
      <w:numPr>
        <w:numId w:val="12"/>
      </w:numPr>
      <w:tabs>
        <w:tab w:val="left" w:pos="794"/>
      </w:tabs>
      <w:spacing w:before="60"/>
      <w:jc w:val="both"/>
    </w:pPr>
    <w:rPr>
      <w:rFonts w:ascii="Arial" w:eastAsia="Times New Roman" w:hAnsi="Arial" w:cs="Arial"/>
      <w:sz w:val="20"/>
      <w:szCs w:val="20"/>
      <w:lang w:bidi="ar-SA"/>
    </w:rPr>
  </w:style>
  <w:style w:type="paragraph" w:customStyle="1" w:styleId="TYTU1ROZDZIA">
    <w:name w:val="TYTUŁ_1 ROZDZIAŁ"/>
    <w:next w:val="TEKST1Tre"/>
    <w:pPr>
      <w:widowControl/>
      <w:tabs>
        <w:tab w:val="left" w:pos="2836"/>
      </w:tabs>
      <w:spacing w:before="240"/>
      <w:ind w:left="1418" w:hanging="1418"/>
    </w:pPr>
    <w:rPr>
      <w:rFonts w:ascii="Arial" w:eastAsia="Times New Roman" w:hAnsi="Arial" w:cs="Arial"/>
      <w:b/>
      <w:caps/>
      <w:sz w:val="22"/>
      <w:szCs w:val="20"/>
      <w:lang w:bidi="ar-SA"/>
    </w:rPr>
  </w:style>
  <w:style w:type="paragraph" w:customStyle="1" w:styleId="TEKST1Tre">
    <w:name w:val="TEKST_1 Treść"/>
    <w:pPr>
      <w:widowControl/>
      <w:spacing w:before="240"/>
      <w:jc w:val="both"/>
    </w:pPr>
    <w:rPr>
      <w:rFonts w:ascii="Arial" w:eastAsia="Times New Roman" w:hAnsi="Arial" w:cs="Arial"/>
      <w:sz w:val="20"/>
      <w:szCs w:val="20"/>
      <w:lang w:bidi="ar-SA"/>
    </w:rPr>
  </w:style>
  <w:style w:type="paragraph" w:customStyle="1" w:styleId="TYTU3SPECYFIKACJA">
    <w:name w:val="TYTUŁ_3 SPECYFIKACJA"/>
    <w:basedOn w:val="TYTU1ROZDZIA"/>
    <w:next w:val="TEKST1Tre"/>
  </w:style>
  <w:style w:type="paragraph" w:customStyle="1" w:styleId="tekstost12">
    <w:name w:val="tekst ost12"/>
    <w:basedOn w:val="Standard"/>
    <w:pPr>
      <w:overflowPunct w:val="0"/>
      <w:autoSpaceDE w:val="0"/>
    </w:pPr>
    <w:rPr>
      <w:rFonts w:ascii="Times New Roman" w:eastAsia="Times New Roman" w:hAnsi="Times New Roman" w:cs="Times New Roman"/>
    </w:rPr>
  </w:style>
  <w:style w:type="paragraph" w:customStyle="1" w:styleId="Tekst-specyfikacji">
    <w:name w:val="Tekst-specyfikacji"/>
    <w:basedOn w:val="Standard"/>
    <w:rPr>
      <w:sz w:val="16"/>
      <w:szCs w:val="16"/>
    </w:rPr>
  </w:style>
  <w:style w:type="paragraph" w:customStyle="1" w:styleId="Spec-num1">
    <w:name w:val="Spec-num1"/>
    <w:basedOn w:val="Tekst-specyfikacji"/>
    <w:next w:val="Spec-num2"/>
    <w:pPr>
      <w:spacing w:before="113" w:after="113"/>
    </w:pPr>
    <w:rPr>
      <w:b/>
      <w:sz w:val="24"/>
      <w:szCs w:val="24"/>
    </w:rPr>
  </w:style>
  <w:style w:type="paragraph" w:customStyle="1" w:styleId="Spec-num2">
    <w:name w:val="Spec-num2"/>
    <w:basedOn w:val="Tekst-specyfikacji"/>
    <w:pPr>
      <w:spacing w:before="57" w:after="113"/>
    </w:pPr>
    <w:rPr>
      <w:sz w:val="20"/>
      <w:szCs w:val="20"/>
    </w:rPr>
  </w:style>
  <w:style w:type="paragraph" w:customStyle="1" w:styleId="Tekst-spec-w-tabeli">
    <w:name w:val="Tekst-spec-w-tabeli"/>
    <w:basedOn w:val="Tekst-specyfikacji"/>
    <w:pPr>
      <w:jc w:val="center"/>
    </w:pPr>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OpenSymbol, 'Arial Unicode MS'" w:eastAsia="OpenSymbol, 'Arial Unicode MS'" w:hAnsi="OpenSymbol, 'Arial Unicode MS'" w:cs="OpenSymbol, 'Arial Unicode MS'"/>
    </w:rPr>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rPr>
      <w:rFonts w:ascii="Times New Roman" w:eastAsia="Times New Roman" w:hAnsi="Times New Roman" w:cs="Times New Roman"/>
    </w:rPr>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8Num4z0">
    <w:name w:val="WW8Num4z0"/>
    <w:rPr>
      <w:rFonts w:ascii="Times New Roman" w:eastAsia="Times New Roman" w:hAnsi="Times New Roman" w:cs="Times New Roman"/>
    </w:rPr>
  </w:style>
  <w:style w:type="character" w:customStyle="1" w:styleId="WW8Num4z1">
    <w:name w:val="WW8Num4z1"/>
  </w:style>
  <w:style w:type="character" w:customStyle="1" w:styleId="WW8Num4z2">
    <w:name w:val="WW8Num4z2"/>
  </w:style>
  <w:style w:type="character" w:customStyle="1" w:styleId="WW8Num4z3">
    <w:name w:val="WW8Num4z3"/>
  </w:style>
  <w:style w:type="character" w:customStyle="1" w:styleId="WW8Num4z4">
    <w:name w:val="WW8Num4z4"/>
  </w:style>
  <w:style w:type="character" w:customStyle="1" w:styleId="WW8Num4z5">
    <w:name w:val="WW8Num4z5"/>
  </w:style>
  <w:style w:type="character" w:customStyle="1" w:styleId="WW8Num4z6">
    <w:name w:val="WW8Num4z6"/>
  </w:style>
  <w:style w:type="character" w:customStyle="1" w:styleId="WW8Num4z7">
    <w:name w:val="WW8Num4z7"/>
  </w:style>
  <w:style w:type="character" w:customStyle="1" w:styleId="WW8Num4z8">
    <w:name w:val="WW8Num4z8"/>
  </w:style>
  <w:style w:type="character" w:customStyle="1" w:styleId="WW8Num5z0">
    <w:name w:val="WW8Num5z0"/>
    <w:rPr>
      <w:rFonts w:ascii="Times New Roman" w:eastAsia="Times New Roman" w:hAnsi="Times New Roman" w:cs="Times New Roman"/>
    </w:rPr>
  </w:style>
  <w:style w:type="character" w:customStyle="1" w:styleId="WW8Num5z1">
    <w:name w:val="WW8Num5z1"/>
  </w:style>
  <w:style w:type="character" w:customStyle="1" w:styleId="WW8Num5z2">
    <w:name w:val="WW8Num5z2"/>
  </w:style>
  <w:style w:type="character" w:customStyle="1" w:styleId="WW8Num5z3">
    <w:name w:val="WW8Num5z3"/>
  </w:style>
  <w:style w:type="character" w:customStyle="1" w:styleId="WW8Num5z4">
    <w:name w:val="WW8Num5z4"/>
  </w:style>
  <w:style w:type="character" w:customStyle="1" w:styleId="WW8Num5z5">
    <w:name w:val="WW8Num5z5"/>
  </w:style>
  <w:style w:type="character" w:customStyle="1" w:styleId="WW8Num5z6">
    <w:name w:val="WW8Num5z6"/>
  </w:style>
  <w:style w:type="character" w:customStyle="1" w:styleId="WW8Num5z7">
    <w:name w:val="WW8Num5z7"/>
  </w:style>
  <w:style w:type="character" w:customStyle="1" w:styleId="WW8Num5z8">
    <w:name w:val="WW8Num5z8"/>
  </w:style>
  <w:style w:type="character" w:customStyle="1" w:styleId="WW8Num6z0">
    <w:name w:val="WW8Num6z0"/>
    <w:rPr>
      <w:rFonts w:ascii="OpenSymbol, 'Arial Unicode MS'" w:eastAsia="OpenSymbol, 'Arial Unicode MS'" w:hAnsi="OpenSymbol, 'Arial Unicode MS'" w:cs="OpenSymbol, 'Arial Unicode MS'"/>
    </w:rPr>
  </w:style>
  <w:style w:type="character" w:customStyle="1" w:styleId="WW8Num6z1">
    <w:name w:val="WW8Num6z1"/>
  </w:style>
  <w:style w:type="character" w:customStyle="1" w:styleId="WW8Num6z2">
    <w:name w:val="WW8Num6z2"/>
  </w:style>
  <w:style w:type="character" w:customStyle="1" w:styleId="WW8Num6z3">
    <w:name w:val="WW8Num6z3"/>
  </w:style>
  <w:style w:type="character" w:customStyle="1" w:styleId="WW8Num6z4">
    <w:name w:val="WW8Num6z4"/>
  </w:style>
  <w:style w:type="character" w:customStyle="1" w:styleId="WW8Num6z5">
    <w:name w:val="WW8Num6z5"/>
  </w:style>
  <w:style w:type="character" w:customStyle="1" w:styleId="WW8Num6z6">
    <w:name w:val="WW8Num6z6"/>
  </w:style>
  <w:style w:type="character" w:customStyle="1" w:styleId="WW8Num6z7">
    <w:name w:val="WW8Num6z7"/>
  </w:style>
  <w:style w:type="character" w:customStyle="1" w:styleId="WW8Num6z8">
    <w:name w:val="WW8Num6z8"/>
  </w:style>
  <w:style w:type="character" w:customStyle="1" w:styleId="WW8Num7z0">
    <w:name w:val="WW8Num7z0"/>
    <w:rPr>
      <w:b/>
    </w:rPr>
  </w:style>
  <w:style w:type="character" w:customStyle="1" w:styleId="WW8Num7z1">
    <w:name w:val="WW8Num7z1"/>
  </w:style>
  <w:style w:type="character" w:customStyle="1" w:styleId="WW8Num7z2">
    <w:name w:val="WW8Num7z2"/>
    <w:rPr>
      <w:rFonts w:ascii="OpenSymbol, 'Arial Unicode MS'" w:eastAsia="OpenSymbol, 'Arial Unicode MS'" w:hAnsi="OpenSymbol, 'Arial Unicode MS'" w:cs="OpenSymbol, 'Arial Unicode MS'"/>
    </w:rPr>
  </w:style>
  <w:style w:type="character" w:customStyle="1" w:styleId="WW8Num7z3">
    <w:name w:val="WW8Num7z3"/>
  </w:style>
  <w:style w:type="character" w:customStyle="1" w:styleId="WW8Num7z4">
    <w:name w:val="WW8Num7z4"/>
  </w:style>
  <w:style w:type="character" w:customStyle="1" w:styleId="WW8Num7z5">
    <w:name w:val="WW8Num7z5"/>
  </w:style>
  <w:style w:type="character" w:customStyle="1" w:styleId="WW8Num7z6">
    <w:name w:val="WW8Num7z6"/>
  </w:style>
  <w:style w:type="character" w:customStyle="1" w:styleId="WW8Num7z7">
    <w:name w:val="WW8Num7z7"/>
  </w:style>
  <w:style w:type="character" w:customStyle="1" w:styleId="WW8Num7z8">
    <w:name w:val="WW8Num7z8"/>
  </w:style>
  <w:style w:type="character" w:customStyle="1" w:styleId="WW8Num8z0">
    <w:name w:val="WW8Num8z0"/>
    <w:rPr>
      <w:rFonts w:ascii="Arial" w:eastAsia="Arial" w:hAnsi="Arial" w:cs="Arial"/>
      <w:sz w:val="20"/>
    </w:rPr>
  </w:style>
  <w:style w:type="character" w:customStyle="1" w:styleId="WW8Num8z1">
    <w:name w:val="WW8Num8z1"/>
  </w:style>
  <w:style w:type="character" w:customStyle="1" w:styleId="WW8Num8z2">
    <w:name w:val="WW8Num8z2"/>
  </w:style>
  <w:style w:type="character" w:customStyle="1" w:styleId="WW8Num8z3">
    <w:name w:val="WW8Num8z3"/>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9z0">
    <w:name w:val="WW8Num9z0"/>
    <w:rPr>
      <w:rFonts w:ascii="Times New Roman" w:eastAsia="Times New Roman" w:hAnsi="Times New Roman" w:cs="Times New Roman"/>
      <w:sz w:val="20"/>
      <w:szCs w:val="20"/>
      <w:shd w:val="clear" w:color="auto" w:fill="auto"/>
    </w:rPr>
  </w:style>
  <w:style w:type="character" w:customStyle="1" w:styleId="WW8Num9z1">
    <w:name w:val="WW8Num9z1"/>
    <w:rPr>
      <w:rFonts w:ascii="OpenSymbol, 'Arial Unicode MS'" w:eastAsia="OpenSymbol, 'Arial Unicode MS'" w:hAnsi="OpenSymbol, 'Arial Unicode MS'" w:cs="OpenSymbol, 'Arial Unicode MS'"/>
    </w:rPr>
  </w:style>
  <w:style w:type="character" w:customStyle="1" w:styleId="WW8Num9z3">
    <w:name w:val="WW8Num9z3"/>
  </w:style>
  <w:style w:type="character" w:customStyle="1" w:styleId="WW8Num9z4">
    <w:name w:val="WW8Num9z4"/>
  </w:style>
  <w:style w:type="character" w:customStyle="1" w:styleId="WW8Num9z5">
    <w:name w:val="WW8Num9z5"/>
  </w:style>
  <w:style w:type="character" w:customStyle="1" w:styleId="WW8Num9z6">
    <w:name w:val="WW8Num9z6"/>
  </w:style>
  <w:style w:type="character" w:customStyle="1" w:styleId="WW8Num9z7">
    <w:name w:val="WW8Num9z7"/>
  </w:style>
  <w:style w:type="character" w:customStyle="1" w:styleId="WW8Num9z8">
    <w:name w:val="WW8Num9z8"/>
  </w:style>
  <w:style w:type="character" w:customStyle="1" w:styleId="WW8Num10z0">
    <w:name w:val="WW8Num10z0"/>
    <w:rPr>
      <w:rFonts w:ascii="Arial" w:eastAsia="Arial" w:hAnsi="Arial" w:cs="Arial"/>
      <w:sz w:val="20"/>
    </w:rPr>
  </w:style>
  <w:style w:type="character" w:customStyle="1" w:styleId="WW8Num10z1">
    <w:name w:val="WW8Num10z1"/>
  </w:style>
  <w:style w:type="character" w:customStyle="1" w:styleId="WW8Num10z2">
    <w:name w:val="WW8Num10z2"/>
  </w:style>
  <w:style w:type="character" w:customStyle="1" w:styleId="WW8Num10z3">
    <w:name w:val="WW8Num10z3"/>
  </w:style>
  <w:style w:type="character" w:customStyle="1" w:styleId="WW8Num10z4">
    <w:name w:val="WW8Num10z4"/>
  </w:style>
  <w:style w:type="character" w:customStyle="1" w:styleId="WW8Num10z5">
    <w:name w:val="WW8Num10z5"/>
  </w:style>
  <w:style w:type="character" w:customStyle="1" w:styleId="WW8Num10z6">
    <w:name w:val="WW8Num10z6"/>
  </w:style>
  <w:style w:type="character" w:customStyle="1" w:styleId="WW8Num10z7">
    <w:name w:val="WW8Num10z7"/>
  </w:style>
  <w:style w:type="character" w:customStyle="1" w:styleId="WW8Num10z8">
    <w:name w:val="WW8Num10z8"/>
  </w:style>
  <w:style w:type="character" w:customStyle="1" w:styleId="WW8Num11z0">
    <w:name w:val="WW8Num11z0"/>
    <w:rPr>
      <w:rFonts w:ascii="Times New Roman" w:eastAsia="Times New Roman" w:hAnsi="Times New Roman" w:cs="Times New Roman"/>
      <w:lang w:val="pl-PL"/>
    </w:rPr>
  </w:style>
  <w:style w:type="character" w:customStyle="1" w:styleId="WW8Num12z0">
    <w:name w:val="WW8Num12z0"/>
    <w:rPr>
      <w:rFonts w:ascii="Arial" w:eastAsia="Arial" w:hAnsi="Arial" w:cs="Arial"/>
      <w:sz w:val="20"/>
      <w:lang w:val="pl-PL"/>
    </w:rPr>
  </w:style>
  <w:style w:type="character" w:customStyle="1" w:styleId="WW8Num12z1">
    <w:name w:val="WW8Num12z1"/>
  </w:style>
  <w:style w:type="character" w:customStyle="1" w:styleId="WW8Num12z2">
    <w:name w:val="WW8Num12z2"/>
    <w:rPr>
      <w:rFonts w:ascii="OpenSymbol, 'Arial Unicode MS'" w:eastAsia="OpenSymbol, 'Arial Unicode MS'" w:hAnsi="OpenSymbol, 'Arial Unicode MS'" w:cs="OpenSymbol, 'Arial Unicode MS'"/>
    </w:rPr>
  </w:style>
  <w:style w:type="character" w:customStyle="1" w:styleId="WW8Num12z3">
    <w:name w:val="WW8Num12z3"/>
  </w:style>
  <w:style w:type="character" w:customStyle="1" w:styleId="WW8Num12z4">
    <w:name w:val="WW8Num12z4"/>
  </w:style>
  <w:style w:type="character" w:customStyle="1" w:styleId="WW8Num12z5">
    <w:name w:val="WW8Num12z5"/>
  </w:style>
  <w:style w:type="character" w:customStyle="1" w:styleId="WW8Num12z6">
    <w:name w:val="WW8Num12z6"/>
  </w:style>
  <w:style w:type="character" w:customStyle="1" w:styleId="WW8Num12z7">
    <w:name w:val="WW8Num12z7"/>
  </w:style>
  <w:style w:type="character" w:customStyle="1" w:styleId="WW8Num12z8">
    <w:name w:val="WW8Num12z8"/>
  </w:style>
  <w:style w:type="character" w:customStyle="1" w:styleId="WW8Num13z0">
    <w:name w:val="WW8Num13z0"/>
    <w:rPr>
      <w:rFonts w:ascii="Times New Roman" w:eastAsia="Times New Roman" w:hAnsi="Times New Roman" w:cs="Times New Roman"/>
      <w:lang w:val="pl-PL"/>
    </w:rPr>
  </w:style>
  <w:style w:type="character" w:customStyle="1" w:styleId="WW8Num14z0">
    <w:name w:val="WW8Num14z0"/>
    <w:rPr>
      <w:rFonts w:ascii="OpenSymbol, 'Arial Unicode MS'" w:eastAsia="OpenSymbol, 'Arial Unicode MS'" w:hAnsi="OpenSymbol, 'Arial Unicode MS'" w:cs="OpenSymbol, 'Arial Unicode MS'"/>
      <w:b/>
      <w:lang w:val="pl-PL"/>
    </w:rPr>
  </w:style>
  <w:style w:type="character" w:customStyle="1" w:styleId="WW8Num15z0">
    <w:name w:val="WW8Num15z0"/>
    <w:rPr>
      <w:rFonts w:ascii="Arial" w:eastAsia="Arial" w:hAnsi="Arial" w:cs="Arial"/>
      <w:sz w:val="20"/>
      <w:lang w:val="pl-PL"/>
    </w:rPr>
  </w:style>
  <w:style w:type="character" w:customStyle="1" w:styleId="WW8Num16z0">
    <w:name w:val="WW8Num16z0"/>
    <w:rPr>
      <w:rFonts w:ascii="Times New Roman" w:eastAsia="Times New Roman" w:hAnsi="Times New Roman" w:cs="Times New Roman"/>
      <w:lang w:val="pl-PL"/>
    </w:rPr>
  </w:style>
  <w:style w:type="character" w:customStyle="1" w:styleId="WW8Num16z1">
    <w:name w:val="WW8Num16z1"/>
    <w:rPr>
      <w:rFonts w:ascii="OpenSymbol, 'Arial Unicode MS'" w:eastAsia="OpenSymbol, 'Arial Unicode MS'" w:hAnsi="OpenSymbol, 'Arial Unicode MS'" w:cs="OpenSymbol, 'Arial Unicode MS'"/>
    </w:rPr>
  </w:style>
  <w:style w:type="character" w:customStyle="1" w:styleId="WW8Num17z0">
    <w:name w:val="WW8Num17z0"/>
    <w:rPr>
      <w:rFonts w:ascii="Times New Roman" w:eastAsia="Times New Roman" w:hAnsi="Times New Roman" w:cs="Times New Roman"/>
      <w:b w:val="0"/>
      <w:i w:val="0"/>
      <w:strike w:val="0"/>
      <w:dstrike w:val="0"/>
      <w:sz w:val="24"/>
      <w:u w:val="none"/>
      <w:lang w:val="pl-PL"/>
    </w:rPr>
  </w:style>
  <w:style w:type="character" w:customStyle="1" w:styleId="WW8Num17z1">
    <w:name w:val="WW8Num17z1"/>
  </w:style>
  <w:style w:type="character" w:customStyle="1" w:styleId="WW8Num17z2">
    <w:name w:val="WW8Num17z2"/>
  </w:style>
  <w:style w:type="character" w:customStyle="1" w:styleId="WW8Num17z3">
    <w:name w:val="WW8Num17z3"/>
  </w:style>
  <w:style w:type="character" w:customStyle="1" w:styleId="WW8Num17z4">
    <w:name w:val="WW8Num17z4"/>
  </w:style>
  <w:style w:type="character" w:customStyle="1" w:styleId="WW8Num17z5">
    <w:name w:val="WW8Num17z5"/>
  </w:style>
  <w:style w:type="character" w:customStyle="1" w:styleId="WW8Num17z6">
    <w:name w:val="WW8Num17z6"/>
  </w:style>
  <w:style w:type="character" w:customStyle="1" w:styleId="WW8Num17z7">
    <w:name w:val="WW8Num17z7"/>
  </w:style>
  <w:style w:type="character" w:customStyle="1" w:styleId="WW8Num17z8">
    <w:name w:val="WW8Num17z8"/>
  </w:style>
  <w:style w:type="character" w:customStyle="1" w:styleId="WW8Num18z0">
    <w:name w:val="WW8Num18z0"/>
    <w:rPr>
      <w:rFonts w:ascii="Arial" w:eastAsia="Times New Roman" w:hAnsi="Arial" w:cs="Arial"/>
      <w:spacing w:val="0"/>
      <w:sz w:val="20"/>
      <w:lang w:val="pl-PL"/>
    </w:rPr>
  </w:style>
  <w:style w:type="character" w:customStyle="1" w:styleId="WW8Num18z1">
    <w:name w:val="WW8Num18z1"/>
    <w:rPr>
      <w:rFonts w:ascii="OpenSymbol, 'Arial Unicode MS'" w:eastAsia="OpenSymbol, 'Arial Unicode MS'" w:hAnsi="OpenSymbol, 'Arial Unicode MS'" w:cs="OpenSymbol, 'Arial Unicode MS'"/>
    </w:rPr>
  </w:style>
  <w:style w:type="character" w:customStyle="1" w:styleId="WW8Num19z0">
    <w:name w:val="WW8Num19z0"/>
    <w:rPr>
      <w:rFonts w:ascii="Arial" w:eastAsia="Arial" w:hAnsi="Arial" w:cs="Arial"/>
      <w:sz w:val="20"/>
      <w:lang w:val="pl-PL"/>
    </w:rPr>
  </w:style>
  <w:style w:type="character" w:customStyle="1" w:styleId="WW8Num19z1">
    <w:name w:val="WW8Num19z1"/>
    <w:rPr>
      <w:rFonts w:ascii="OpenSymbol, 'Arial Unicode MS'" w:eastAsia="OpenSymbol, 'Arial Unicode MS'" w:hAnsi="OpenSymbol, 'Arial Unicode MS'" w:cs="OpenSymbol, 'Arial Unicode MS'"/>
    </w:rPr>
  </w:style>
  <w:style w:type="character" w:customStyle="1" w:styleId="WW8Num20z0">
    <w:name w:val="WW8Num20z0"/>
    <w:rPr>
      <w:rFonts w:ascii="Times New Roman" w:eastAsia="Times New Roman" w:hAnsi="Times New Roman" w:cs="Times New Roman"/>
      <w:sz w:val="20"/>
      <w:lang w:val="pl-PL"/>
    </w:rPr>
  </w:style>
  <w:style w:type="character" w:customStyle="1" w:styleId="WW8Num20z1">
    <w:name w:val="WW8Num20z1"/>
    <w:rPr>
      <w:rFonts w:ascii="Courier New" w:eastAsia="Courier New" w:hAnsi="Courier New" w:cs="Courier New"/>
    </w:rPr>
  </w:style>
  <w:style w:type="character" w:customStyle="1" w:styleId="WW8Num21z0">
    <w:name w:val="WW8Num21z0"/>
    <w:rPr>
      <w:rFonts w:ascii="Arial" w:eastAsia="Times New Roman" w:hAnsi="Arial" w:cs="Arial"/>
      <w:spacing w:val="0"/>
      <w:sz w:val="20"/>
      <w:lang w:val="pl-PL"/>
    </w:rPr>
  </w:style>
  <w:style w:type="character" w:customStyle="1" w:styleId="WW8Num21z1">
    <w:name w:val="WW8Num21z1"/>
    <w:rPr>
      <w:rFonts w:ascii="OpenSymbol, 'Arial Unicode MS'" w:eastAsia="OpenSymbol, 'Arial Unicode MS'" w:hAnsi="OpenSymbol, 'Arial Unicode MS'" w:cs="OpenSymbol, 'Arial Unicode MS'"/>
    </w:rPr>
  </w:style>
  <w:style w:type="character" w:customStyle="1" w:styleId="WW8Num22z0">
    <w:name w:val="WW8Num22z0"/>
    <w:rPr>
      <w:rFonts w:ascii="Times New Roman" w:eastAsia="Times New Roman" w:hAnsi="Times New Roman" w:cs="Times New Roman"/>
      <w:lang w:val="pl-PL"/>
    </w:rPr>
  </w:style>
  <w:style w:type="character" w:customStyle="1" w:styleId="WW8Num22z1">
    <w:name w:val="WW8Num22z1"/>
    <w:rPr>
      <w:rFonts w:ascii="OpenSymbol, 'Arial Unicode MS'" w:eastAsia="OpenSymbol, 'Arial Unicode MS'" w:hAnsi="OpenSymbol, 'Arial Unicode MS'" w:cs="OpenSymbol, 'Arial Unicode MS'"/>
    </w:rPr>
  </w:style>
  <w:style w:type="character" w:customStyle="1" w:styleId="WW8Num23z0">
    <w:name w:val="WW8Num23z0"/>
    <w:rPr>
      <w:rFonts w:ascii="Times New Roman" w:eastAsia="Times New Roman" w:hAnsi="Times New Roman" w:cs="Times New Roman"/>
      <w:lang w:val="pl-PL"/>
    </w:rPr>
  </w:style>
  <w:style w:type="character" w:customStyle="1" w:styleId="WW8Num23z1">
    <w:name w:val="WW8Num23z1"/>
    <w:rPr>
      <w:rFonts w:ascii="OpenSymbol, 'Arial Unicode MS'" w:eastAsia="OpenSymbol, 'Arial Unicode MS'" w:hAnsi="OpenSymbol, 'Arial Unicode MS'" w:cs="OpenSymbol, 'Arial Unicode MS'"/>
    </w:rPr>
  </w:style>
  <w:style w:type="character" w:customStyle="1" w:styleId="WW8Num24z0">
    <w:name w:val="WW8Num24z0"/>
    <w:rPr>
      <w:rFonts w:ascii="Times New Roman" w:eastAsia="Times New Roman" w:hAnsi="Times New Roman" w:cs="Times New Roman"/>
      <w:lang w:val="pl-PL"/>
    </w:rPr>
  </w:style>
  <w:style w:type="character" w:customStyle="1" w:styleId="WW8Num24z1">
    <w:name w:val="WW8Num24z1"/>
    <w:rPr>
      <w:rFonts w:ascii="OpenSymbol, 'Arial Unicode MS'" w:eastAsia="OpenSymbol, 'Arial Unicode MS'" w:hAnsi="OpenSymbol, 'Arial Unicode MS'" w:cs="OpenSymbol, 'Arial Unicode MS'"/>
    </w:rPr>
  </w:style>
  <w:style w:type="character" w:customStyle="1" w:styleId="WW8Num25z0">
    <w:name w:val="WW8Num25z0"/>
    <w:rPr>
      <w:rFonts w:ascii="OpenSymbol, 'Arial Unicode MS'" w:eastAsia="OpenSymbol, 'Arial Unicode MS'" w:hAnsi="OpenSymbol, 'Arial Unicode MS'" w:cs="OpenSymbol, 'Arial Unicode MS'"/>
      <w:lang w:val="pl-PL"/>
    </w:rPr>
  </w:style>
  <w:style w:type="character" w:customStyle="1" w:styleId="WW8Num26z0">
    <w:name w:val="WW8Num26z0"/>
    <w:rPr>
      <w:rFonts w:ascii="Symbol" w:eastAsia="Symbol" w:hAnsi="Symbol" w:cs="Symbol"/>
      <w:lang w:val="pl-PL"/>
    </w:rPr>
  </w:style>
  <w:style w:type="character" w:customStyle="1" w:styleId="WW8Num26z1">
    <w:name w:val="WW8Num26z1"/>
    <w:rPr>
      <w:rFonts w:ascii="OpenSymbol, 'Arial Unicode MS'" w:eastAsia="OpenSymbol, 'Arial Unicode MS'" w:hAnsi="OpenSymbol, 'Arial Unicode MS'" w:cs="OpenSymbol, 'Arial Unicode MS'"/>
    </w:rPr>
  </w:style>
  <w:style w:type="character" w:customStyle="1" w:styleId="WW8Num27z0">
    <w:name w:val="WW8Num27z0"/>
    <w:rPr>
      <w:rFonts w:ascii="Symbol" w:eastAsia="Symbol" w:hAnsi="Symbol" w:cs="Symbol"/>
      <w:lang w:val="pl-PL"/>
    </w:rPr>
  </w:style>
  <w:style w:type="character" w:customStyle="1" w:styleId="WW8Num27z1">
    <w:name w:val="WW8Num27z1"/>
    <w:rPr>
      <w:sz w:val="20"/>
      <w:szCs w:val="20"/>
      <w:lang w:val="pl-PL"/>
    </w:rPr>
  </w:style>
  <w:style w:type="character" w:customStyle="1" w:styleId="WW8Num28z0">
    <w:name w:val="WW8Num28z0"/>
    <w:rPr>
      <w:rFonts w:ascii="Symbol" w:eastAsia="Symbol" w:hAnsi="Symbol" w:cs="Times New Roman"/>
      <w:lang w:val="pl-PL"/>
    </w:rPr>
  </w:style>
  <w:style w:type="character" w:customStyle="1" w:styleId="WW8Num28z1">
    <w:name w:val="WW8Num28z1"/>
    <w:rPr>
      <w:sz w:val="20"/>
      <w:szCs w:val="20"/>
      <w:lang w:val="pl-PL"/>
    </w:rPr>
  </w:style>
  <w:style w:type="character" w:customStyle="1" w:styleId="WW8Num29z0">
    <w:name w:val="WW8Num29z0"/>
    <w:rPr>
      <w:rFonts w:ascii="Symbol" w:eastAsia="Symbol" w:hAnsi="Symbol" w:cs="OpenSymbol, 'Arial Unicode MS'"/>
      <w:lang w:val="pl-PL"/>
    </w:rPr>
  </w:style>
  <w:style w:type="character" w:customStyle="1" w:styleId="WW8Num29z1">
    <w:name w:val="WW8Num29z1"/>
    <w:rPr>
      <w:sz w:val="20"/>
      <w:szCs w:val="20"/>
      <w:lang w:val="pl-PL"/>
    </w:rPr>
  </w:style>
  <w:style w:type="character" w:customStyle="1" w:styleId="WW8Num30z0">
    <w:name w:val="WW8Num30z0"/>
    <w:rPr>
      <w:rFonts w:ascii="Symbol" w:eastAsia="Symbol" w:hAnsi="Symbol" w:cs="OpenSymbol, 'Arial Unicode MS'"/>
      <w:lang w:val="pl-PL"/>
    </w:rPr>
  </w:style>
  <w:style w:type="character" w:customStyle="1" w:styleId="WW8Num30z1">
    <w:name w:val="WW8Num30z1"/>
    <w:rPr>
      <w:rFonts w:ascii="OpenSymbol, 'Arial Unicode MS'" w:eastAsia="OpenSymbol, 'Arial Unicode MS'" w:hAnsi="OpenSymbol, 'Arial Unicode MS'" w:cs="OpenSymbol, 'Arial Unicode MS'"/>
    </w:rPr>
  </w:style>
  <w:style w:type="character" w:customStyle="1" w:styleId="WW8Num31z0">
    <w:name w:val="WW8Num31z0"/>
    <w:rPr>
      <w:rFonts w:ascii="Symbol" w:eastAsia="Symbol" w:hAnsi="Symbol" w:cs="OpenSymbol, 'Arial Unicode MS'"/>
      <w:lang w:val="pl-PL"/>
    </w:rPr>
  </w:style>
  <w:style w:type="character" w:customStyle="1" w:styleId="WW8Num31z1">
    <w:name w:val="WW8Num31z1"/>
    <w:rPr>
      <w:rFonts w:ascii="OpenSymbol, 'Arial Unicode MS'" w:eastAsia="OpenSymbol, 'Arial Unicode MS'" w:hAnsi="OpenSymbol, 'Arial Unicode MS'" w:cs="OpenSymbol, 'Arial Unicode MS'"/>
    </w:rPr>
  </w:style>
  <w:style w:type="character" w:customStyle="1" w:styleId="WW8Num32z0">
    <w:name w:val="WW8Num32z0"/>
    <w:rPr>
      <w:rFonts w:ascii="Times New Roman" w:eastAsia="Times New Roman" w:hAnsi="Times New Roman" w:cs="Times New Roman"/>
      <w:lang w:val="pl-PL"/>
    </w:rPr>
  </w:style>
  <w:style w:type="character" w:customStyle="1" w:styleId="WW8Num32z1">
    <w:name w:val="WW8Num32z1"/>
    <w:rPr>
      <w:rFonts w:ascii="OpenSymbol, 'Arial Unicode MS'" w:eastAsia="OpenSymbol, 'Arial Unicode MS'" w:hAnsi="OpenSymbol, 'Arial Unicode MS'" w:cs="OpenSymbol, 'Arial Unicode MS'"/>
    </w:rPr>
  </w:style>
  <w:style w:type="character" w:customStyle="1" w:styleId="WW8Num33z0">
    <w:name w:val="WW8Num33z0"/>
    <w:rPr>
      <w:rFonts w:ascii="Times New Roman" w:eastAsia="Times New Roman" w:hAnsi="Times New Roman" w:cs="Times New Roman"/>
      <w:lang w:val="pl-PL"/>
    </w:rPr>
  </w:style>
  <w:style w:type="character" w:customStyle="1" w:styleId="WW8Num33z1">
    <w:name w:val="WW8Num33z1"/>
    <w:rPr>
      <w:rFonts w:ascii="OpenSymbol, 'Arial Unicode MS'" w:eastAsia="OpenSymbol, 'Arial Unicode MS'" w:hAnsi="OpenSymbol, 'Arial Unicode MS'" w:cs="OpenSymbol, 'Arial Unicode MS'"/>
    </w:rPr>
  </w:style>
  <w:style w:type="character" w:customStyle="1" w:styleId="WW8Num34z0">
    <w:name w:val="WW8Num34z0"/>
    <w:rPr>
      <w:rFonts w:ascii="Symbol" w:eastAsia="Symbol" w:hAnsi="Symbol" w:cs="OpenSymbol, 'Arial Unicode MS'"/>
      <w:lang w:val="pl-PL"/>
    </w:rPr>
  </w:style>
  <w:style w:type="character" w:customStyle="1" w:styleId="WW8Num34z1">
    <w:name w:val="WW8Num34z1"/>
    <w:rPr>
      <w:rFonts w:ascii="OpenSymbol, 'Arial Unicode MS'" w:eastAsia="OpenSymbol, 'Arial Unicode MS'" w:hAnsi="OpenSymbol, 'Arial Unicode MS'" w:cs="OpenSymbol, 'Arial Unicode MS'"/>
    </w:rPr>
  </w:style>
  <w:style w:type="character" w:customStyle="1" w:styleId="WW8Num35z0">
    <w:name w:val="WW8Num35z0"/>
    <w:rPr>
      <w:rFonts w:ascii="Symbol" w:eastAsia="Symbol" w:hAnsi="Symbol" w:cs="OpenSymbol, 'Arial Unicode MS'"/>
      <w:lang w:val="pl-PL"/>
    </w:rPr>
  </w:style>
  <w:style w:type="character" w:customStyle="1" w:styleId="WW8Num35z1">
    <w:name w:val="WW8Num35z1"/>
    <w:rPr>
      <w:rFonts w:ascii="OpenSymbol, 'Arial Unicode MS'" w:eastAsia="OpenSymbol, 'Arial Unicode MS'" w:hAnsi="OpenSymbol, 'Arial Unicode MS'" w:cs="OpenSymbol, 'Arial Unicode MS'"/>
    </w:rPr>
  </w:style>
  <w:style w:type="character" w:customStyle="1" w:styleId="WW8Num36z0">
    <w:name w:val="WW8Num36z0"/>
    <w:rPr>
      <w:rFonts w:ascii="Symbol" w:eastAsia="Symbol" w:hAnsi="Symbol" w:cs="OpenSymbol, 'Arial Unicode MS'"/>
      <w:lang w:val="pl-PL"/>
    </w:rPr>
  </w:style>
  <w:style w:type="character" w:customStyle="1" w:styleId="WW8Num36z1">
    <w:name w:val="WW8Num36z1"/>
    <w:rPr>
      <w:rFonts w:ascii="OpenSymbol, 'Arial Unicode MS'" w:eastAsia="OpenSymbol, 'Arial Unicode MS'" w:hAnsi="OpenSymbol, 'Arial Unicode MS'" w:cs="OpenSymbol, 'Arial Unicode MS'"/>
    </w:rPr>
  </w:style>
  <w:style w:type="character" w:customStyle="1" w:styleId="WW8Num37z0">
    <w:name w:val="WW8Num37z0"/>
    <w:rPr>
      <w:rFonts w:ascii="Symbol" w:eastAsia="Symbol" w:hAnsi="Symbol" w:cs="OpenSymbol, 'Arial Unicode MS'"/>
      <w:lang w:val="pl-PL"/>
    </w:rPr>
  </w:style>
  <w:style w:type="character" w:customStyle="1" w:styleId="WW8Num37z1">
    <w:name w:val="WW8Num37z1"/>
    <w:rPr>
      <w:rFonts w:ascii="OpenSymbol, 'Arial Unicode MS'" w:eastAsia="OpenSymbol, 'Arial Unicode MS'" w:hAnsi="OpenSymbol, 'Arial Unicode MS'" w:cs="OpenSymbol, 'Arial Unicode MS'"/>
    </w:rPr>
  </w:style>
  <w:style w:type="character" w:customStyle="1" w:styleId="WW8Num38z0">
    <w:name w:val="WW8Num38z0"/>
    <w:rPr>
      <w:rFonts w:ascii="Symbol" w:eastAsia="Symbol" w:hAnsi="Symbol" w:cs="OpenSymbol, 'Arial Unicode MS'"/>
      <w:lang w:val="pl-PL"/>
    </w:rPr>
  </w:style>
  <w:style w:type="character" w:customStyle="1" w:styleId="WW8Num38z1">
    <w:name w:val="WW8Num38z1"/>
    <w:rPr>
      <w:rFonts w:ascii="OpenSymbol, 'Arial Unicode MS'" w:eastAsia="OpenSymbol, 'Arial Unicode MS'" w:hAnsi="OpenSymbol, 'Arial Unicode MS'" w:cs="OpenSymbol, 'Arial Unicode MS'"/>
    </w:rPr>
  </w:style>
  <w:style w:type="character" w:customStyle="1" w:styleId="WW8Num39z0">
    <w:name w:val="WW8Num39z0"/>
    <w:rPr>
      <w:rFonts w:ascii="Symbol" w:eastAsia="Symbol" w:hAnsi="Symbol" w:cs="OpenSymbol, 'Arial Unicode MS'"/>
      <w:lang w:val="pl-PL"/>
    </w:rPr>
  </w:style>
  <w:style w:type="character" w:customStyle="1" w:styleId="WW8Num39z1">
    <w:name w:val="WW8Num39z1"/>
    <w:rPr>
      <w:rFonts w:ascii="OpenSymbol, 'Arial Unicode MS'" w:eastAsia="OpenSymbol, 'Arial Unicode MS'" w:hAnsi="OpenSymbol, 'Arial Unicode MS'" w:cs="OpenSymbol, 'Arial Unicode MS'"/>
    </w:rPr>
  </w:style>
  <w:style w:type="character" w:customStyle="1" w:styleId="WW8Num40z0">
    <w:name w:val="WW8Num40z0"/>
    <w:rPr>
      <w:rFonts w:ascii="Symbol" w:eastAsia="Times New Roman" w:hAnsi="Symbol" w:cs="OpenSymbol, 'Arial Unicode MS'"/>
      <w:color w:val="000000"/>
      <w:sz w:val="20"/>
      <w:szCs w:val="20"/>
      <w:lang w:val="pl-PL"/>
    </w:rPr>
  </w:style>
  <w:style w:type="character" w:customStyle="1" w:styleId="WW8Num40z1">
    <w:name w:val="WW8Num40z1"/>
    <w:rPr>
      <w:rFonts w:ascii="OpenSymbol, 'Arial Unicode MS'" w:eastAsia="OpenSymbol, 'Arial Unicode MS'" w:hAnsi="OpenSymbol, 'Arial Unicode MS'" w:cs="OpenSymbol, 'Arial Unicode MS'"/>
    </w:rPr>
  </w:style>
  <w:style w:type="character" w:customStyle="1" w:styleId="WW8Num41z0">
    <w:name w:val="WW8Num41z0"/>
    <w:rPr>
      <w:rFonts w:ascii="Symbol" w:eastAsia="Symbol" w:hAnsi="Symbol" w:cs="OpenSymbol, 'Arial Unicode MS'"/>
      <w:lang w:val="pl-PL"/>
    </w:rPr>
  </w:style>
  <w:style w:type="character" w:customStyle="1" w:styleId="WW8Num41z1">
    <w:name w:val="WW8Num41z1"/>
    <w:rPr>
      <w:rFonts w:ascii="OpenSymbol, 'Arial Unicode MS'" w:eastAsia="OpenSymbol, 'Arial Unicode MS'" w:hAnsi="OpenSymbol, 'Arial Unicode MS'" w:cs="OpenSymbol, 'Arial Unicode MS'"/>
    </w:rPr>
  </w:style>
  <w:style w:type="character" w:customStyle="1" w:styleId="WW8Num42z0">
    <w:name w:val="WW8Num42z0"/>
    <w:rPr>
      <w:rFonts w:ascii="Symbol" w:eastAsia="Symbol" w:hAnsi="Symbol" w:cs="OpenSymbol, 'Arial Unicode MS'"/>
      <w:lang w:val="pl-PL"/>
    </w:rPr>
  </w:style>
  <w:style w:type="character" w:customStyle="1" w:styleId="WW8Num42z1">
    <w:name w:val="WW8Num42z1"/>
    <w:rPr>
      <w:rFonts w:ascii="OpenSymbol, 'Arial Unicode MS'" w:eastAsia="OpenSymbol, 'Arial Unicode MS'" w:hAnsi="OpenSymbol, 'Arial Unicode MS'" w:cs="OpenSymbol, 'Arial Unicode MS'"/>
    </w:rPr>
  </w:style>
  <w:style w:type="character" w:customStyle="1" w:styleId="WW8Num43z0">
    <w:name w:val="WW8Num43z0"/>
    <w:rPr>
      <w:rFonts w:ascii="Symbol" w:eastAsia="Times New Roman" w:hAnsi="Symbol" w:cs="OpenSymbol, 'Arial Unicode MS'"/>
      <w:color w:val="000000"/>
      <w:lang w:val="pl-PL"/>
    </w:rPr>
  </w:style>
  <w:style w:type="character" w:customStyle="1" w:styleId="WW8Num43z1">
    <w:name w:val="WW8Num43z1"/>
    <w:rPr>
      <w:rFonts w:ascii="OpenSymbol, 'Arial Unicode MS'" w:eastAsia="OpenSymbol, 'Arial Unicode MS'" w:hAnsi="OpenSymbol, 'Arial Unicode MS'" w:cs="OpenSymbol, 'Arial Unicode MS'"/>
    </w:rPr>
  </w:style>
  <w:style w:type="character" w:customStyle="1" w:styleId="WW8Num44z0">
    <w:name w:val="WW8Num44z0"/>
    <w:rPr>
      <w:rFonts w:ascii="Symbol" w:eastAsia="Symbol" w:hAnsi="Symbol" w:cs="OpenSymbol, 'Arial Unicode MS'"/>
      <w:lang w:val="pl-PL"/>
    </w:rPr>
  </w:style>
  <w:style w:type="character" w:customStyle="1" w:styleId="WW8Num44z1">
    <w:name w:val="WW8Num44z1"/>
    <w:rPr>
      <w:rFonts w:ascii="OpenSymbol, 'Arial Unicode MS'" w:eastAsia="OpenSymbol, 'Arial Unicode MS'" w:hAnsi="OpenSymbol, 'Arial Unicode MS'" w:cs="OpenSymbol, 'Arial Unicode MS'"/>
    </w:rPr>
  </w:style>
  <w:style w:type="character" w:customStyle="1" w:styleId="WW8Num45z0">
    <w:name w:val="WW8Num45z0"/>
    <w:rPr>
      <w:rFonts w:ascii="Symbol" w:eastAsia="Symbol" w:hAnsi="Symbol" w:cs="OpenSymbol, 'Arial Unicode MS'"/>
      <w:lang w:val="pl-PL"/>
    </w:rPr>
  </w:style>
  <w:style w:type="character" w:customStyle="1" w:styleId="WW8Num45z1">
    <w:name w:val="WW8Num45z1"/>
    <w:rPr>
      <w:rFonts w:ascii="OpenSymbol, 'Arial Unicode MS'" w:eastAsia="OpenSymbol, 'Arial Unicode MS'" w:hAnsi="OpenSymbol, 'Arial Unicode MS'" w:cs="OpenSymbol, 'Arial Unicode MS'"/>
    </w:rPr>
  </w:style>
  <w:style w:type="character" w:customStyle="1" w:styleId="WW8Num46z0">
    <w:name w:val="WW8Num46z0"/>
    <w:rPr>
      <w:rFonts w:cs="Arial"/>
      <w:lang w:val="pl-PL"/>
    </w:rPr>
  </w:style>
  <w:style w:type="character" w:customStyle="1" w:styleId="WW8Num46z1">
    <w:name w:val="WW8Num46z1"/>
  </w:style>
  <w:style w:type="character" w:customStyle="1" w:styleId="WW8Num46z2">
    <w:name w:val="WW8Num46z2"/>
  </w:style>
  <w:style w:type="character" w:customStyle="1" w:styleId="WW8Num46z3">
    <w:name w:val="WW8Num46z3"/>
  </w:style>
  <w:style w:type="character" w:customStyle="1" w:styleId="WW8Num46z4">
    <w:name w:val="WW8Num46z4"/>
  </w:style>
  <w:style w:type="character" w:customStyle="1" w:styleId="WW8Num46z5">
    <w:name w:val="WW8Num46z5"/>
  </w:style>
  <w:style w:type="character" w:customStyle="1" w:styleId="WW8Num46z6">
    <w:name w:val="WW8Num46z6"/>
  </w:style>
  <w:style w:type="character" w:customStyle="1" w:styleId="WW8Num46z7">
    <w:name w:val="WW8Num46z7"/>
  </w:style>
  <w:style w:type="character" w:customStyle="1" w:styleId="WW8Num46z8">
    <w:name w:val="WW8Num46z8"/>
  </w:style>
  <w:style w:type="character" w:customStyle="1" w:styleId="WW8Num47z0">
    <w:name w:val="WW8Num47z0"/>
    <w:rPr>
      <w:rFonts w:cs="Arial"/>
      <w:lang w:val="pl-PL"/>
    </w:rPr>
  </w:style>
  <w:style w:type="character" w:customStyle="1" w:styleId="WW8Num47z1">
    <w:name w:val="WW8Num47z1"/>
  </w:style>
  <w:style w:type="character" w:customStyle="1" w:styleId="WW8Num47z2">
    <w:name w:val="WW8Num47z2"/>
  </w:style>
  <w:style w:type="character" w:customStyle="1" w:styleId="WW8Num47z3">
    <w:name w:val="WW8Num47z3"/>
  </w:style>
  <w:style w:type="character" w:customStyle="1" w:styleId="WW8Num47z4">
    <w:name w:val="WW8Num47z4"/>
  </w:style>
  <w:style w:type="character" w:customStyle="1" w:styleId="WW8Num47z5">
    <w:name w:val="WW8Num47z5"/>
  </w:style>
  <w:style w:type="character" w:customStyle="1" w:styleId="WW8Num47z6">
    <w:name w:val="WW8Num47z6"/>
  </w:style>
  <w:style w:type="character" w:customStyle="1" w:styleId="WW8Num47z7">
    <w:name w:val="WW8Num47z7"/>
  </w:style>
  <w:style w:type="character" w:customStyle="1" w:styleId="WW8Num47z8">
    <w:name w:val="WW8Num47z8"/>
  </w:style>
  <w:style w:type="character" w:customStyle="1" w:styleId="WW8Num48z0">
    <w:name w:val="WW8Num48z0"/>
    <w:rPr>
      <w:rFonts w:ascii="Symbol" w:eastAsia="Symbol" w:hAnsi="Symbol" w:cs="OpenSymbol, 'Arial Unicode MS'"/>
    </w:rPr>
  </w:style>
  <w:style w:type="character" w:customStyle="1" w:styleId="WW8Num49z0">
    <w:name w:val="WW8Num49z0"/>
    <w:rPr>
      <w:rFonts w:ascii="Times New Roman" w:eastAsia="Times New Roman" w:hAnsi="Times New Roman" w:cs="OpenSymbol, 'Arial Unicode MS'"/>
    </w:rPr>
  </w:style>
  <w:style w:type="character" w:customStyle="1" w:styleId="WW8Num49z1">
    <w:name w:val="WW8Num49z1"/>
  </w:style>
  <w:style w:type="character" w:customStyle="1" w:styleId="WW8Num49z2">
    <w:name w:val="WW8Num49z2"/>
  </w:style>
  <w:style w:type="character" w:customStyle="1" w:styleId="WW8Num49z3">
    <w:name w:val="WW8Num49z3"/>
  </w:style>
  <w:style w:type="character" w:customStyle="1" w:styleId="WW8Num49z4">
    <w:name w:val="WW8Num49z4"/>
  </w:style>
  <w:style w:type="character" w:customStyle="1" w:styleId="WW8Num49z5">
    <w:name w:val="WW8Num49z5"/>
  </w:style>
  <w:style w:type="character" w:customStyle="1" w:styleId="WW8Num49z6">
    <w:name w:val="WW8Num49z6"/>
  </w:style>
  <w:style w:type="character" w:customStyle="1" w:styleId="WW8Num49z7">
    <w:name w:val="WW8Num49z7"/>
  </w:style>
  <w:style w:type="character" w:customStyle="1" w:styleId="WW8Num49z8">
    <w:name w:val="WW8Num49z8"/>
  </w:style>
  <w:style w:type="character" w:customStyle="1" w:styleId="WW8Num50z0">
    <w:name w:val="WW8Num50z0"/>
    <w:rPr>
      <w:rFonts w:ascii="Times New Roman" w:eastAsia="Times New Roman" w:hAnsi="Times New Roman" w:cs="OpenSymbol, 'Arial Unicode MS'"/>
    </w:rPr>
  </w:style>
  <w:style w:type="character" w:customStyle="1" w:styleId="WW8Num50z1">
    <w:name w:val="WW8Num50z1"/>
  </w:style>
  <w:style w:type="character" w:customStyle="1" w:styleId="WW8Num50z2">
    <w:name w:val="WW8Num50z2"/>
  </w:style>
  <w:style w:type="character" w:customStyle="1" w:styleId="WW8Num50z3">
    <w:name w:val="WW8Num50z3"/>
  </w:style>
  <w:style w:type="character" w:customStyle="1" w:styleId="WW8Num50z4">
    <w:name w:val="WW8Num50z4"/>
  </w:style>
  <w:style w:type="character" w:customStyle="1" w:styleId="WW8Num50z5">
    <w:name w:val="WW8Num50z5"/>
  </w:style>
  <w:style w:type="character" w:customStyle="1" w:styleId="WW8Num50z6">
    <w:name w:val="WW8Num50z6"/>
  </w:style>
  <w:style w:type="character" w:customStyle="1" w:styleId="WW8Num50z7">
    <w:name w:val="WW8Num50z7"/>
  </w:style>
  <w:style w:type="character" w:customStyle="1" w:styleId="WW8Num50z8">
    <w:name w:val="WW8Num50z8"/>
  </w:style>
  <w:style w:type="character" w:customStyle="1" w:styleId="WW8Num51z0">
    <w:name w:val="WW8Num51z0"/>
    <w:rPr>
      <w:rFonts w:ascii="Times New Roman" w:eastAsia="Times New Roman" w:hAnsi="Times New Roman" w:cs="OpenSymbol, 'Arial Unicode MS'"/>
    </w:rPr>
  </w:style>
  <w:style w:type="character" w:customStyle="1" w:styleId="WW8Num51z1">
    <w:name w:val="WW8Num51z1"/>
  </w:style>
  <w:style w:type="character" w:customStyle="1" w:styleId="WW8Num51z2">
    <w:name w:val="WW8Num51z2"/>
  </w:style>
  <w:style w:type="character" w:customStyle="1" w:styleId="WW8Num51z3">
    <w:name w:val="WW8Num51z3"/>
  </w:style>
  <w:style w:type="character" w:customStyle="1" w:styleId="WW8Num51z4">
    <w:name w:val="WW8Num51z4"/>
  </w:style>
  <w:style w:type="character" w:customStyle="1" w:styleId="WW8Num51z5">
    <w:name w:val="WW8Num51z5"/>
  </w:style>
  <w:style w:type="character" w:customStyle="1" w:styleId="WW8Num51z6">
    <w:name w:val="WW8Num51z6"/>
  </w:style>
  <w:style w:type="character" w:customStyle="1" w:styleId="WW8Num51z7">
    <w:name w:val="WW8Num51z7"/>
  </w:style>
  <w:style w:type="character" w:customStyle="1" w:styleId="WW8Num51z8">
    <w:name w:val="WW8Num51z8"/>
  </w:style>
  <w:style w:type="character" w:customStyle="1" w:styleId="WW8Num52z0">
    <w:name w:val="WW8Num52z0"/>
    <w:rPr>
      <w:rFonts w:ascii="Times New Roman" w:eastAsia="Times New Roman" w:hAnsi="Times New Roman" w:cs="OpenSymbol, 'Arial Unicode MS'"/>
    </w:rPr>
  </w:style>
  <w:style w:type="character" w:customStyle="1" w:styleId="WW8Num52z1">
    <w:name w:val="WW8Num52z1"/>
  </w:style>
  <w:style w:type="character" w:customStyle="1" w:styleId="WW8Num52z2">
    <w:name w:val="WW8Num52z2"/>
  </w:style>
  <w:style w:type="character" w:customStyle="1" w:styleId="WW8Num52z3">
    <w:name w:val="WW8Num52z3"/>
  </w:style>
  <w:style w:type="character" w:customStyle="1" w:styleId="WW8Num52z4">
    <w:name w:val="WW8Num52z4"/>
  </w:style>
  <w:style w:type="character" w:customStyle="1" w:styleId="WW8Num52z5">
    <w:name w:val="WW8Num52z5"/>
  </w:style>
  <w:style w:type="character" w:customStyle="1" w:styleId="WW8Num52z6">
    <w:name w:val="WW8Num52z6"/>
  </w:style>
  <w:style w:type="character" w:customStyle="1" w:styleId="WW8Num52z7">
    <w:name w:val="WW8Num52z7"/>
  </w:style>
  <w:style w:type="character" w:customStyle="1" w:styleId="WW8Num52z8">
    <w:name w:val="WW8Num52z8"/>
  </w:style>
  <w:style w:type="character" w:customStyle="1" w:styleId="WW8Num53z0">
    <w:name w:val="WW8Num53z0"/>
    <w:rPr>
      <w:rFonts w:ascii="Times New Roman" w:eastAsia="Times New Roman" w:hAnsi="Times New Roman" w:cs="OpenSymbol, 'Arial Unicode MS'"/>
    </w:rPr>
  </w:style>
  <w:style w:type="character" w:customStyle="1" w:styleId="WW8Num53z1">
    <w:name w:val="WW8Num53z1"/>
  </w:style>
  <w:style w:type="character" w:customStyle="1" w:styleId="WW8Num53z2">
    <w:name w:val="WW8Num53z2"/>
  </w:style>
  <w:style w:type="character" w:customStyle="1" w:styleId="WW8Num53z3">
    <w:name w:val="WW8Num53z3"/>
  </w:style>
  <w:style w:type="character" w:customStyle="1" w:styleId="WW8Num53z4">
    <w:name w:val="WW8Num53z4"/>
  </w:style>
  <w:style w:type="character" w:customStyle="1" w:styleId="WW8Num53z5">
    <w:name w:val="WW8Num53z5"/>
  </w:style>
  <w:style w:type="character" w:customStyle="1" w:styleId="WW8Num53z6">
    <w:name w:val="WW8Num53z6"/>
  </w:style>
  <w:style w:type="character" w:customStyle="1" w:styleId="WW8Num53z7">
    <w:name w:val="WW8Num53z7"/>
  </w:style>
  <w:style w:type="character" w:customStyle="1" w:styleId="WW8Num53z8">
    <w:name w:val="WW8Num53z8"/>
  </w:style>
  <w:style w:type="character" w:customStyle="1" w:styleId="WW8Num9z2">
    <w:name w:val="WW8Num9z2"/>
    <w:rPr>
      <w:rFonts w:ascii="OpenSymbol, 'Arial Unicode MS'" w:eastAsia="OpenSymbol, 'Arial Unicode MS'" w:hAnsi="OpenSymbol, 'Arial Unicode MS'" w:cs="OpenSymbol, 'Arial Unicode MS'"/>
    </w:rPr>
  </w:style>
  <w:style w:type="character" w:customStyle="1" w:styleId="WW8Num11z1">
    <w:name w:val="WW8Num11z1"/>
    <w:rPr>
      <w:rFonts w:ascii="OpenSymbol, 'Arial Unicode MS'" w:eastAsia="OpenSymbol, 'Arial Unicode MS'" w:hAnsi="OpenSymbol, 'Arial Unicode MS'" w:cs="OpenSymbol, 'Arial Unicode MS'"/>
    </w:rPr>
  </w:style>
  <w:style w:type="character" w:customStyle="1" w:styleId="WW8Num25z1">
    <w:name w:val="WW8Num25z1"/>
    <w:rPr>
      <w:rFonts w:ascii="OpenSymbol, 'Arial Unicode MS'" w:eastAsia="OpenSymbol, 'Arial Unicode MS'" w:hAnsi="OpenSymbol, 'Arial Unicode MS'" w:cs="OpenSymbol, 'Arial Unicode MS'"/>
    </w:rPr>
  </w:style>
  <w:style w:type="character" w:customStyle="1" w:styleId="WW8Num13z1">
    <w:name w:val="WW8Num13z1"/>
    <w:rPr>
      <w:rFonts w:ascii="OpenSymbol, 'Arial Unicode MS'" w:eastAsia="OpenSymbol, 'Arial Unicode MS'" w:hAnsi="OpenSymbol, 'Arial Unicode MS'" w:cs="OpenSymbol, 'Arial Unicode MS'"/>
    </w:rPr>
  </w:style>
  <w:style w:type="character" w:customStyle="1" w:styleId="Absatz-Standardschriftart">
    <w:name w:val="Absatz-Standardschriftart"/>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WW-Absatz-Standardschriftart11111">
    <w:name w:val="WW-Absatz-Standardschriftart11111"/>
  </w:style>
  <w:style w:type="character" w:customStyle="1" w:styleId="WW-Absatz-Standardschriftart111111">
    <w:name w:val="WW-Absatz-Standardschriftart111111"/>
  </w:style>
  <w:style w:type="character" w:customStyle="1" w:styleId="WW-Absatz-Standardschriftart1111111">
    <w:name w:val="WW-Absatz-Standardschriftart1111111"/>
  </w:style>
  <w:style w:type="character" w:customStyle="1" w:styleId="WW-Absatz-Standardschriftart11111111">
    <w:name w:val="WW-Absatz-Standardschriftart11111111"/>
  </w:style>
  <w:style w:type="character" w:customStyle="1" w:styleId="WW-Absatz-Standardschriftart111111111">
    <w:name w:val="WW-Absatz-Standardschriftart111111111"/>
  </w:style>
  <w:style w:type="character" w:customStyle="1" w:styleId="WW-Absatz-Standardschriftart1111111111">
    <w:name w:val="WW-Absatz-Standardschriftart1111111111"/>
  </w:style>
  <w:style w:type="character" w:customStyle="1" w:styleId="WW-Absatz-Standardschriftart11111111111">
    <w:name w:val="WW-Absatz-Standardschriftart11111111111"/>
  </w:style>
  <w:style w:type="character" w:customStyle="1" w:styleId="WW-Absatz-Standardschriftart111111111111">
    <w:name w:val="WW-Absatz-Standardschriftart111111111111"/>
  </w:style>
  <w:style w:type="character" w:customStyle="1" w:styleId="WW-Absatz-Standardschriftart1111111111111">
    <w:name w:val="WW-Absatz-Standardschriftart1111111111111"/>
  </w:style>
  <w:style w:type="character" w:customStyle="1" w:styleId="WW-Absatz-Standardschriftart11111111111111">
    <w:name w:val="WW-Absatz-Standardschriftart11111111111111"/>
  </w:style>
  <w:style w:type="character" w:customStyle="1" w:styleId="WW-Absatz-Standardschriftart111111111111111">
    <w:name w:val="WW-Absatz-Standardschriftart111111111111111"/>
  </w:style>
  <w:style w:type="character" w:customStyle="1" w:styleId="WW-Absatz-Standardschriftart1111111111111111">
    <w:name w:val="WW-Absatz-Standardschriftart1111111111111111"/>
  </w:style>
  <w:style w:type="character" w:customStyle="1" w:styleId="WW-Absatz-Standardschriftart11111111111111111">
    <w:name w:val="WW-Absatz-Standardschriftart11111111111111111"/>
  </w:style>
  <w:style w:type="character" w:customStyle="1" w:styleId="WW-Absatz-Standardschriftart111111111111111111">
    <w:name w:val="WW-Absatz-Standardschriftart111111111111111111"/>
  </w:style>
  <w:style w:type="character" w:customStyle="1" w:styleId="WW-Absatz-Standardschriftart1111111111111111111">
    <w:name w:val="WW-Absatz-Standardschriftart1111111111111111111"/>
  </w:style>
  <w:style w:type="character" w:customStyle="1" w:styleId="WW-Absatz-Standardschriftart11111111111111111111">
    <w:name w:val="WW-Absatz-Standardschriftart11111111111111111111"/>
  </w:style>
  <w:style w:type="character" w:customStyle="1" w:styleId="WW-Absatz-Standardschriftart111111111111111111111">
    <w:name w:val="WW-Absatz-Standardschriftart111111111111111111111"/>
  </w:style>
  <w:style w:type="character" w:customStyle="1" w:styleId="WW-Absatz-Standardschriftart1111111111111111111111">
    <w:name w:val="WW-Absatz-Standardschriftart1111111111111111111111"/>
  </w:style>
  <w:style w:type="character" w:customStyle="1" w:styleId="WW-Absatz-Standardschriftart11111111111111111111111">
    <w:name w:val="WW-Absatz-Standardschriftart11111111111111111111111"/>
  </w:style>
  <w:style w:type="character" w:customStyle="1" w:styleId="WW-Absatz-Standardschriftart111111111111111111111111">
    <w:name w:val="WW-Absatz-Standardschriftart111111111111111111111111"/>
  </w:style>
  <w:style w:type="character" w:customStyle="1" w:styleId="WW-Absatz-Standardschriftart1111111111111111111111111">
    <w:name w:val="WW-Absatz-Standardschriftart1111111111111111111111111"/>
  </w:style>
  <w:style w:type="character" w:customStyle="1" w:styleId="WW-Absatz-Standardschriftart11111111111111111111111111">
    <w:name w:val="WW-Absatz-Standardschriftart11111111111111111111111111"/>
  </w:style>
  <w:style w:type="character" w:customStyle="1" w:styleId="WW-Absatz-Standardschriftart111111111111111111111111111">
    <w:name w:val="WW-Absatz-Standardschriftart111111111111111111111111111"/>
  </w:style>
  <w:style w:type="character" w:customStyle="1" w:styleId="WW-Absatz-Standardschriftart1111111111111111111111111111">
    <w:name w:val="WW-Absatz-Standardschriftart1111111111111111111111111111"/>
  </w:style>
  <w:style w:type="character" w:customStyle="1" w:styleId="WW-Absatz-Standardschriftart11111111111111111111111111111">
    <w:name w:val="WW-Absatz-Standardschriftart11111111111111111111111111111"/>
  </w:style>
  <w:style w:type="character" w:customStyle="1" w:styleId="WW8Num15z1">
    <w:name w:val="WW8Num15z1"/>
    <w:rPr>
      <w:rFonts w:ascii="Courier New" w:eastAsia="Courier New" w:hAnsi="Courier New" w:cs="Courier New"/>
    </w:rPr>
  </w:style>
  <w:style w:type="character" w:customStyle="1" w:styleId="Internetlink">
    <w:name w:val="Internet link"/>
    <w:rPr>
      <w:color w:val="000080"/>
      <w:u w:val="single"/>
      <w:lang/>
    </w:rPr>
  </w:style>
  <w:style w:type="character" w:customStyle="1" w:styleId="NumberingSymbols">
    <w:name w:val="Numbering Symbols"/>
  </w:style>
  <w:style w:type="character" w:customStyle="1" w:styleId="VisitedInternetLink">
    <w:name w:val="Visited Internet Link"/>
    <w:rPr>
      <w:color w:val="800000"/>
      <w:u w:val="single"/>
      <w:lang/>
    </w:rPr>
  </w:style>
  <w:style w:type="character" w:customStyle="1" w:styleId="BulletSymbols">
    <w:name w:val="Bullet Symbols"/>
    <w:rPr>
      <w:rFonts w:ascii="OpenSymbol, 'Arial Unicode MS'" w:eastAsia="OpenSymbol, 'Arial Unicode MS'" w:hAnsi="OpenSymbol, 'Arial Unicode MS'" w:cs="OpenSymbol, 'Arial Unicode MS'"/>
    </w:rPr>
  </w:style>
  <w:style w:type="character" w:customStyle="1" w:styleId="WW8NumSt2z0">
    <w:name w:val="WW8NumSt2z0"/>
    <w:rPr>
      <w:rFonts w:ascii="Symbol" w:eastAsia="Symbol" w:hAnsi="Symbol" w:cs="Symbol"/>
    </w:rPr>
  </w:style>
  <w:style w:type="character" w:customStyle="1" w:styleId="WW8NumSt66z0">
    <w:name w:val="WW8NumSt66z0"/>
    <w:rPr>
      <w:rFonts w:ascii="Symbol" w:eastAsia="Symbol" w:hAnsi="Symbol" w:cs="Symbol"/>
    </w:rPr>
  </w:style>
  <w:style w:type="character" w:customStyle="1" w:styleId="RTFNum21">
    <w:name w:val="RTF_Num 2 1"/>
    <w:rPr>
      <w:rFonts w:ascii="Times New Roman CE" w:eastAsia="Times New Roman CE" w:hAnsi="Times New Roman CE" w:cs="Times New Roman CE"/>
    </w:rPr>
  </w:style>
  <w:style w:type="character" w:customStyle="1" w:styleId="StrongEmphasis">
    <w:name w:val="Strong Emphasis"/>
    <w:rPr>
      <w:b/>
      <w:bCs/>
    </w:rPr>
  </w:style>
  <w:style w:type="character" w:customStyle="1" w:styleId="CharacterStyle1">
    <w:name w:val="Character Style 1"/>
    <w:rPr>
      <w:sz w:val="20"/>
      <w:szCs w:val="20"/>
    </w:rPr>
  </w:style>
  <w:style w:type="character" w:customStyle="1" w:styleId="WW-DefaultParagraphFont">
    <w:name w:val="WW-Default Paragraph Font"/>
    <w:rPr>
      <w:sz w:val="20"/>
      <w:szCs w:val="20"/>
    </w:rPr>
  </w:style>
  <w:style w:type="character" w:customStyle="1" w:styleId="RTFNum31">
    <w:name w:val="RTF_Num 3 1"/>
    <w:rPr>
      <w:sz w:val="20"/>
      <w:szCs w:val="20"/>
      <w:lang w:val="pl-PL"/>
    </w:rPr>
  </w:style>
  <w:style w:type="character" w:customStyle="1" w:styleId="RTFNum41">
    <w:name w:val="RTF_Num 4 1"/>
    <w:rPr>
      <w:sz w:val="20"/>
      <w:szCs w:val="20"/>
      <w:lang w:val="pl-PL"/>
    </w:rPr>
  </w:style>
  <w:style w:type="character" w:customStyle="1" w:styleId="RTFNum51">
    <w:name w:val="RTF_Num 5 1"/>
    <w:rPr>
      <w:sz w:val="20"/>
      <w:szCs w:val="20"/>
      <w:lang w:val="pl-PL"/>
    </w:rPr>
  </w:style>
  <w:style w:type="character" w:customStyle="1" w:styleId="RTFNum61">
    <w:name w:val="RTF_Num 6 1"/>
    <w:rPr>
      <w:sz w:val="20"/>
      <w:szCs w:val="20"/>
      <w:lang w:val="pl-PL"/>
    </w:rPr>
  </w:style>
  <w:style w:type="character" w:customStyle="1" w:styleId="FontStyle296">
    <w:name w:val="Font Style296"/>
    <w:basedOn w:val="Domylnaczcionkaakapitu"/>
    <w:rPr>
      <w:rFonts w:ascii="Times New Roman" w:eastAsia="Times New Roman" w:hAnsi="Times New Roman" w:cs="Times New Roman"/>
      <w:sz w:val="18"/>
      <w:szCs w:val="18"/>
    </w:rPr>
  </w:style>
  <w:style w:type="character" w:customStyle="1" w:styleId="podpunkt">
    <w:name w:val="podpunkt"/>
    <w:rPr>
      <w:rFonts w:ascii="Times New Roman" w:eastAsia="Times New Roman" w:hAnsi="Times New Roman" w:cs="Times New Roman"/>
      <w:b/>
    </w:rPr>
  </w:style>
  <w:style w:type="character" w:customStyle="1" w:styleId="WW8Num85z0">
    <w:name w:val="WW8Num85z0"/>
    <w:rPr>
      <w:rFonts w:ascii="Symbol" w:eastAsia="Symbol" w:hAnsi="Symbol" w:cs="Symbol"/>
    </w:rPr>
  </w:style>
  <w:style w:type="character" w:customStyle="1" w:styleId="WW8Num214z0">
    <w:name w:val="WW8Num214z0"/>
    <w:rPr>
      <w:rFonts w:ascii="Symbol" w:eastAsia="Symbol" w:hAnsi="Symbol" w:cs="Symbol"/>
    </w:rPr>
  </w:style>
  <w:style w:type="character" w:customStyle="1" w:styleId="ListLabel4">
    <w:name w:val="ListLabel 4"/>
    <w:rPr>
      <w:rFonts w:cs="Times New Roman"/>
      <w:b w:val="0"/>
      <w:bCs w:val="0"/>
      <w:i w:val="0"/>
      <w:iCs w:val="0"/>
      <w:caps w:val="0"/>
      <w:smallCaps w:val="0"/>
      <w:strike w:val="0"/>
      <w:dstrike w:val="0"/>
      <w:outline w:val="0"/>
      <w:emboss w:val="0"/>
      <w:imprint w:val="0"/>
      <w:vanish w:val="0"/>
      <w:spacing w:val="0"/>
      <w:kern w:val="0"/>
      <w:position w:val="0"/>
      <w:u w:val="none"/>
      <w:vertAlign w:val="baseline"/>
      <w:em w:val="none"/>
    </w:rPr>
  </w:style>
  <w:style w:type="character" w:customStyle="1" w:styleId="ListLabel2">
    <w:name w:val="ListLabel 2"/>
    <w:rPr>
      <w:rFonts w:cs="Courier New"/>
    </w:rPr>
  </w:style>
  <w:style w:type="character" w:customStyle="1" w:styleId="ListLabel1">
    <w:name w:val="ListLabel 1"/>
    <w:rPr>
      <w:rFonts w:cs="Times New Roman"/>
    </w:rPr>
  </w:style>
  <w:style w:type="character" w:customStyle="1" w:styleId="ListLabel3">
    <w:name w:val="ListLabel 3"/>
    <w:rPr>
      <w:rFonts w:eastAsia="Times New Roman"/>
    </w:rPr>
  </w:style>
  <w:style w:type="character" w:customStyle="1" w:styleId="WW8NumSt22z0">
    <w:name w:val="WW8NumSt22z0"/>
    <w:rPr>
      <w:rFonts w:ascii="Symbol" w:eastAsia="Symbol" w:hAnsi="Symbol" w:cs="Times New Roman"/>
    </w:rPr>
  </w:style>
  <w:style w:type="character" w:customStyle="1" w:styleId="ListLabel5">
    <w:name w:val="ListLabel 5"/>
    <w:rPr>
      <w:rFonts w:ascii="Times New Roman" w:eastAsia="Times New Roman" w:hAnsi="Times New Roman" w:cs="Times New Roman"/>
      <w:sz w:val="22"/>
    </w:rPr>
  </w:style>
  <w:style w:type="character" w:customStyle="1" w:styleId="Nagwek10">
    <w:name w:val="Nagłówek #1"/>
    <w:basedOn w:val="Domylnaczcionkaakapitu"/>
    <w:rPr>
      <w:rFonts w:ascii="Times New Roman" w:eastAsia="Times New Roman" w:hAnsi="Times New Roman" w:cs="Times New Roman"/>
      <w:b/>
      <w:bCs/>
    </w:rPr>
  </w:style>
  <w:style w:type="character" w:customStyle="1" w:styleId="WW-Nagwek1">
    <w:name w:val="WW-Nagłówek #1"/>
    <w:basedOn w:val="Nagwek10"/>
    <w:rPr>
      <w:rFonts w:ascii="Times New Roman" w:eastAsia="Times New Roman" w:hAnsi="Times New Roman" w:cs="Times New Roman"/>
      <w:b/>
      <w:bCs/>
      <w:u w:val="single"/>
    </w:rPr>
  </w:style>
  <w:style w:type="character" w:customStyle="1" w:styleId="WW8Num236z0">
    <w:name w:val="WW8Num236z0"/>
    <w:rPr>
      <w:rFonts w:ascii="Wingdings" w:eastAsia="Wingdings" w:hAnsi="Wingdings" w:cs="Wingdings"/>
      <w:sz w:val="20"/>
      <w:szCs w:val="20"/>
    </w:rPr>
  </w:style>
  <w:style w:type="character" w:customStyle="1" w:styleId="WW8Num236z1">
    <w:name w:val="WW8Num236z1"/>
    <w:rPr>
      <w:rFonts w:ascii="Courier New" w:eastAsia="Courier New" w:hAnsi="Courier New" w:cs="Courier New"/>
    </w:rPr>
  </w:style>
  <w:style w:type="character" w:customStyle="1" w:styleId="WW8Num236z3">
    <w:name w:val="WW8Num236z3"/>
    <w:rPr>
      <w:rFonts w:ascii="Symbol" w:eastAsia="Symbol" w:hAnsi="Symbol" w:cs="Symbol"/>
    </w:rPr>
  </w:style>
  <w:style w:type="character" w:customStyle="1" w:styleId="WW8Num18z2">
    <w:name w:val="WW8Num18z2"/>
    <w:rPr>
      <w:rFonts w:ascii="Wingdings" w:eastAsia="Wingdings" w:hAnsi="Wingdings" w:cs="Wingdings"/>
    </w:rPr>
  </w:style>
  <w:style w:type="character" w:customStyle="1" w:styleId="WW8Num18z3">
    <w:name w:val="WW8Num18z3"/>
  </w:style>
  <w:style w:type="character" w:customStyle="1" w:styleId="WW8Num18z4">
    <w:name w:val="WW8Num18z4"/>
  </w:style>
  <w:style w:type="character" w:customStyle="1" w:styleId="WW8Num18z5">
    <w:name w:val="WW8Num18z5"/>
  </w:style>
  <w:style w:type="character" w:customStyle="1" w:styleId="WW8Num18z6">
    <w:name w:val="WW8Num18z6"/>
  </w:style>
  <w:style w:type="character" w:customStyle="1" w:styleId="WW8Num18z7">
    <w:name w:val="WW8Num18z7"/>
  </w:style>
  <w:style w:type="character" w:customStyle="1" w:styleId="WW8Num18z8">
    <w:name w:val="WW8Num18z8"/>
  </w:style>
  <w:style w:type="character" w:customStyle="1" w:styleId="Caption20characters">
    <w:name w:val="Caption_20_characters"/>
  </w:style>
  <w:style w:type="character" w:customStyle="1" w:styleId="WW8NumSt5z0">
    <w:name w:val="WW8NumSt5z0"/>
    <w:rPr>
      <w:rFonts w:ascii="Symbol" w:eastAsia="Symbol" w:hAnsi="Symbol" w:cs="Symbol"/>
    </w:rPr>
  </w:style>
  <w:style w:type="numbering" w:customStyle="1" w:styleId="WW8Num1">
    <w:name w:val="WW8Num1"/>
    <w:basedOn w:val="Bezlisty"/>
    <w:pPr>
      <w:numPr>
        <w:numId w:val="1"/>
      </w:numPr>
    </w:pPr>
  </w:style>
  <w:style w:type="numbering" w:customStyle="1" w:styleId="WW8Num2">
    <w:name w:val="WW8Num2"/>
    <w:basedOn w:val="Bezlisty"/>
    <w:pPr>
      <w:numPr>
        <w:numId w:val="2"/>
      </w:numPr>
    </w:pPr>
  </w:style>
  <w:style w:type="numbering" w:customStyle="1" w:styleId="WW8Num3">
    <w:name w:val="WW8Num3"/>
    <w:basedOn w:val="Bezlisty"/>
    <w:pPr>
      <w:numPr>
        <w:numId w:val="3"/>
      </w:numPr>
    </w:pPr>
  </w:style>
  <w:style w:type="numbering" w:customStyle="1" w:styleId="WW8Num4">
    <w:name w:val="WW8Num4"/>
    <w:basedOn w:val="Bezlisty"/>
    <w:pPr>
      <w:numPr>
        <w:numId w:val="4"/>
      </w:numPr>
    </w:pPr>
  </w:style>
  <w:style w:type="numbering" w:customStyle="1" w:styleId="WW8Num5">
    <w:name w:val="WW8Num5"/>
    <w:basedOn w:val="Bezlisty"/>
    <w:pPr>
      <w:numPr>
        <w:numId w:val="5"/>
      </w:numPr>
    </w:pPr>
  </w:style>
  <w:style w:type="numbering" w:customStyle="1" w:styleId="WW8Num6">
    <w:name w:val="WW8Num6"/>
    <w:basedOn w:val="Bezlisty"/>
    <w:pPr>
      <w:numPr>
        <w:numId w:val="6"/>
      </w:numPr>
    </w:pPr>
  </w:style>
  <w:style w:type="numbering" w:customStyle="1" w:styleId="WW8Num7">
    <w:name w:val="WW8Num7"/>
    <w:basedOn w:val="Bezlisty"/>
    <w:pPr>
      <w:numPr>
        <w:numId w:val="7"/>
      </w:numPr>
    </w:pPr>
  </w:style>
  <w:style w:type="numbering" w:customStyle="1" w:styleId="WW8Num8">
    <w:name w:val="WW8Num8"/>
    <w:basedOn w:val="Bezlisty"/>
    <w:pPr>
      <w:numPr>
        <w:numId w:val="8"/>
      </w:numPr>
    </w:pPr>
  </w:style>
  <w:style w:type="numbering" w:customStyle="1" w:styleId="WW8Num9">
    <w:name w:val="WW8Num9"/>
    <w:basedOn w:val="Bezlisty"/>
    <w:pPr>
      <w:numPr>
        <w:numId w:val="9"/>
      </w:numPr>
    </w:pPr>
  </w:style>
  <w:style w:type="numbering" w:customStyle="1" w:styleId="WW8Num10">
    <w:name w:val="WW8Num10"/>
    <w:basedOn w:val="Bezlisty"/>
    <w:pPr>
      <w:numPr>
        <w:numId w:val="10"/>
      </w:numPr>
    </w:pPr>
  </w:style>
  <w:style w:type="numbering" w:customStyle="1" w:styleId="WW8Num11">
    <w:name w:val="WW8Num11"/>
    <w:basedOn w:val="Bezlisty"/>
    <w:pPr>
      <w:numPr>
        <w:numId w:val="11"/>
      </w:numPr>
    </w:pPr>
  </w:style>
  <w:style w:type="numbering" w:customStyle="1" w:styleId="WW8Num12">
    <w:name w:val="WW8Num12"/>
    <w:basedOn w:val="Bezlisty"/>
    <w:pPr>
      <w:numPr>
        <w:numId w:val="12"/>
      </w:numPr>
    </w:pPr>
  </w:style>
  <w:style w:type="numbering" w:customStyle="1" w:styleId="WW8Num13">
    <w:name w:val="WW8Num13"/>
    <w:basedOn w:val="Bezlisty"/>
    <w:pPr>
      <w:numPr>
        <w:numId w:val="13"/>
      </w:numPr>
    </w:pPr>
  </w:style>
  <w:style w:type="numbering" w:customStyle="1" w:styleId="WW8Num14">
    <w:name w:val="WW8Num14"/>
    <w:basedOn w:val="Bezlisty"/>
    <w:pPr>
      <w:numPr>
        <w:numId w:val="14"/>
      </w:numPr>
    </w:pPr>
  </w:style>
  <w:style w:type="numbering" w:customStyle="1" w:styleId="WW8Num15">
    <w:name w:val="WW8Num15"/>
    <w:basedOn w:val="Bezlisty"/>
    <w:pPr>
      <w:numPr>
        <w:numId w:val="15"/>
      </w:numPr>
    </w:pPr>
  </w:style>
  <w:style w:type="numbering" w:customStyle="1" w:styleId="WW8Num16">
    <w:name w:val="WW8Num16"/>
    <w:basedOn w:val="Bezlisty"/>
    <w:pPr>
      <w:numPr>
        <w:numId w:val="16"/>
      </w:numPr>
    </w:pPr>
  </w:style>
  <w:style w:type="numbering" w:customStyle="1" w:styleId="WW8Num17">
    <w:name w:val="WW8Num17"/>
    <w:basedOn w:val="Bezlisty"/>
    <w:pPr>
      <w:numPr>
        <w:numId w:val="17"/>
      </w:numPr>
    </w:pPr>
  </w:style>
  <w:style w:type="numbering" w:customStyle="1" w:styleId="WW8Num18">
    <w:name w:val="WW8Num18"/>
    <w:basedOn w:val="Bezlisty"/>
    <w:pPr>
      <w:numPr>
        <w:numId w:val="18"/>
      </w:numPr>
    </w:pPr>
  </w:style>
  <w:style w:type="numbering" w:customStyle="1" w:styleId="WW8Num19">
    <w:name w:val="WW8Num19"/>
    <w:basedOn w:val="Bezlisty"/>
    <w:pPr>
      <w:numPr>
        <w:numId w:val="19"/>
      </w:numPr>
    </w:pPr>
  </w:style>
  <w:style w:type="numbering" w:customStyle="1" w:styleId="WW8Num20">
    <w:name w:val="WW8Num20"/>
    <w:basedOn w:val="Bezlisty"/>
    <w:pPr>
      <w:numPr>
        <w:numId w:val="20"/>
      </w:numPr>
    </w:pPr>
  </w:style>
  <w:style w:type="numbering" w:customStyle="1" w:styleId="WW8Num21">
    <w:name w:val="WW8Num21"/>
    <w:basedOn w:val="Bezlisty"/>
    <w:pPr>
      <w:numPr>
        <w:numId w:val="21"/>
      </w:numPr>
    </w:pPr>
  </w:style>
  <w:style w:type="numbering" w:customStyle="1" w:styleId="WW8Num22">
    <w:name w:val="WW8Num22"/>
    <w:basedOn w:val="Bezlisty"/>
    <w:pPr>
      <w:numPr>
        <w:numId w:val="22"/>
      </w:numPr>
    </w:pPr>
  </w:style>
  <w:style w:type="numbering" w:customStyle="1" w:styleId="WW8Num23">
    <w:name w:val="WW8Num23"/>
    <w:basedOn w:val="Bezlisty"/>
    <w:pPr>
      <w:numPr>
        <w:numId w:val="23"/>
      </w:numPr>
    </w:pPr>
  </w:style>
  <w:style w:type="numbering" w:customStyle="1" w:styleId="WW8Num24">
    <w:name w:val="WW8Num24"/>
    <w:basedOn w:val="Bezlisty"/>
    <w:pPr>
      <w:numPr>
        <w:numId w:val="24"/>
      </w:numPr>
    </w:pPr>
  </w:style>
  <w:style w:type="numbering" w:customStyle="1" w:styleId="WW8Num25">
    <w:name w:val="WW8Num25"/>
    <w:basedOn w:val="Bezlisty"/>
    <w:pPr>
      <w:numPr>
        <w:numId w:val="25"/>
      </w:numPr>
    </w:pPr>
  </w:style>
  <w:style w:type="numbering" w:customStyle="1" w:styleId="WW8Num26">
    <w:name w:val="WW8Num26"/>
    <w:basedOn w:val="Bezlisty"/>
    <w:pPr>
      <w:numPr>
        <w:numId w:val="26"/>
      </w:numPr>
    </w:pPr>
  </w:style>
  <w:style w:type="numbering" w:customStyle="1" w:styleId="WW8Num27">
    <w:name w:val="WW8Num27"/>
    <w:basedOn w:val="Bezlisty"/>
    <w:pPr>
      <w:numPr>
        <w:numId w:val="27"/>
      </w:numPr>
    </w:pPr>
  </w:style>
  <w:style w:type="numbering" w:customStyle="1" w:styleId="WW8Num28">
    <w:name w:val="WW8Num28"/>
    <w:basedOn w:val="Bezlisty"/>
    <w:pPr>
      <w:numPr>
        <w:numId w:val="28"/>
      </w:numPr>
    </w:pPr>
  </w:style>
  <w:style w:type="numbering" w:customStyle="1" w:styleId="WW8Num29">
    <w:name w:val="WW8Num29"/>
    <w:basedOn w:val="Bezlisty"/>
    <w:pPr>
      <w:numPr>
        <w:numId w:val="29"/>
      </w:numPr>
    </w:pPr>
  </w:style>
  <w:style w:type="numbering" w:customStyle="1" w:styleId="WW8Num30">
    <w:name w:val="WW8Num30"/>
    <w:basedOn w:val="Bezlisty"/>
    <w:pPr>
      <w:numPr>
        <w:numId w:val="30"/>
      </w:numPr>
    </w:pPr>
  </w:style>
  <w:style w:type="numbering" w:customStyle="1" w:styleId="WW8Num31">
    <w:name w:val="WW8Num31"/>
    <w:basedOn w:val="Bezlisty"/>
    <w:pPr>
      <w:numPr>
        <w:numId w:val="31"/>
      </w:numPr>
    </w:pPr>
  </w:style>
  <w:style w:type="numbering" w:customStyle="1" w:styleId="WW8Num32">
    <w:name w:val="WW8Num32"/>
    <w:basedOn w:val="Bezlisty"/>
    <w:pPr>
      <w:numPr>
        <w:numId w:val="32"/>
      </w:numPr>
    </w:pPr>
  </w:style>
  <w:style w:type="numbering" w:customStyle="1" w:styleId="WW8Num33">
    <w:name w:val="WW8Num33"/>
    <w:basedOn w:val="Bezlisty"/>
    <w:pPr>
      <w:numPr>
        <w:numId w:val="33"/>
      </w:numPr>
    </w:pPr>
  </w:style>
  <w:style w:type="numbering" w:customStyle="1" w:styleId="WW8Num34">
    <w:name w:val="WW8Num34"/>
    <w:basedOn w:val="Bezlisty"/>
    <w:pPr>
      <w:numPr>
        <w:numId w:val="34"/>
      </w:numPr>
    </w:pPr>
  </w:style>
  <w:style w:type="numbering" w:customStyle="1" w:styleId="WW8Num35">
    <w:name w:val="WW8Num35"/>
    <w:basedOn w:val="Bezlisty"/>
    <w:pPr>
      <w:numPr>
        <w:numId w:val="35"/>
      </w:numPr>
    </w:pPr>
  </w:style>
  <w:style w:type="numbering" w:customStyle="1" w:styleId="WW8Num36">
    <w:name w:val="WW8Num36"/>
    <w:basedOn w:val="Bezlisty"/>
    <w:pPr>
      <w:numPr>
        <w:numId w:val="36"/>
      </w:numPr>
    </w:pPr>
  </w:style>
  <w:style w:type="numbering" w:customStyle="1" w:styleId="WW8Num37">
    <w:name w:val="WW8Num37"/>
    <w:basedOn w:val="Bezlisty"/>
    <w:pPr>
      <w:numPr>
        <w:numId w:val="37"/>
      </w:numPr>
    </w:pPr>
  </w:style>
  <w:style w:type="numbering" w:customStyle="1" w:styleId="WW8Num38">
    <w:name w:val="WW8Num38"/>
    <w:basedOn w:val="Bezlisty"/>
    <w:pPr>
      <w:numPr>
        <w:numId w:val="38"/>
      </w:numPr>
    </w:pPr>
  </w:style>
  <w:style w:type="numbering" w:customStyle="1" w:styleId="WW8Num39">
    <w:name w:val="WW8Num39"/>
    <w:basedOn w:val="Bezlisty"/>
    <w:pPr>
      <w:numPr>
        <w:numId w:val="39"/>
      </w:numPr>
    </w:pPr>
  </w:style>
  <w:style w:type="numbering" w:customStyle="1" w:styleId="WW8Num40">
    <w:name w:val="WW8Num40"/>
    <w:basedOn w:val="Bezlisty"/>
    <w:pPr>
      <w:numPr>
        <w:numId w:val="40"/>
      </w:numPr>
    </w:pPr>
  </w:style>
  <w:style w:type="numbering" w:customStyle="1" w:styleId="WW8Num41">
    <w:name w:val="WW8Num41"/>
    <w:basedOn w:val="Bezlisty"/>
    <w:pPr>
      <w:numPr>
        <w:numId w:val="41"/>
      </w:numPr>
    </w:pPr>
  </w:style>
  <w:style w:type="numbering" w:customStyle="1" w:styleId="WW8Num42">
    <w:name w:val="WW8Num42"/>
    <w:basedOn w:val="Bezlisty"/>
    <w:pPr>
      <w:numPr>
        <w:numId w:val="42"/>
      </w:numPr>
    </w:pPr>
  </w:style>
  <w:style w:type="numbering" w:customStyle="1" w:styleId="WW8Num43">
    <w:name w:val="WW8Num43"/>
    <w:basedOn w:val="Bezlisty"/>
    <w:pPr>
      <w:numPr>
        <w:numId w:val="43"/>
      </w:numPr>
    </w:pPr>
  </w:style>
  <w:style w:type="numbering" w:customStyle="1" w:styleId="WW8Num44">
    <w:name w:val="WW8Num44"/>
    <w:basedOn w:val="Bezlisty"/>
    <w:pPr>
      <w:numPr>
        <w:numId w:val="44"/>
      </w:numPr>
    </w:pPr>
  </w:style>
  <w:style w:type="numbering" w:customStyle="1" w:styleId="WW8Num45">
    <w:name w:val="WW8Num45"/>
    <w:basedOn w:val="Bezlisty"/>
    <w:pPr>
      <w:numPr>
        <w:numId w:val="45"/>
      </w:numPr>
    </w:pPr>
  </w:style>
  <w:style w:type="numbering" w:customStyle="1" w:styleId="WW8Num46">
    <w:name w:val="WW8Num46"/>
    <w:basedOn w:val="Bezlisty"/>
    <w:pPr>
      <w:numPr>
        <w:numId w:val="46"/>
      </w:numPr>
    </w:pPr>
  </w:style>
  <w:style w:type="numbering" w:customStyle="1" w:styleId="WW8Num47">
    <w:name w:val="WW8Num47"/>
    <w:basedOn w:val="Bezlisty"/>
    <w:pPr>
      <w:numPr>
        <w:numId w:val="47"/>
      </w:numPr>
    </w:pPr>
  </w:style>
  <w:style w:type="numbering" w:customStyle="1" w:styleId="WW8Num48">
    <w:name w:val="WW8Num48"/>
    <w:basedOn w:val="Bezlisty"/>
    <w:pPr>
      <w:numPr>
        <w:numId w:val="48"/>
      </w:numPr>
    </w:pPr>
  </w:style>
  <w:style w:type="numbering" w:customStyle="1" w:styleId="WW8Num49">
    <w:name w:val="WW8Num49"/>
    <w:basedOn w:val="Bezlisty"/>
    <w:pPr>
      <w:numPr>
        <w:numId w:val="49"/>
      </w:numPr>
    </w:pPr>
  </w:style>
  <w:style w:type="numbering" w:customStyle="1" w:styleId="WW8Num50">
    <w:name w:val="WW8Num50"/>
    <w:basedOn w:val="Bezlisty"/>
    <w:pPr>
      <w:numPr>
        <w:numId w:val="50"/>
      </w:numPr>
    </w:pPr>
  </w:style>
  <w:style w:type="numbering" w:customStyle="1" w:styleId="WW8Num51">
    <w:name w:val="WW8Num51"/>
    <w:basedOn w:val="Bezlisty"/>
    <w:pPr>
      <w:numPr>
        <w:numId w:val="51"/>
      </w:numPr>
    </w:pPr>
  </w:style>
  <w:style w:type="numbering" w:customStyle="1" w:styleId="WW8Num52">
    <w:name w:val="WW8Num52"/>
    <w:basedOn w:val="Bezlisty"/>
    <w:pPr>
      <w:numPr>
        <w:numId w:val="52"/>
      </w:numPr>
    </w:pPr>
  </w:style>
  <w:style w:type="numbering" w:customStyle="1" w:styleId="WW8Num53">
    <w:name w:val="WW8Num53"/>
    <w:basedOn w:val="Bezlisty"/>
    <w:pPr>
      <w:numPr>
        <w:numId w:val="53"/>
      </w:numPr>
    </w:pPr>
  </w:style>
  <w:style w:type="numbering" w:customStyle="1" w:styleId="WW8Num85">
    <w:name w:val="WW8Num85"/>
    <w:basedOn w:val="Bezlisty"/>
    <w:pPr>
      <w:numPr>
        <w:numId w:val="54"/>
      </w:numPr>
    </w:pPr>
  </w:style>
  <w:style w:type="numbering" w:customStyle="1" w:styleId="WW8Num214">
    <w:name w:val="WW8Num214"/>
    <w:basedOn w:val="Bezlisty"/>
    <w:pPr>
      <w:numPr>
        <w:numId w:val="55"/>
      </w:numPr>
    </w:pPr>
  </w:style>
  <w:style w:type="numbering" w:customStyle="1" w:styleId="WWNum21">
    <w:name w:val="WWNum21"/>
    <w:basedOn w:val="Bezlisty"/>
    <w:pPr>
      <w:numPr>
        <w:numId w:val="56"/>
      </w:numPr>
    </w:pPr>
  </w:style>
  <w:style w:type="numbering" w:customStyle="1" w:styleId="WWNum8">
    <w:name w:val="WWNum8"/>
    <w:basedOn w:val="Bezlisty"/>
    <w:pPr>
      <w:numPr>
        <w:numId w:val="57"/>
      </w:numPr>
    </w:pPr>
  </w:style>
  <w:style w:type="numbering" w:customStyle="1" w:styleId="WWNum9">
    <w:name w:val="WWNum9"/>
    <w:basedOn w:val="Bezlisty"/>
    <w:pPr>
      <w:numPr>
        <w:numId w:val="58"/>
      </w:numPr>
    </w:pPr>
  </w:style>
  <w:style w:type="numbering" w:customStyle="1" w:styleId="WWNum10">
    <w:name w:val="WWNum10"/>
    <w:basedOn w:val="Bezlisty"/>
    <w:pPr>
      <w:numPr>
        <w:numId w:val="59"/>
      </w:numPr>
    </w:pPr>
  </w:style>
  <w:style w:type="numbering" w:customStyle="1" w:styleId="WWNum11">
    <w:name w:val="WWNum11"/>
    <w:basedOn w:val="Bezlisty"/>
    <w:pPr>
      <w:numPr>
        <w:numId w:val="60"/>
      </w:numPr>
    </w:pPr>
  </w:style>
  <w:style w:type="numbering" w:customStyle="1" w:styleId="WWNum3">
    <w:name w:val="WWNum3"/>
    <w:basedOn w:val="Bezlisty"/>
    <w:pPr>
      <w:numPr>
        <w:numId w:val="61"/>
      </w:numPr>
    </w:pPr>
  </w:style>
  <w:style w:type="numbering" w:customStyle="1" w:styleId="WWNum4">
    <w:name w:val="WWNum4"/>
    <w:basedOn w:val="Bezlisty"/>
    <w:pPr>
      <w:numPr>
        <w:numId w:val="62"/>
      </w:numPr>
    </w:pPr>
  </w:style>
  <w:style w:type="numbering" w:customStyle="1" w:styleId="WWNum5">
    <w:name w:val="WWNum5"/>
    <w:basedOn w:val="Bezlisty"/>
    <w:pPr>
      <w:numPr>
        <w:numId w:val="63"/>
      </w:numPr>
    </w:pPr>
  </w:style>
  <w:style w:type="numbering" w:customStyle="1" w:styleId="WWNum6">
    <w:name w:val="WWNum6"/>
    <w:basedOn w:val="Bezlisty"/>
    <w:pPr>
      <w:numPr>
        <w:numId w:val="64"/>
      </w:numPr>
    </w:pPr>
  </w:style>
  <w:style w:type="numbering" w:customStyle="1" w:styleId="WWNum13">
    <w:name w:val="WWNum13"/>
    <w:basedOn w:val="Bezlisty"/>
    <w:pPr>
      <w:numPr>
        <w:numId w:val="65"/>
      </w:numPr>
    </w:pPr>
  </w:style>
  <w:style w:type="numbering" w:customStyle="1" w:styleId="WWNum14">
    <w:name w:val="WWNum14"/>
    <w:basedOn w:val="Bezlisty"/>
    <w:pPr>
      <w:numPr>
        <w:numId w:val="66"/>
      </w:numPr>
    </w:pPr>
  </w:style>
  <w:style w:type="numbering" w:customStyle="1" w:styleId="WWNum15">
    <w:name w:val="WWNum15"/>
    <w:basedOn w:val="Bezlisty"/>
    <w:pPr>
      <w:numPr>
        <w:numId w:val="67"/>
      </w:numPr>
    </w:pPr>
  </w:style>
  <w:style w:type="numbering" w:customStyle="1" w:styleId="WWNum16">
    <w:name w:val="WWNum16"/>
    <w:basedOn w:val="Bezlisty"/>
    <w:pPr>
      <w:numPr>
        <w:numId w:val="68"/>
      </w:numPr>
    </w:pPr>
  </w:style>
  <w:style w:type="numbering" w:customStyle="1" w:styleId="WWNum7">
    <w:name w:val="WWNum7"/>
    <w:basedOn w:val="Bezlisty"/>
    <w:pPr>
      <w:numPr>
        <w:numId w:val="69"/>
      </w:numPr>
    </w:pPr>
  </w:style>
  <w:style w:type="numbering" w:customStyle="1" w:styleId="WWNum17">
    <w:name w:val="WWNum17"/>
    <w:basedOn w:val="Bezlisty"/>
    <w:pPr>
      <w:numPr>
        <w:numId w:val="70"/>
      </w:numPr>
    </w:pPr>
  </w:style>
  <w:style w:type="numbering" w:customStyle="1" w:styleId="WWNum18">
    <w:name w:val="WWNum18"/>
    <w:basedOn w:val="Bezlisty"/>
    <w:pPr>
      <w:numPr>
        <w:numId w:val="71"/>
      </w:numPr>
    </w:pPr>
  </w:style>
  <w:style w:type="numbering" w:customStyle="1" w:styleId="WWNum19">
    <w:name w:val="WWNum19"/>
    <w:basedOn w:val="Bezlisty"/>
    <w:pPr>
      <w:numPr>
        <w:numId w:val="72"/>
      </w:numPr>
    </w:pPr>
  </w:style>
  <w:style w:type="numbering" w:customStyle="1" w:styleId="WWNum20">
    <w:name w:val="WWNum20"/>
    <w:basedOn w:val="Bezlisty"/>
    <w:pPr>
      <w:numPr>
        <w:numId w:val="73"/>
      </w:numPr>
    </w:pPr>
  </w:style>
  <w:style w:type="numbering" w:customStyle="1" w:styleId="WWNum12">
    <w:name w:val="WWNum12"/>
    <w:basedOn w:val="Bezlisty"/>
    <w:pPr>
      <w:numPr>
        <w:numId w:val="74"/>
      </w:numPr>
    </w:pPr>
  </w:style>
  <w:style w:type="numbering" w:customStyle="1" w:styleId="WWNum22">
    <w:name w:val="WWNum22"/>
    <w:basedOn w:val="Bezlisty"/>
    <w:pPr>
      <w:numPr>
        <w:numId w:val="75"/>
      </w:numPr>
    </w:pPr>
  </w:style>
  <w:style w:type="numbering" w:customStyle="1" w:styleId="WWNum23">
    <w:name w:val="WWNum23"/>
    <w:basedOn w:val="Bezlisty"/>
    <w:pPr>
      <w:numPr>
        <w:numId w:val="76"/>
      </w:numPr>
    </w:pPr>
  </w:style>
  <w:style w:type="numbering" w:customStyle="1" w:styleId="WWNum25">
    <w:name w:val="WWNum25"/>
    <w:basedOn w:val="Bezlisty"/>
    <w:pPr>
      <w:numPr>
        <w:numId w:val="77"/>
      </w:numPr>
    </w:pPr>
  </w:style>
  <w:style w:type="numbering" w:customStyle="1" w:styleId="WWNum26">
    <w:name w:val="WWNum26"/>
    <w:basedOn w:val="Bezlisty"/>
    <w:pPr>
      <w:numPr>
        <w:numId w:val="78"/>
      </w:numPr>
    </w:pPr>
  </w:style>
  <w:style w:type="numbering" w:customStyle="1" w:styleId="WW8Num236">
    <w:name w:val="WW8Num236"/>
    <w:basedOn w:val="Bezlisty"/>
    <w:pPr>
      <w:numPr>
        <w:numId w:val="79"/>
      </w:numPr>
    </w:pPr>
  </w:style>
  <w:style w:type="numbering" w:customStyle="1" w:styleId="SPEC-lista-kreski">
    <w:name w:val="SPEC-lista-kreski"/>
    <w:basedOn w:val="Bezlisty"/>
    <w:pPr>
      <w:numPr>
        <w:numId w:val="80"/>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13" Type="http://schemas.openxmlformats.org/officeDocument/2006/relationships/hyperlink" Target="#__RefHeading___Toc74725_992416677" TargetMode="External"/><Relationship Id="rId18" Type="http://schemas.openxmlformats.org/officeDocument/2006/relationships/hyperlink" Target="#__RefHeading___Toc379014_469610192" TargetMode="External"/><Relationship Id="rId26" Type="http://schemas.openxmlformats.org/officeDocument/2006/relationships/hyperlink" Target="#__RefHeading___Toc22127_226129707" TargetMode="External"/><Relationship Id="rId39"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hyperlink" Target="#__RefHeading___Toc379016_469610192" TargetMode="External"/><Relationship Id="rId34" Type="http://schemas.openxmlformats.org/officeDocument/2006/relationships/hyperlink" Target="#__RefHeading___Toc58998_1504666804" TargetMode="External"/><Relationship Id="rId42" Type="http://schemas.openxmlformats.org/officeDocument/2006/relationships/image" Target="media/image2.wmf"/><Relationship Id="rId47" Type="http://schemas.openxmlformats.org/officeDocument/2006/relationships/header" Target="header5.xml"/><Relationship Id="rId50" Type="http://schemas.openxmlformats.org/officeDocument/2006/relationships/footer" Target="footer6.xml"/><Relationship Id="rId7" Type="http://schemas.openxmlformats.org/officeDocument/2006/relationships/hyperlink" Target="#__RefHeading__765_929433062" TargetMode="External"/><Relationship Id="rId12" Type="http://schemas.openxmlformats.org/officeDocument/2006/relationships/hyperlink" Target="#__RefHeading___Toc74723_992416677" TargetMode="External"/><Relationship Id="rId17" Type="http://schemas.openxmlformats.org/officeDocument/2006/relationships/hyperlink" Target="#__RefHeading___Toc33333_995285956" TargetMode="External"/><Relationship Id="rId25" Type="http://schemas.openxmlformats.org/officeDocument/2006/relationships/hyperlink" Target="#__RefHeading___Toc132760_513951418" TargetMode="External"/><Relationship Id="rId33" Type="http://schemas.openxmlformats.org/officeDocument/2006/relationships/hyperlink" Target="#__RefHeading___Toc48643_1054264629" TargetMode="External"/><Relationship Id="rId38" Type="http://schemas.openxmlformats.org/officeDocument/2006/relationships/footer" Target="footer1.xml"/><Relationship Id="rId46" Type="http://schemas.openxmlformats.org/officeDocument/2006/relationships/footer" Target="footer4.xml"/><Relationship Id="rId2" Type="http://schemas.openxmlformats.org/officeDocument/2006/relationships/styles" Target="styles.xml"/><Relationship Id="rId16" Type="http://schemas.openxmlformats.org/officeDocument/2006/relationships/hyperlink" Target="#__RefHeading___Toc74725_9924166772" TargetMode="External"/><Relationship Id="rId20" Type="http://schemas.openxmlformats.org/officeDocument/2006/relationships/hyperlink" Target="#__RefHeading___Toc74268_1504666804" TargetMode="External"/><Relationship Id="rId29" Type="http://schemas.openxmlformats.org/officeDocument/2006/relationships/hyperlink" Target="#__RefHeading___Toc76437_843032262" TargetMode="External"/><Relationship Id="rId41" Type="http://schemas.openxmlformats.org/officeDocument/2006/relationships/image" Target="media/image1.png"/><Relationship Id="rId54"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__RefHeading___Toc74605_992416677" TargetMode="External"/><Relationship Id="rId24" Type="http://schemas.openxmlformats.org/officeDocument/2006/relationships/hyperlink" Target="#__RefHeading___Toc132736_513951418" TargetMode="External"/><Relationship Id="rId32" Type="http://schemas.openxmlformats.org/officeDocument/2006/relationships/hyperlink" Target="#__RefHeading___Toc718555_469610192" TargetMode="External"/><Relationship Id="rId37" Type="http://schemas.openxmlformats.org/officeDocument/2006/relationships/header" Target="header1.xml"/><Relationship Id="rId40" Type="http://schemas.openxmlformats.org/officeDocument/2006/relationships/footer" Target="footer2.xml"/><Relationship Id="rId45" Type="http://schemas.openxmlformats.org/officeDocument/2006/relationships/header" Target="header4.xml"/><Relationship Id="rId53"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__RefHeading___Toc81601_2138779938" TargetMode="External"/><Relationship Id="rId23" Type="http://schemas.openxmlformats.org/officeDocument/2006/relationships/hyperlink" Target="#__RefHeading___Toc718710_469610192" TargetMode="External"/><Relationship Id="rId28" Type="http://schemas.openxmlformats.org/officeDocument/2006/relationships/hyperlink" Target="#__RefHeading___Toc106402_992416677" TargetMode="External"/><Relationship Id="rId36" Type="http://schemas.openxmlformats.org/officeDocument/2006/relationships/hyperlink" Target="#__RefHeading___Toc106367_992416677" TargetMode="External"/><Relationship Id="rId49" Type="http://schemas.openxmlformats.org/officeDocument/2006/relationships/header" Target="header6.xml"/><Relationship Id="rId10" Type="http://schemas.openxmlformats.org/officeDocument/2006/relationships/hyperlink" Target="#__RefHeading__771_929433062" TargetMode="External"/><Relationship Id="rId19" Type="http://schemas.openxmlformats.org/officeDocument/2006/relationships/hyperlink" Target="#__RefHeading___Toc75026_1434920481" TargetMode="External"/><Relationship Id="rId31" Type="http://schemas.openxmlformats.org/officeDocument/2006/relationships/hyperlink" Target="#__RefHeading___Toc165511_874357459" TargetMode="External"/><Relationship Id="rId44" Type="http://schemas.openxmlformats.org/officeDocument/2006/relationships/footer" Target="footer3.xml"/><Relationship Id="rId52" Type="http://schemas.openxmlformats.org/officeDocument/2006/relationships/footer" Target="footer7.xml"/><Relationship Id="rId4" Type="http://schemas.openxmlformats.org/officeDocument/2006/relationships/webSettings" Target="webSettings.xml"/><Relationship Id="rId9" Type="http://schemas.openxmlformats.org/officeDocument/2006/relationships/hyperlink" Target="#__RefHeading__769_929433062" TargetMode="External"/><Relationship Id="rId14" Type="http://schemas.openxmlformats.org/officeDocument/2006/relationships/hyperlink" Target="#__RefHeading___Toc74725_9924166771" TargetMode="External"/><Relationship Id="rId22" Type="http://schemas.openxmlformats.org/officeDocument/2006/relationships/hyperlink" Target="#__RefHeading___Toc132726_513951418" TargetMode="External"/><Relationship Id="rId27" Type="http://schemas.openxmlformats.org/officeDocument/2006/relationships/hyperlink" Target="#__RefHeading___Toc106231_992416677" TargetMode="External"/><Relationship Id="rId30" Type="http://schemas.openxmlformats.org/officeDocument/2006/relationships/hyperlink" Target="#__RefHeading___Toc76439_843032262" TargetMode="External"/><Relationship Id="rId35" Type="http://schemas.openxmlformats.org/officeDocument/2006/relationships/hyperlink" Target="#__RefHeading___Toc132857_5139514181" TargetMode="External"/><Relationship Id="rId43" Type="http://schemas.openxmlformats.org/officeDocument/2006/relationships/header" Target="header3.xml"/><Relationship Id="rId48" Type="http://schemas.openxmlformats.org/officeDocument/2006/relationships/footer" Target="footer5.xml"/><Relationship Id="rId8" Type="http://schemas.openxmlformats.org/officeDocument/2006/relationships/hyperlink" Target="#__RefHeading__767_929433062" TargetMode="External"/><Relationship Id="rId51" Type="http://schemas.openxmlformats.org/officeDocument/2006/relationships/header" Target="header7.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106</Pages>
  <Words>48507</Words>
  <Characters>291048</Characters>
  <Application>Microsoft Office Word</Application>
  <DocSecurity>0</DocSecurity>
  <Lines>2425</Lines>
  <Paragraphs>677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338878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jerzyz</dc:creator>
  <cp:lastModifiedBy>jerzyz</cp:lastModifiedBy>
  <cp:revision>2</cp:revision>
  <cp:lastPrinted>2017-09-12T10:00:00Z</cp:lastPrinted>
  <dcterms:created xsi:type="dcterms:W3CDTF">2017-09-21T08:54:00Z</dcterms:created>
  <dcterms:modified xsi:type="dcterms:W3CDTF">2017-09-21T08:54:00Z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Created">
    <vt:lpwstr/>
  </property>
  <property fmtid="{D5CDD505-2E9C-101B-9397-08002B2CF9AE}" pid="4" name="DocSecurity">
    <vt:lpwstr/>
  </property>
  <property fmtid="{D5CDD505-2E9C-101B-9397-08002B2CF9AE}" pid="5" name="HyperlinksChanged">
    <vt:lpwstr/>
  </property>
  <property fmtid="{D5CDD505-2E9C-101B-9397-08002B2CF9AE}" pid="6" name="LastSaved">
    <vt:lpwstr/>
  </property>
  <property fmtid="{D5CDD505-2E9C-101B-9397-08002B2CF9AE}" pid="7" name="LinksUpToDate">
    <vt:lpwstr/>
  </property>
  <property fmtid="{D5CDD505-2E9C-101B-9397-08002B2CF9AE}" pid="8" name="ScaleCrop">
    <vt:lpwstr/>
  </property>
  <property fmtid="{D5CDD505-2E9C-101B-9397-08002B2CF9AE}" pid="9" name="ShareDoc">
    <vt:lpwstr/>
  </property>
</Properties>
</file>